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665d6k.htm"/>
      <w:bookmarkStart w:id="1" w:name="ksd174665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3"/>
        <w:gridCol w:w="677"/>
        <w:gridCol w:w="8665"/>
      </w:tblGrid>
      <w:tr>
        <w:trPr/>
        <w:tc>
          <w:tcPr>
            <w:tcW w:w="863" w:type="dxa"/>
            <w:tcBorders/>
            <w:vAlign w:val="center"/>
          </w:tcPr>
          <w:p>
            <w:pPr>
              <w:pStyle w:val="TableContents"/>
              <w:bidi w:val="0"/>
              <w:spacing w:before="0" w:after="283"/>
              <w:jc w:val="left"/>
              <w:rPr>
                <w:sz w:val="4"/>
                <w:szCs w:val="4"/>
              </w:rPr>
            </w:pPr>
            <w:r>
              <w:rPr>
                <w:sz w:val="4"/>
                <w:szCs w:val="4"/>
              </w:rPr>
            </w:r>
          </w:p>
        </w:tc>
        <w:tc>
          <w:tcPr>
            <w:tcW w:w="677" w:type="dxa"/>
            <w:tcBorders/>
            <w:vAlign w:val="bottom"/>
          </w:tcPr>
          <w:p>
            <w:pPr>
              <w:pStyle w:val="TableContents"/>
              <w:bidi w:val="0"/>
              <w:spacing w:before="0" w:after="283"/>
              <w:jc w:val="left"/>
              <w:rPr>
                <w:sz w:val="4"/>
                <w:szCs w:val="4"/>
              </w:rPr>
            </w:pPr>
            <w:r>
              <w:rPr>
                <w:sz w:val="4"/>
                <w:szCs w:val="4"/>
              </w:rPr>
            </w:r>
          </w:p>
        </w:tc>
        <w:tc>
          <w:tcPr>
            <w:tcW w:w="8665" w:type="dxa"/>
            <w:tcBorders/>
            <w:vAlign w:val="center"/>
          </w:tcPr>
          <w:p>
            <w:pPr>
              <w:pStyle w:val="TableContents"/>
              <w:bidi w:val="0"/>
              <w:spacing w:before="0" w:after="283"/>
              <w:jc w:val="left"/>
              <w:rPr>
                <w:sz w:val="4"/>
                <w:szCs w:val="4"/>
              </w:rPr>
            </w:pPr>
            <w:r>
              <w:rPr>
                <w:sz w:val="4"/>
                <w:szCs w:val="4"/>
              </w:rPr>
            </w:r>
          </w:p>
        </w:tc>
      </w:tr>
      <w:tr>
        <w:trPr/>
        <w:tc>
          <w:tcPr>
            <w:tcW w:w="86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77" w:type="dxa"/>
            <w:tcBorders/>
            <w:vAlign w:val="bottom"/>
          </w:tcPr>
          <w:p>
            <w:pPr>
              <w:pStyle w:val="TableContents"/>
              <w:bidi w:val="0"/>
              <w:spacing w:before="0" w:after="283"/>
              <w:jc w:val="left"/>
              <w:rPr/>
            </w:pPr>
            <w:r>
              <w:rPr/>
              <w:t>  </w:t>
            </w:r>
          </w:p>
        </w:tc>
        <w:tc>
          <w:tcPr>
            <w:tcW w:w="86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99.1</w:t>
            </w:r>
          </w:p>
        </w:tc>
        <w:tc>
          <w:tcPr>
            <w:tcW w:w="677" w:type="dxa"/>
            <w:tcBorders/>
            <w:vAlign w:val="bottom"/>
          </w:tcPr>
          <w:p>
            <w:pPr>
              <w:pStyle w:val="TableContents"/>
              <w:bidi w:val="0"/>
              <w:spacing w:before="0" w:after="283"/>
              <w:jc w:val="left"/>
              <w:rPr/>
            </w:pPr>
            <w:r>
              <w:rPr/>
              <w:t>  </w:t>
            </w:r>
          </w:p>
        </w:tc>
        <w:tc>
          <w:tcPr>
            <w:tcW w:w="8665" w:type="dxa"/>
            <w:tcBorders/>
          </w:tcPr>
          <w:p>
            <w:pPr>
              <w:pStyle w:val="TableContents"/>
              <w:bidi w:val="0"/>
              <w:spacing w:before="0" w:after="283"/>
              <w:jc w:val="left"/>
              <w:rPr/>
            </w:pPr>
            <w:r>
              <w:rPr/>
              <w:t>Press Release—Baidu Announces Results of Extraordinary General Meeting</w:t>
            </w:r>
          </w:p>
        </w:tc>
      </w:tr>
      <w:tr>
        <w:trPr>
          <w:trHeight w:val="120" w:hRule="atLeast"/>
        </w:trPr>
        <w:tc>
          <w:tcPr>
            <w:tcW w:w="863" w:type="dxa"/>
            <w:tcBorders/>
            <w:vAlign w:val="center"/>
          </w:tcPr>
          <w:p>
            <w:pPr>
              <w:pStyle w:val="TableContents"/>
              <w:bidi w:val="0"/>
              <w:spacing w:before="0" w:after="283"/>
              <w:jc w:val="left"/>
              <w:rPr>
                <w:sz w:val="4"/>
                <w:szCs w:val="4"/>
              </w:rPr>
            </w:pPr>
            <w:r>
              <w:rPr>
                <w:sz w:val="4"/>
                <w:szCs w:val="4"/>
              </w:rPr>
            </w:r>
          </w:p>
        </w:tc>
        <w:tc>
          <w:tcPr>
            <w:tcW w:w="9342" w:type="dxa"/>
            <w:gridSpan w:val="2"/>
            <w:tcBorders/>
            <w:vAlign w:val="center"/>
          </w:tcPr>
          <w:p>
            <w:pPr>
              <w:pStyle w:val="TableContents"/>
              <w:bidi w:val="0"/>
              <w:spacing w:before="0" w:after="283"/>
              <w:jc w:val="left"/>
              <w:rPr>
                <w:sz w:val="4"/>
                <w:szCs w:val="4"/>
              </w:rPr>
            </w:pPr>
            <w:r>
              <w:rPr>
                <w:sz w:val="4"/>
                <w:szCs w:val="4"/>
              </w:rPr>
            </w:r>
          </w:p>
        </w:tc>
      </w:tr>
      <w:tr>
        <w:trPr/>
        <w:tc>
          <w:tcPr>
            <w:tcW w:w="863" w:type="dxa"/>
            <w:tcBorders/>
          </w:tcPr>
          <w:p>
            <w:pPr>
              <w:pStyle w:val="TableContents"/>
              <w:bidi w:val="0"/>
              <w:spacing w:before="0" w:after="283"/>
              <w:jc w:val="left"/>
              <w:rPr/>
            </w:pPr>
            <w:r>
              <w:rPr/>
              <w:t>99.2</w:t>
            </w:r>
          </w:p>
        </w:tc>
        <w:tc>
          <w:tcPr>
            <w:tcW w:w="677" w:type="dxa"/>
            <w:tcBorders/>
            <w:vAlign w:val="bottom"/>
          </w:tcPr>
          <w:p>
            <w:pPr>
              <w:pStyle w:val="TableContents"/>
              <w:bidi w:val="0"/>
              <w:spacing w:before="0" w:after="283"/>
              <w:jc w:val="left"/>
              <w:rPr/>
            </w:pPr>
            <w:r>
              <w:rPr/>
              <w:t>  </w:t>
            </w:r>
          </w:p>
        </w:tc>
        <w:tc>
          <w:tcPr>
            <w:tcW w:w="8665" w:type="dxa"/>
            <w:tcBorders/>
          </w:tcPr>
          <w:p>
            <w:pPr>
              <w:pStyle w:val="TableContents"/>
              <w:bidi w:val="0"/>
              <w:spacing w:before="0" w:after="283"/>
              <w:jc w:val="left"/>
              <w:rPr/>
            </w:pPr>
            <w:r>
              <w:rPr/>
              <w:t>Announcement with the Stock Exchange of Hong Kong Limited––Results of Extraordinary General Meeting of Shareholders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45"/>
        <w:gridCol w:w="68"/>
        <w:gridCol w:w="80"/>
        <w:gridCol w:w="68"/>
        <w:gridCol w:w="3221"/>
      </w:tblGrid>
      <w:tr>
        <w:trPr/>
        <w:tc>
          <w:tcPr>
            <w:tcW w:w="645"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45" w:type="dxa"/>
            <w:tcBorders/>
            <w:vAlign w:val="center"/>
          </w:tcPr>
          <w:p>
            <w:pPr>
              <w:pStyle w:val="TableContents"/>
              <w:bidi w:val="0"/>
              <w:spacing w:before="0" w:after="283"/>
              <w:jc w:val="left"/>
              <w:rPr>
                <w:sz w:val="4"/>
                <w:szCs w:val="4"/>
              </w:rPr>
            </w:pPr>
            <w:r>
              <w:rPr>
                <w:sz w:val="4"/>
                <w:szCs w:val="4"/>
              </w:rPr>
            </w:r>
          </w:p>
        </w:tc>
        <w:tc>
          <w:tcPr>
            <w:tcW w:w="148" w:type="dxa"/>
            <w:gridSpan w:val="2"/>
            <w:tcBorders/>
            <w:vAlign w:val="center"/>
          </w:tcPr>
          <w:p>
            <w:pPr>
              <w:pStyle w:val="TableContents"/>
              <w:bidi w:val="0"/>
              <w:spacing w:before="0" w:after="283"/>
              <w:jc w:val="left"/>
              <w:rPr>
                <w:sz w:val="4"/>
                <w:szCs w:val="4"/>
              </w:rPr>
            </w:pPr>
            <w:r>
              <w:rPr>
                <w:sz w:val="4"/>
                <w:szCs w:val="4"/>
              </w:rPr>
            </w:r>
          </w:p>
        </w:tc>
        <w:tc>
          <w:tcPr>
            <w:tcW w:w="3289" w:type="dxa"/>
            <w:gridSpan w:val="2"/>
            <w:tcBorders/>
            <w:vAlign w:val="center"/>
          </w:tcPr>
          <w:p>
            <w:pPr>
              <w:pStyle w:val="TableContents"/>
              <w:bidi w:val="0"/>
              <w:spacing w:before="0" w:after="283"/>
              <w:jc w:val="left"/>
              <w:rPr>
                <w:sz w:val="4"/>
                <w:szCs w:val="4"/>
              </w:rPr>
            </w:pPr>
            <w:r>
              <w:rPr>
                <w:sz w:val="4"/>
                <w:szCs w:val="4"/>
              </w:rPr>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3221"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Haijian He</w:t>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0"/>
              <w:jc w:val="left"/>
              <w:rPr>
                <w:rFonts w:ascii="Times New Roman" w:hAnsi="Times New Roman"/>
                <w:sz w:val="20"/>
              </w:rPr>
            </w:pPr>
            <w:r>
              <w:rPr>
                <w:rFonts w:ascii="Times New Roman" w:hAnsi="Times New Roman"/>
                <w:sz w:val="20"/>
              </w:rPr>
              <w:t>Haijian He</w:t>
            </w:r>
          </w:p>
        </w:tc>
      </w:tr>
      <w:tr>
        <w:trPr/>
        <w:tc>
          <w:tcPr>
            <w:tcW w:w="64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8"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right"/>
              <w:rPr/>
            </w:pPr>
            <w:r>
              <w:rPr/>
              <w:t>:</w:t>
            </w:r>
          </w:p>
        </w:tc>
        <w:tc>
          <w:tcPr>
            <w:tcW w:w="68" w:type="dxa"/>
            <w:tcBorders/>
            <w:vAlign w:val="bottom"/>
          </w:tcPr>
          <w:p>
            <w:pPr>
              <w:pStyle w:val="TableContents"/>
              <w:bidi w:val="0"/>
              <w:spacing w:before="0" w:after="283"/>
              <w:jc w:val="left"/>
              <w:rPr/>
            </w:pPr>
            <w:r>
              <w:rPr/>
              <w:t> </w:t>
            </w:r>
          </w:p>
        </w:tc>
        <w:tc>
          <w:tcPr>
            <w:tcW w:w="322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26, 2026 </w:t>
      </w:r>
    </w:p>
    <w:p>
      <w:pPr>
        <w:pStyle w:val="TextBody"/>
        <w:bidi w:val="0"/>
        <w:spacing w:before="0" w:after="0"/>
        <w:jc w:val="right"/>
        <w:rPr>
          <w:rFonts w:ascii="Times New Roman" w:hAnsi="Times New Roman"/>
          <w:b/>
          <w:sz w:val="20"/>
        </w:rPr>
      </w:pPr>
      <w:bookmarkStart w:id="2" w:name="d174665dex991.htm"/>
      <w:bookmarkStart w:id="3" w:name="ksd17466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Announces Results of Extraordinary General Meeting </w:t>
      </w:r>
    </w:p>
    <w:p>
      <w:pPr>
        <w:pStyle w:val="TextBody"/>
        <w:bidi w:val="0"/>
        <w:spacing w:before="240" w:after="0"/>
        <w:jc w:val="left"/>
        <w:rPr>
          <w:rFonts w:ascii="Times New Roman" w:hAnsi="Times New Roman"/>
          <w:sz w:val="20"/>
        </w:rPr>
      </w:pPr>
      <w:r>
        <w:rPr>
          <w:rFonts w:ascii="Times New Roman" w:hAnsi="Times New Roman"/>
          <w:sz w:val="20"/>
        </w:rPr>
        <w:t xml:space="preserve">BEIJING, China, August 26, 2026 — Baidu, Inc. (Nasdaq: BIDU; HKEX: 9888 (HKD Counter) and 89888 (RMB Counter)) (“Baidu” or the “Company”), a leading AI company with strong Internet foundation, today announced that its extraordinary general meeting of shareholders (the “EGM”) was held in Beijing today and all the proposed resolutions set out in the notice of the EGM dated July 27, 2026 were duly passed at the EGM. </w:t>
      </w:r>
    </w:p>
    <w:p>
      <w:pPr>
        <w:pStyle w:val="TextBody"/>
        <w:bidi w:val="0"/>
        <w:spacing w:before="240" w:after="0"/>
        <w:jc w:val="left"/>
        <w:rPr>
          <w:rFonts w:ascii="Times New Roman" w:hAnsi="Times New Roman"/>
          <w:sz w:val="20"/>
        </w:rPr>
      </w:pPr>
      <w:r>
        <w:rPr>
          <w:rFonts w:ascii="Times New Roman" w:hAnsi="Times New Roman"/>
          <w:sz w:val="20"/>
        </w:rPr>
        <w:t xml:space="preserve">All necessary shareholder approvals for the Company’s voluntary conversion of its secondary listing status to primary listing (the “Primary Conversion”) on the Main Board of The Stock Exchange of Hong Kong Limited (the “Hong Kong Stock Exchange”) have been obtained at the EGM. From the date of this press release until the effective date of the Primary Conversion, the Company will continue to make the necessary arrangements to comply with all applicable laws, regulations and stock exchange rules as a dual-primary listed issuer on the Hong Kong Stock Exchange and the Nasdaq Global Select Market upon the effectiveness of the Primary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All information provided in this press release and in the attachments is as of the date of the press release, and Baidu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SOURCE Baidu, Inc. </w:t>
      </w:r>
    </w:p>
    <w:p>
      <w:pPr>
        <w:pStyle w:val="TextBody"/>
        <w:bidi w:val="0"/>
        <w:spacing w:before="240" w:after="0"/>
        <w:jc w:val="left"/>
        <w:rPr>
          <w:rFonts w:ascii="Times New Roman" w:hAnsi="Times New Roman"/>
          <w:sz w:val="20"/>
        </w:rPr>
      </w:pPr>
      <w:r>
        <w:rPr>
          <w:rFonts w:ascii="Times New Roman" w:hAnsi="Times New Roman"/>
          <w:sz w:val="20"/>
        </w:rPr>
        <w:t xml:space="preserve">Investors Relations, Baidu, Inc., Tel: +86-10-5992-8888, Email: ir@baidu.com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p>
      <w:pPr>
        <w:pStyle w:val="TextBody"/>
        <w:bidi w:val="0"/>
        <w:spacing w:before="0" w:after="0"/>
        <w:jc w:val="right"/>
        <w:rPr>
          <w:rFonts w:ascii="Times New Roman" w:hAnsi="Times New Roman"/>
          <w:b/>
          <w:sz w:val="20"/>
        </w:rPr>
      </w:pPr>
      <w:bookmarkStart w:id="4" w:name="d174665dex992.htm"/>
      <w:bookmarkStart w:id="5" w:name="ksd174665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0" w:after="0"/>
        <w:jc w:val="left"/>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120" w:after="0"/>
        <w:jc w:val="center"/>
        <w:rPr>
          <w:rFonts w:ascii="Times New Roman" w:hAnsi="Times New Roman"/>
          <w:b/>
          <w:sz w:val="20"/>
        </w:rPr>
      </w:pPr>
      <w:r>
        <w:rPr>
          <w:rFonts w:ascii="Times New Roman" w:hAnsi="Times New Roman"/>
          <w:b/>
          <w:sz w:val="20"/>
        </w:rPr>
        <w:t xml:space="preserve">RESULTS OF THE EXTRAORDINARY GENERAL MEETING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We wish to announce that all the proposed resolutions as set out in our notice of the Extraordinary General Meeting of Shareholders dated July 27, 2026 were duly passed at our Extraordinary General Meeting of Shareholders held on August 26,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Baidu, Inc.</w:t>
            </w:r>
          </w:p>
        </w:tc>
      </w:tr>
      <w:tr>
        <w:trPr/>
        <w:tc>
          <w:tcPr>
            <w:tcW w:w="4082" w:type="dxa"/>
            <w:tcBorders/>
          </w:tcPr>
          <w:p>
            <w:pPr>
              <w:pStyle w:val="TableContents"/>
              <w:bidi w:val="0"/>
              <w:spacing w:before="0" w:after="283"/>
              <w:jc w:val="center"/>
              <w:rPr>
                <w:b/>
              </w:rPr>
            </w:pPr>
            <w:r>
              <w:rPr>
                <w:b/>
              </w:rPr>
              <w:t>Mr. Robin Yanhong Li</w:t>
            </w:r>
          </w:p>
        </w:tc>
      </w:tr>
      <w:tr>
        <w:trPr/>
        <w:tc>
          <w:tcPr>
            <w:tcW w:w="4082"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August 26,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Robin Yanhong Li as director, and Mr. Yuanqing Yang, Mr. Jixun Foo, Ms. Sandy Ran Xu and Ms. Xiaodan Liu as independent directors.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1098</Words>
  <Characters>6042</Characters>
  <CharactersWithSpaces>7147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