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293d6k.htm"/>
      <w:bookmarkStart w:id="1" w:name="ksd15729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1"/>
        <w:gridCol w:w="709"/>
        <w:gridCol w:w="8635"/>
      </w:tblGrid>
      <w:tr>
        <w:trPr/>
        <w:tc>
          <w:tcPr>
            <w:tcW w:w="861"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709" w:type="dxa"/>
            <w:tcBorders/>
            <w:vAlign w:val="bottom"/>
          </w:tcPr>
          <w:p>
            <w:pPr>
              <w:pStyle w:val="TableContents"/>
              <w:bidi w:val="0"/>
              <w:spacing w:before="0" w:after="283"/>
              <w:jc w:val="left"/>
              <w:rPr/>
            </w:pPr>
            <w:r>
              <w:rPr/>
              <w:t>  </w:t>
            </w:r>
          </w:p>
        </w:tc>
        <w:tc>
          <w:tcPr>
            <w:tcW w:w="86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61" w:type="dxa"/>
            <w:tcBorders/>
            <w:vAlign w:val="bottom"/>
          </w:tcPr>
          <w:p>
            <w:pPr>
              <w:pStyle w:val="TableContents"/>
              <w:bidi w:val="0"/>
              <w:spacing w:before="0" w:after="283"/>
              <w:jc w:val="left"/>
              <w:rPr/>
            </w:pPr>
            <w:r>
              <w:rPr/>
              <w:t>99.1</w:t>
            </w:r>
          </w:p>
        </w:tc>
        <w:tc>
          <w:tcPr>
            <w:tcW w:w="709" w:type="dxa"/>
            <w:tcBorders/>
            <w:vAlign w:val="bottom"/>
          </w:tcPr>
          <w:p>
            <w:pPr>
              <w:pStyle w:val="TableContents"/>
              <w:bidi w:val="0"/>
              <w:spacing w:before="0" w:after="283"/>
              <w:jc w:val="left"/>
              <w:rPr/>
            </w:pPr>
            <w:r>
              <w:rPr/>
              <w:t>  </w:t>
            </w:r>
          </w:p>
        </w:tc>
        <w:tc>
          <w:tcPr>
            <w:tcW w:w="8635" w:type="dxa"/>
            <w:tcBorders/>
          </w:tcPr>
          <w:p>
            <w:pPr>
              <w:pStyle w:val="TableContents"/>
              <w:bidi w:val="0"/>
              <w:spacing w:before="0" w:after="0"/>
              <w:jc w:val="left"/>
              <w:rPr>
                <w:rFonts w:ascii="Times New Roman" w:hAnsi="Times New Roman"/>
                <w:sz w:val="20"/>
              </w:rPr>
            </w:pPr>
            <w:r>
              <w:rPr>
                <w:rFonts w:ascii="Times New Roman" w:hAnsi="Times New Roman"/>
                <w:sz w:val="20"/>
              </w:rPr>
              <w:t>Press Release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28, 2026 </w:t>
      </w:r>
    </w:p>
    <w:p>
      <w:pPr>
        <w:pStyle w:val="TextBody"/>
        <w:bidi w:val="0"/>
        <w:spacing w:before="0" w:after="0"/>
        <w:jc w:val="right"/>
        <w:rPr>
          <w:rFonts w:ascii="Times New Roman" w:hAnsi="Times New Roman"/>
          <w:b/>
          <w:sz w:val="20"/>
        </w:rPr>
      </w:pPr>
      <w:bookmarkStart w:id="2" w:name="d157293dex991.htm"/>
      <w:bookmarkStart w:id="3" w:name="ksd157293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to Hold Extraordinary General Meeting on August 26, 2026 </w:t>
      </w:r>
    </w:p>
    <w:p>
      <w:pPr>
        <w:pStyle w:val="TextBody"/>
        <w:bidi w:val="0"/>
        <w:spacing w:before="240" w:after="0"/>
        <w:jc w:val="left"/>
        <w:rPr>
          <w:rFonts w:ascii="Times New Roman" w:hAnsi="Times New Roman"/>
          <w:sz w:val="20"/>
        </w:rPr>
      </w:pPr>
      <w:r>
        <w:rPr>
          <w:rFonts w:ascii="Times New Roman" w:hAnsi="Times New Roman"/>
          <w:b/>
          <w:sz w:val="20"/>
        </w:rPr>
        <w:t xml:space="preserve">Beijing, July 27, 2026 </w:t>
      </w:r>
      <w:r>
        <w:rPr>
          <w:rFonts w:ascii="Times New Roman" w:hAnsi="Times New Roman"/>
          <w:sz w:val="20"/>
        </w:rPr>
        <w:t>— Baidu, Inc. (“Baidu” or the “Company”) (Nasdaq: BIDU; HKEX: 9888 (HKD Counter) and 89888 (RMB Counter)), a leading AI company with strong Internet foundation, today announced that it will hold an extraordinary general meeting of shareholders (the “EGM”) at Baidu Campus, No. 10, Shangdi 10th Street, Haidian District, Beijing 100085, People’s Republic of China on August 26, 2026 at 9:00 a.m. (Beijing/Hong Kong time), for the purposes of considering and, if thought fit, passing each of the resolutions to be submitted to shareholder approval at the EGM as set forth in the notice of the EGM (the “EGM Notice”). The EGM Notice and the form of proxy for the EGM are available on the Company’s website at </w:t>
      </w:r>
      <w:r>
        <w:rPr>
          <w:rFonts w:ascii="Times New Roman" w:hAnsi="Times New Roman"/>
          <w:sz w:val="20"/>
          <w:u w:val="single"/>
        </w:rPr>
        <w:t>https://ir.baidu.com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the board of directors of the Company has fixed the close of business on July 17, 2026, Hong Kong time, as the record date (the “Shares Record Date”) of Class A ordinary shares with a par value of US$0.000000625 each (the “Class A Ordinary Shares”) and Class B ordinary shares with a par value of US$0.000000625 each (together with the Class A Ordinary Shares, the “Shares”). Holders of record of the Company’s Shares as of the Shares Record Date are entitled to attend and vote at the EGM and any adjourned meeting thereof. </w:t>
      </w:r>
    </w:p>
    <w:p>
      <w:pPr>
        <w:pStyle w:val="TextBody"/>
        <w:bidi w:val="0"/>
        <w:spacing w:before="240" w:after="0"/>
        <w:jc w:val="left"/>
        <w:rPr>
          <w:rFonts w:ascii="Times New Roman" w:hAnsi="Times New Roman"/>
          <w:sz w:val="20"/>
        </w:rPr>
      </w:pPr>
      <w:r>
        <w:rPr>
          <w:rFonts w:ascii="Times New Roman" w:hAnsi="Times New Roman"/>
          <w:sz w:val="20"/>
        </w:rPr>
        <w:t xml:space="preserve">Holders of record of American depositary shares (the “ADSs”) as of the close of business on July 17, 2026, New York time, who wish to exercise their voting rights for the underlying Class A Ordinary Shares must give voting instructions to The Bank of New York Mellon, the depositary of the ADSs. </w:t>
      </w:r>
    </w:p>
    <w:p>
      <w:pPr>
        <w:pStyle w:val="TextBody"/>
        <w:bidi w:val="0"/>
        <w:spacing w:before="240" w:after="0"/>
        <w:jc w:val="left"/>
        <w:rPr>
          <w:rFonts w:ascii="Times New Roman" w:hAnsi="Times New Roman"/>
          <w:sz w:val="20"/>
        </w:rPr>
      </w:pPr>
      <w:r>
        <w:rPr>
          <w:rFonts w:ascii="Times New Roman" w:hAnsi="Times New Roman"/>
          <w:sz w:val="20"/>
        </w:rPr>
        <w:t>The Company has filed its annual report on Form 20-F, including its audited financial statements, for the year ended December 31, 2025 (the “Form 20-F”), with the U.S. Securities and Exchange Commission. The Form 20-F can be accessed on the Company’s website at </w:t>
      </w:r>
      <w:r>
        <w:rPr>
          <w:rFonts w:ascii="Times New Roman" w:hAnsi="Times New Roman"/>
          <w:sz w:val="20"/>
          <w:u w:val="single"/>
        </w:rPr>
        <w:t>https://ir.baidu.com</w:t>
      </w:r>
      <w:r>
        <w:rPr>
          <w:rFonts w:ascii="Times New Roman" w:hAnsi="Times New Roman"/>
          <w:sz w:val="20"/>
        </w:rPr>
        <w:t>, as well as on the SEC’s website at </w:t>
      </w:r>
      <w:r>
        <w:rPr>
          <w:rFonts w:ascii="Times New Roman" w:hAnsi="Times New Roman"/>
          <w:sz w:val="20"/>
          <w:u w:val="single"/>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also published an annual report (the “Hong Kong Annual Report”) pursuant to the Rules Governing the Listing of Securities on The Stock Exchange of Hong Kong Limited (“HKEx”). The Hong Kong Annual Report contains substantially the same information as set forth in the Form 20-F and can be accessed on the Company’s investor relations website at </w:t>
      </w:r>
      <w:r>
        <w:rPr>
          <w:rFonts w:ascii="Times New Roman" w:hAnsi="Times New Roman"/>
          <w:sz w:val="20"/>
          <w:u w:val="single"/>
        </w:rPr>
        <w:t>https://ir.baidu.com</w:t>
      </w:r>
      <w:r>
        <w:rPr>
          <w:rFonts w:ascii="Times New Roman" w:hAnsi="Times New Roman"/>
          <w:sz w:val="20"/>
        </w:rPr>
        <w:t> as well as the HKEx’s website at </w:t>
      </w:r>
      <w:r>
        <w:rPr>
          <w:rFonts w:ascii="Times New Roman" w:hAnsi="Times New Roman"/>
          <w:sz w:val="20"/>
          <w:u w:val="single"/>
        </w:rPr>
        <w:t>http://www.hkexnews.hk</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Relations, Baidu, Inc. </w:t>
      </w:r>
    </w:p>
    <w:p>
      <w:pPr>
        <w:pStyle w:val="TextBody"/>
        <w:bidi w:val="0"/>
        <w:spacing w:before="0" w:after="0"/>
        <w:jc w:val="left"/>
        <w:rPr>
          <w:rFonts w:ascii="Times New Roman" w:hAnsi="Times New Roman"/>
          <w:sz w:val="20"/>
        </w:rPr>
      </w:pPr>
      <w:r>
        <w:rPr>
          <w:rFonts w:ascii="Times New Roman" w:hAnsi="Times New Roman"/>
          <w:sz w:val="20"/>
        </w:rPr>
        <w:t xml:space="preserve">Tel: +86-10-5992-8888 </w:t>
      </w:r>
    </w:p>
    <w:p>
      <w:pPr>
        <w:pStyle w:val="TextBody"/>
        <w:bidi w:val="0"/>
        <w:spacing w:before="0" w:after="0"/>
        <w:jc w:val="left"/>
        <w:rPr>
          <w:rFonts w:ascii="Times New Roman" w:hAnsi="Times New Roman"/>
          <w:sz w:val="20"/>
        </w:rPr>
      </w:pPr>
      <w:r>
        <w:rPr>
          <w:rFonts w:ascii="Times New Roman" w:hAnsi="Times New Roman"/>
          <w:sz w:val="20"/>
        </w:rPr>
        <w:t xml:space="preserve">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605</Words>
  <Characters>3116</Characters>
  <CharactersWithSpaces>3743</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