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59553d6k.htm"/>
      <w:bookmarkStart w:id="1" w:name="ksd359553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15,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Haijian He</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16, 2026 </w:t>
      </w:r>
    </w:p>
    <w:p>
      <w:pPr>
        <w:pStyle w:val="TextBody"/>
        <w:bidi w:val="0"/>
        <w:spacing w:before="0" w:after="0"/>
        <w:jc w:val="center"/>
        <w:rPr/>
      </w:pPr>
      <w:bookmarkStart w:id="2" w:name="d359553dex991.htm"/>
      <w:bookmarkStart w:id="3" w:name="ksd359553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Page 1 of 7 v 1.3.0 Next Day Disclosure Return (Equity issuer - changes in issued shares or treasury shares, share buybacks and/or on-market sales of treasury shares) Instrument: Equity issuer Status: New Submission Name of Issuer: Baidu, Inc. Date Submitted: 15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14 September 2026 2,209,541,178 0 2,209,541,178 1). Other (please specify) See Part B Date of changes 15 September 2026 % Closing balance as at (Notes 5 and 6) 15 September 2026 2,209,541,178 0 2,209,541,178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2 of 7 v 1.3.0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Remarks: The information contained herein under “Opening balance as at” is based on the closing balance of Class A ordinary shares as of September 14, 2026 as disclosed in the Next Day Disclosure Return submitted on September 14,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3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4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5 of 7 v 1.3.0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15 September 2026 556,100 On the Exchange HKD 90.95 HKD 88.9 HKD 49,998,283.68 Total number of shares repurchased 556,100 Aggregate price paid $ HKD 49,998,283.68 Number of shares repurchased for cancellation 556,100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3,870,750 4). As a % of number of issued shares (excluding treasury shares) as at the date of the resolution granting the repurchase mandate (a) x 100 / number of issued shares (excluding treasury shares) as at the date of the resolution granting the repurchase mandate 0.142 % 5). Moratorium period for any issue of new shares, or sale or transfer of treasury shares after the share repurchase(s) set out in Part A (Note 2) Up to 15 October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6 of 7 v 1.3.0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1990</Words>
  <Characters>9876</Characters>
  <CharactersWithSpaces>11890</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