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80416ds8.htm"/>
      <w:bookmarkStart w:id="1" w:name="ksd180416ds8"/>
      <w:bookmarkEnd w:id="0"/>
      <w:bookmarkEnd w:id="1"/>
      <w:r>
        <w:rPr>
          <w:rFonts w:ascii="Times New Roman" w:hAnsi="Times New Roman"/>
          <w:b/>
          <w:sz w:val="20"/>
        </w:rPr>
        <w:t xml:space="preserve">As filed with the Securities and Exchange Commission on October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Cayman Islands</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Not Applicable</w:t>
            </w:r>
          </w:p>
        </w:tc>
      </w:tr>
      <w:tr>
        <w:trPr/>
        <w:tc>
          <w:tcPr>
            <w:tcW w:w="5154" w:type="dxa"/>
            <w:tcBorders/>
            <w:vAlign w:val="bottom"/>
          </w:tcPr>
          <w:p>
            <w:pPr>
              <w:pStyle w:val="TableContents"/>
              <w:bidi w:val="0"/>
              <w:spacing w:before="0" w:after="283"/>
              <w:jc w:val="center"/>
              <w:rPr>
                <w:b/>
              </w:rPr>
            </w:pPr>
            <w:r>
              <w:rPr>
                <w:b/>
              </w:rPr>
              <w:t>(State or other jurisdiction of</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(I.R.S. Employer</w:t>
            </w:r>
          </w:p>
        </w:tc>
      </w:tr>
      <w:tr>
        <w:trPr/>
        <w:tc>
          <w:tcPr>
            <w:tcW w:w="5154" w:type="dxa"/>
            <w:tcBorders/>
            <w:vAlign w:val="bottom"/>
          </w:tcPr>
          <w:p>
            <w:pPr>
              <w:pStyle w:val="TableContents"/>
              <w:bidi w:val="0"/>
              <w:spacing w:before="0" w:after="283"/>
              <w:jc w:val="center"/>
              <w:rPr>
                <w:b/>
              </w:rPr>
            </w:pPr>
            <w:r>
              <w:rPr>
                <w:b/>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Identification Number)</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+86 10 5992-8888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and Zip Code) </w:t>
      </w:r>
    </w:p>
    <w:p>
      <w:pPr>
        <w:pStyle w:val="TextBody"/>
        <w:bidi w:val="0"/>
        <w:spacing w:before="120" w:after="0"/>
        <w:jc w:val="center"/>
        <w:rPr>
          <w:rFonts w:ascii="Times New Roman" w:hAnsi="Times New Roman"/>
          <w:b/>
          <w:sz w:val="20"/>
        </w:rPr>
      </w:pPr>
      <w:r>
        <w:rPr>
          <w:rFonts w:ascii="Times New Roman" w:hAnsi="Times New Roman"/>
          <w:b/>
          <w:sz w:val="20"/>
        </w:rPr>
        <w:t xml:space="preserve">2026 Share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120" w:after="0"/>
        <w:jc w:val="center"/>
        <w:rPr>
          <w:rFonts w:ascii="Times New Roman" w:hAnsi="Times New Roman"/>
          <w:b/>
          <w:sz w:val="20"/>
        </w:rPr>
      </w:pPr>
      <w:r>
        <w:rPr>
          <w:rFonts w:ascii="Times New Roman" w:hAnsi="Times New Roman"/>
          <w:b/>
          <w:sz w:val="20"/>
        </w:rPr>
        <w:t xml:space="preserve">Puglisi &amp; Associates </w:t>
      </w:r>
    </w:p>
    <w:p>
      <w:pPr>
        <w:pStyle w:val="TextBody"/>
        <w:bidi w:val="0"/>
        <w:spacing w:before="0" w:after="0"/>
        <w:jc w:val="center"/>
        <w:rPr>
          <w:rFonts w:ascii="Times New Roman" w:hAnsi="Times New Roman"/>
          <w:b/>
          <w:sz w:val="20"/>
        </w:rPr>
      </w:pPr>
      <w:r>
        <w:rPr>
          <w:rFonts w:ascii="Times New Roman" w:hAnsi="Times New Roman"/>
          <w:b/>
          <w:sz w:val="20"/>
        </w:rPr>
        <w:t xml:space="preserve">850 Library Avenue, Suite 204 </w:t>
      </w:r>
    </w:p>
    <w:p>
      <w:pPr>
        <w:pStyle w:val="TextBody"/>
        <w:bidi w:val="0"/>
        <w:spacing w:before="0" w:after="0"/>
        <w:jc w:val="center"/>
        <w:rPr>
          <w:rFonts w:ascii="Times New Roman" w:hAnsi="Times New Roman"/>
          <w:b/>
          <w:sz w:val="20"/>
        </w:rPr>
      </w:pPr>
      <w:r>
        <w:rPr>
          <w:rFonts w:ascii="Times New Roman" w:hAnsi="Times New Roman"/>
          <w:b/>
          <w:sz w:val="20"/>
        </w:rPr>
        <w:t xml:space="preserve">Newark, Delaware 19711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+1-302-738-6680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2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Haijian He</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Baidu, Inc.</w:t>
            </w:r>
          </w:p>
          <w:p>
            <w:pPr>
              <w:pStyle w:val="TableContents"/>
              <w:bidi w:val="0"/>
              <w:spacing w:before="0" w:after="0"/>
              <w:jc w:val="center"/>
              <w:rPr>
                <w:rFonts w:ascii="Times New Roman" w:hAnsi="Times New Roman"/>
                <w:b/>
                <w:sz w:val="20"/>
              </w:rPr>
            </w:pPr>
            <w:r>
              <w:rPr>
                <w:rFonts w:ascii="Times New Roman" w:hAnsi="Times New Roman"/>
                <w:b/>
                <w:sz w:val="20"/>
              </w:rPr>
              <w:t>Baidu Campus</w:t>
            </w:r>
          </w:p>
          <w:p>
            <w:pPr>
              <w:pStyle w:val="TableContents"/>
              <w:bidi w:val="0"/>
              <w:spacing w:before="0" w:after="0"/>
              <w:jc w:val="center"/>
              <w:rPr>
                <w:rFonts w:ascii="Times New Roman" w:hAnsi="Times New Roman"/>
                <w:b/>
                <w:sz w:val="20"/>
              </w:rPr>
            </w:pPr>
            <w:r>
              <w:rPr>
                <w:rFonts w:ascii="Times New Roman" w:hAnsi="Times New Roman"/>
                <w:b/>
                <w:sz w:val="20"/>
              </w:rPr>
              <w:t>No. 10 Shangdi 10th Street</w:t>
            </w:r>
          </w:p>
          <w:p>
            <w:pPr>
              <w:pStyle w:val="TableContents"/>
              <w:bidi w:val="0"/>
              <w:spacing w:before="0" w:after="0"/>
              <w:jc w:val="center"/>
              <w:rPr>
                <w:rFonts w:ascii="Times New Roman" w:hAnsi="Times New Roman"/>
                <w:b/>
                <w:sz w:val="20"/>
              </w:rPr>
            </w:pPr>
            <w:r>
              <w:rPr>
                <w:rFonts w:ascii="Times New Roman" w:hAnsi="Times New Roman"/>
                <w:b/>
                <w:sz w:val="20"/>
              </w:rPr>
              <w:t>Haidian District, Beijing 100085</w:t>
            </w:r>
          </w:p>
          <w:p>
            <w:pPr>
              <w:pStyle w:val="TableContents"/>
              <w:bidi w:val="0"/>
              <w:spacing w:before="0" w:after="0"/>
              <w:jc w:val="center"/>
              <w:rPr>
                <w:rFonts w:ascii="Times New Roman" w:hAnsi="Times New Roman"/>
                <w:b/>
                <w:sz w:val="20"/>
              </w:rPr>
            </w:pPr>
            <w:r>
              <w:rPr>
                <w:rFonts w:ascii="Times New Roman" w:hAnsi="Times New Roman"/>
                <w:b/>
                <w:sz w:val="20"/>
              </w:rPr>
              <w:t>People’s Republic of China</w:t>
            </w:r>
          </w:p>
          <w:p>
            <w:pPr>
              <w:pStyle w:val="TableContents"/>
              <w:bidi w:val="0"/>
              <w:spacing w:before="0" w:after="20"/>
              <w:jc w:val="center"/>
              <w:rPr>
                <w:rFonts w:ascii="Times New Roman" w:hAnsi="Times New Roman"/>
                <w:b/>
                <w:sz w:val="20"/>
              </w:rPr>
            </w:pPr>
            <w:r>
              <w:rPr>
                <w:rFonts w:ascii="Times New Roman" w:hAnsi="Times New Roman"/>
                <w:b/>
                <w:sz w:val="20"/>
              </w:rPr>
              <w:t>+86 10 5992-8888</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20"/>
              </w:rPr>
            </w:pPr>
            <w:r>
              <w:rPr>
                <w:rFonts w:ascii="Times New Roman" w:hAnsi="Times New Roman"/>
                <w:b/>
                <w:sz w:val="20"/>
              </w:rPr>
              <w:t>Shu Du, Esq.</w:t>
            </w:r>
          </w:p>
          <w:p>
            <w:pPr>
              <w:pStyle w:val="TableContents"/>
              <w:bidi w:val="0"/>
              <w:spacing w:before="0" w:after="0"/>
              <w:jc w:val="center"/>
              <w:rPr>
                <w:rFonts w:ascii="Times New Roman" w:hAnsi="Times New Roman"/>
                <w:b/>
                <w:sz w:val="20"/>
              </w:rPr>
            </w:pPr>
            <w:r>
              <w:rPr>
                <w:rFonts w:ascii="Times New Roman" w:hAnsi="Times New Roman"/>
                <w:b/>
                <w:sz w:val="20"/>
              </w:rPr>
              <w:t>Skadden, Arps, Slate, Meagher &amp; Flom LLP</w:t>
            </w:r>
          </w:p>
          <w:p>
            <w:pPr>
              <w:pStyle w:val="TableContents"/>
              <w:bidi w:val="0"/>
              <w:spacing w:before="0" w:after="0"/>
              <w:jc w:val="center"/>
              <w:rPr>
                <w:rFonts w:ascii="Times New Roman" w:hAnsi="Times New Roman"/>
                <w:b/>
                <w:sz w:val="20"/>
              </w:rPr>
            </w:pPr>
            <w:r>
              <w:rPr>
                <w:rFonts w:ascii="Times New Roman" w:hAnsi="Times New Roman"/>
                <w:b/>
                <w:sz w:val="20"/>
              </w:rPr>
              <w:t>c/o 42/F, Edinburgh Tower, The Landmark</w:t>
            </w:r>
          </w:p>
          <w:p>
            <w:pPr>
              <w:pStyle w:val="TableContents"/>
              <w:bidi w:val="0"/>
              <w:spacing w:before="0" w:after="0"/>
              <w:jc w:val="center"/>
              <w:rPr>
                <w:rFonts w:ascii="Times New Roman" w:hAnsi="Times New Roman"/>
                <w:b/>
                <w:sz w:val="20"/>
              </w:rPr>
            </w:pPr>
            <w:r>
              <w:rPr>
                <w:rFonts w:ascii="Times New Roman" w:hAnsi="Times New Roman"/>
                <w:b/>
                <w:sz w:val="20"/>
              </w:rPr>
              <w:t>15 Queen’s Road Central</w:t>
            </w:r>
          </w:p>
          <w:p>
            <w:pPr>
              <w:pStyle w:val="TableContents"/>
              <w:bidi w:val="0"/>
              <w:spacing w:before="0" w:after="0"/>
              <w:jc w:val="center"/>
              <w:rPr>
                <w:rFonts w:ascii="Times New Roman" w:hAnsi="Times New Roman"/>
                <w:b/>
                <w:sz w:val="20"/>
              </w:rPr>
            </w:pPr>
            <w:r>
              <w:rPr>
                <w:rFonts w:ascii="Times New Roman" w:hAnsi="Times New Roman"/>
                <w:b/>
                <w:sz w:val="20"/>
              </w:rPr>
              <w:t>Hong Kong</w:t>
            </w:r>
          </w:p>
          <w:p>
            <w:pPr>
              <w:pStyle w:val="TableContents"/>
              <w:bidi w:val="0"/>
              <w:spacing w:before="0" w:after="20"/>
              <w:jc w:val="center"/>
              <w:rPr>
                <w:rFonts w:ascii="Times New Roman" w:hAnsi="Times New Roman"/>
                <w:b/>
                <w:sz w:val="20"/>
              </w:rPr>
            </w:pPr>
            <w:r>
              <w:rPr>
                <w:rFonts w:ascii="Times New Roman" w:hAnsi="Times New Roman"/>
                <w:b/>
                <w:sz w:val="20"/>
              </w:rPr>
              <w:t>+852 3740-4700</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August 26, 2026 (the “Approval Date”), at an extraordinary general meeting (the “EGM”) of Baidu, Inc. (the “Registrant”), the shareholders of the Registrant approved and adopted the 2026 Share Incentive Plan (the “2026 Plan”), which the board of directors of the Registrant had resolved to adopt subject to shareholders’ approval. The 2026 Plan became effective on September 1, 2026, the date on which the voluntary conversion of the Registrant’s listing status on The Stock Exchange of Hong Kong Limited from a secondary listing to a dual-primary listing became effective. </w:t>
      </w:r>
    </w:p>
    <w:p>
      <w:pPr>
        <w:pStyle w:val="TextBody"/>
        <w:bidi w:val="0"/>
        <w:spacing w:before="240" w:after="0"/>
        <w:jc w:val="left"/>
        <w:rPr>
          <w:rFonts w:ascii="Times New Roman" w:hAnsi="Times New Roman"/>
          <w:sz w:val="20"/>
        </w:rPr>
      </w:pPr>
      <w:r>
        <w:rPr>
          <w:rFonts w:ascii="Times New Roman" w:hAnsi="Times New Roman"/>
          <w:sz w:val="20"/>
        </w:rPr>
        <w:t xml:space="preserve">The 2026 Plan provides, among other things, that the maximum aggregate number of shares which may be issued pursuant to all awards under the 2026 Plan, together with the number of shares which may be issued pursuant to all options and awards to be granted under any other share incentive plans of the Registrant, shall not exceed 10% of the total number of Class A ordinary shares and Class B ordinary shares of the Registrant in issue (excluding treasury shares) as of the Approval Date, or its equivalent in American Depositary Shares, or ADSs (the “Scheme Limit”). Within the Scheme Limit, the maximum aggregate number of shares which may be issued pursuant to all awards granted under the 2026 Plan to Consultants (as defined in the 2026 Plan) shall not exceed 0.5% of the total number of Class A ordinary shares and Class B ordinary shares of the Registrant in issue (excluding treasury shares) as of the Approval Date (the “Consultant Sublimit”).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by the Registrant to register 273,356,149 Class A ordinary shares, par value US$0.000000625 per share, of the Registrant for issuance under the 2026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 </w:t>
      </w:r>
      <w:r>
        <w:rPr>
          <w:rFonts w:ascii="Times New Roman" w:hAnsi="Times New Roman"/>
          <w:b/>
          <w:sz w:val="20"/>
          <w:u w:val="single"/>
        </w:rPr>
        <w:t>Plan Information*</w:t>
      </w:r>
      <w:r>
        <w:rPr>
          <w:rFonts w:ascii="Times New Roman" w:hAnsi="Times New Roman"/>
          <w:b/>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2. </w:t>
      </w:r>
      <w:r>
        <w:rPr>
          <w:rFonts w:ascii="Times New Roman" w:hAnsi="Times New Roman"/>
          <w:b/>
          <w:sz w:val="20"/>
          <w:u w:val="single"/>
        </w:rPr>
        <w:t>Registrant Information and Employee Plan Annual Information*</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required by Part I to be contained in the Section 10(a) prospectus is omitted from this registration statement in accordance with Rule 428 under the Securities Act of 1933, as amended (the “Securities Act”) and the Note to Part I of Form S-8. The documents containing information specified in this Part I will be separately provided to the participants covered by the 2026 Plan, as may be amended and restated, as specified by Rule 428(b)(1) under the Securities Act.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w:t>
      </w:r>
      <w:r>
        <w:rPr>
          <w:rFonts w:ascii="Times New Roman" w:hAnsi="Times New Roman"/>
          <w:b/>
          <w:sz w:val="20"/>
          <w:u w:val="single"/>
        </w:rPr>
        <w:t>Incorporation of Documents by Reference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previously filed by the Registrant with the Securities and Exchange Commission (the “Commission”)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20-F</w:t>
              </w:r>
            </w:hyperlink>
            <w:r>
              <w:rPr>
                <w:rFonts w:ascii="Times New Roman" w:hAnsi="Times New Roman"/>
                <w:sz w:val="20"/>
              </w:rPr>
              <w:t xml:space="preserve"> for the year ended December 31, 2025 (File No. 000-51469) filed with the Commission on March 17, 2026 pursuant to Section 13(a) of the Securities Exchange Act of 1934, as amended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pPr>
            <w:r>
              <w:rPr>
                <w:rFonts w:ascii="Times New Roman" w:hAnsi="Times New Roman"/>
                <w:sz w:val="20"/>
              </w:rPr>
              <w:t xml:space="preserve">The description of the Registrant’s Class A ordinary shares incorporated by reference in the Registrant’s registration statement on </w:t>
            </w:r>
            <w:hyperlink r:id="rId3">
              <w:r>
                <w:rPr>
                  <w:rStyle w:val="InternetLink"/>
                  <w:rFonts w:ascii="Times New Roman" w:hAnsi="Times New Roman"/>
                  <w:sz w:val="20"/>
                </w:rPr>
                <w:t>Form 8-A</w:t>
              </w:r>
            </w:hyperlink>
            <w:r>
              <w:rPr>
                <w:rFonts w:ascii="Times New Roman" w:hAnsi="Times New Roman"/>
                <w:sz w:val="20"/>
              </w:rPr>
              <w:t xml:space="preserve"> (File No. 000-51469) filed with the Commission on August 1, 2005, including any amendment and report subsequently filed for the purpose of updating that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w:t>
      </w:r>
      <w:r>
        <w:rPr>
          <w:rFonts w:ascii="Times New Roman" w:hAnsi="Times New Roman"/>
          <w:b/>
          <w:sz w:val="20"/>
          <w:u w:val="single"/>
        </w:rPr>
        <w:t>Description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w:t>
      </w:r>
      <w:r>
        <w:rPr>
          <w:rFonts w:ascii="Times New Roman" w:hAnsi="Times New Roman"/>
          <w:b/>
          <w:sz w:val="20"/>
          <w:u w:val="single"/>
        </w:rPr>
        <w:t>Interests of Named Experts and Counsel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w:t>
      </w:r>
      <w:r>
        <w:rPr>
          <w:rFonts w:ascii="Times New Roman" w:hAnsi="Times New Roman"/>
          <w:b/>
          <w:sz w:val="20"/>
          <w:u w:val="single"/>
        </w:rPr>
        <w:t>Indemnification of Directors and Officers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The Registrant’s currently effective amended and restated memorandum and articles of association, adopted by its shareholders on August 26, 2026 and effective on September 1, 2026, provides that the Registrant shall indemnify its directors and officers against all actions, proceedings, costs, charges, losses, damages and expenses which they may incur or sustain by reason of any act done or omitted in or about the execution of their duties in their respective offices, except such as they incur or sustain by or through their own willful neglect or default.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indemnification agreements, the form of which was filed as Exhibit 10.3 to the Registrant’s registration statement on Form F-1, as amended (File No. 333-126534), the Registrant has agreed to indemnify its directors and officers against certain liabilities and expenses incurred by such persons in connection with claims made by reason of their being such a director or officer.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a directors and officers liability insurance policy for its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w:t>
      </w:r>
      <w:r>
        <w:rPr>
          <w:rFonts w:ascii="Times New Roman" w:hAnsi="Times New Roman"/>
          <w:b/>
          <w:sz w:val="20"/>
          <w:u w:val="single"/>
        </w:rPr>
        <w:t>Exemption from Registration Claimed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w:t>
      </w:r>
      <w:r>
        <w:rPr>
          <w:rFonts w:ascii="Times New Roman" w:hAnsi="Times New Roman"/>
          <w:b/>
          <w:sz w:val="20"/>
          <w:u w:val="single"/>
        </w:rPr>
        <w:t>Exhibits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See the Index to Exhibits attached 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9. </w:t>
      </w:r>
      <w:r>
        <w:rPr>
          <w:rFonts w:ascii="Times New Roman" w:hAnsi="Times New Roman"/>
          <w:b/>
          <w:sz w:val="20"/>
          <w:u w:val="single"/>
        </w:rPr>
        <w:t>Undertakings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that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49"/>
        <w:gridCol w:w="817"/>
        <w:gridCol w:w="8239"/>
      </w:tblGrid>
      <w:tr>
        <w:trPr/>
        <w:tc>
          <w:tcPr>
            <w:tcW w:w="1149" w:type="dxa"/>
            <w:tcBorders/>
            <w:vAlign w:val="center"/>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8239" w:type="dxa"/>
            <w:tcBorders/>
            <w:vAlign w:val="center"/>
          </w:tcPr>
          <w:p>
            <w:pPr>
              <w:pStyle w:val="TableContents"/>
              <w:bidi w:val="0"/>
              <w:spacing w:before="0" w:after="283"/>
              <w:jc w:val="left"/>
              <w:rPr>
                <w:sz w:val="4"/>
                <w:szCs w:val="4"/>
              </w:rPr>
            </w:pPr>
            <w:r>
              <w:rPr>
                <w:sz w:val="4"/>
                <w:szCs w:val="4"/>
              </w:rPr>
            </w:r>
          </w:p>
        </w:tc>
      </w:tr>
      <w:tr>
        <w:trPr/>
        <w:tc>
          <w:tcPr>
            <w:tcW w:w="114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 Number</w:t>
            </w:r>
          </w:p>
        </w:tc>
        <w:tc>
          <w:tcPr>
            <w:tcW w:w="817" w:type="dxa"/>
            <w:tcBorders/>
            <w:vAlign w:val="bottom"/>
          </w:tcPr>
          <w:p>
            <w:pPr>
              <w:pStyle w:val="TableContents"/>
              <w:bidi w:val="0"/>
              <w:spacing w:before="0" w:after="283"/>
              <w:jc w:val="left"/>
              <w:rPr/>
            </w:pPr>
            <w:r>
              <w:rPr/>
              <w:t>  </w:t>
            </w:r>
          </w:p>
        </w:tc>
        <w:tc>
          <w:tcPr>
            <w:tcW w:w="82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 </w:t>
            </w:r>
            <w:r>
              <w:rPr/>
              <w:t>4.1</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r:id="rId4">
              <w:r>
                <w:rPr>
                  <w:rStyle w:val="InternetLink"/>
                </w:rPr>
                <w:t xml:space="preserve">Sixth Amended and Restated Memorandum and Articles of Association of the Registrant, adopted on August  26, 2026 and effective on September 1, 2026 (incorporated herein by reference to Exhibit 3.1 to Form 6-K (File No.  000-51469), furnished to the Securities and Exchange Commission on August 27, 2026)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 </w:t>
            </w:r>
            <w:r>
              <w:rPr/>
              <w:t>4.2</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r:id="rId5">
              <w:r>
                <w:rPr>
                  <w:rStyle w:val="InternetLink"/>
                </w:rPr>
                <w:t>Registrant’s Specimen Certificate for Class A Ordinary Shares (incorporated herein by reference to Exhibit 4.2 to Amendment No.  5 to the registration statement on Form F-1, as amended (File No. 333-126534), filed with the Securities and Exchange Commission on August 2, 2005)</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 </w:t>
            </w:r>
            <w:r>
              <w:rPr/>
              <w:t>4.3</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r:id="rId6">
              <w:r>
                <w:rPr>
                  <w:rStyle w:val="InternetLink"/>
                </w:rPr>
                <w:t>Form of Deposit Agreement among the Registrant, the depositary and holders of the American Depositary Receipts (incorporated herein by reference to Exhibit 4.3 to the registration statement on Form F-1, as amended (File No. 333-126534) filed with the Securities and Exchange Commission on July 12, 2005)</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 </w:t>
            </w:r>
            <w:r>
              <w:rPr/>
              <w:t>5.1*</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d180416dex51.htm">
              <w:r>
                <w:rPr>
                  <w:rStyle w:val="InternetLink"/>
                </w:rPr>
                <w:t xml:space="preserve">Opinion of Maples and Calder (Hong Kong) LLP, regarding the validity of the Class A ordinary shares being registered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10.1*</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d180416dex101.htm">
              <w:r>
                <w:rPr>
                  <w:rStyle w:val="InternetLink"/>
                </w:rPr>
                <w:t xml:space="preserve">2026 Share Incentive Plan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23.1*</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d180416dex231.htm">
              <w:r>
                <w:rPr>
                  <w:rStyle w:val="InternetLink"/>
                </w:rPr>
                <w:t xml:space="preserve">Consent of Ernst &amp; Young Hua Ming LLP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23.2*</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d180416dex51.htm">
              <w:r>
                <w:rPr>
                  <w:rStyle w:val="InternetLink"/>
                </w:rPr>
                <w:t xml:space="preserve">Consent of Maples and Calder (Hong Kong) LLP (included in Exhibit 5.1)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24.1*</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poa">
              <w:r>
                <w:rPr>
                  <w:rStyle w:val="InternetLink"/>
                </w:rPr>
                <w:t xml:space="preserve">Power of Attorney (included on signature page hereto) </w:t>
              </w:r>
            </w:hyperlink>
          </w:p>
        </w:tc>
      </w:tr>
      <w:tr>
        <w:trPr>
          <w:trHeight w:val="120" w:hRule="atLeast"/>
        </w:trPr>
        <w:tc>
          <w:tcPr>
            <w:tcW w:w="1149" w:type="dxa"/>
            <w:tcBorders/>
            <w:vAlign w:val="center"/>
          </w:tcPr>
          <w:p>
            <w:pPr>
              <w:pStyle w:val="TableContents"/>
              <w:bidi w:val="0"/>
              <w:spacing w:before="0" w:after="283"/>
              <w:jc w:val="left"/>
              <w:rPr>
                <w:sz w:val="4"/>
                <w:szCs w:val="4"/>
              </w:rPr>
            </w:pPr>
            <w:r>
              <w:rPr>
                <w:sz w:val="4"/>
                <w:szCs w:val="4"/>
              </w:rPr>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tcPr>
          <w:p>
            <w:pPr>
              <w:pStyle w:val="TableContents"/>
              <w:bidi w:val="0"/>
              <w:spacing w:before="0" w:after="283"/>
              <w:jc w:val="left"/>
              <w:rPr/>
            </w:pPr>
            <w:r>
              <w:rPr/>
              <w:t>107*</w:t>
            </w:r>
          </w:p>
        </w:tc>
        <w:tc>
          <w:tcPr>
            <w:tcW w:w="817" w:type="dxa"/>
            <w:tcBorders/>
            <w:vAlign w:val="bottom"/>
          </w:tcPr>
          <w:p>
            <w:pPr>
              <w:pStyle w:val="TableContents"/>
              <w:bidi w:val="0"/>
              <w:spacing w:before="0" w:after="283"/>
              <w:jc w:val="left"/>
              <w:rPr/>
            </w:pPr>
            <w:r>
              <w:rPr/>
              <w:t>  </w:t>
            </w:r>
          </w:p>
        </w:tc>
        <w:tc>
          <w:tcPr>
            <w:tcW w:w="8239" w:type="dxa"/>
            <w:tcBorders/>
          </w:tcPr>
          <w:p>
            <w:pPr>
              <w:pStyle w:val="TableContents"/>
              <w:bidi w:val="0"/>
              <w:spacing w:before="0" w:after="283"/>
              <w:jc w:val="left"/>
              <w:rPr/>
            </w:pPr>
            <w:hyperlink w:anchor="d180416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Beijing, China, on October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Baidu,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Robin Yanhong Li</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Robin Yanhong Li</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Chairman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poa"/>
      <w:bookmarkEnd w:id="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severally and not jointly, each of Mr. Robin Yanhong Li and Mr. Haijian He, with full power to act alone, as his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might or could do in person, hereby ratifying and confirming all that each said attorney-in-fact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on October 13, 2026 by the following persons in the capacities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85"/>
        <w:gridCol w:w="126"/>
        <w:gridCol w:w="6094"/>
      </w:tblGrid>
      <w:tr>
        <w:trPr/>
        <w:tc>
          <w:tcPr>
            <w:tcW w:w="398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94"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6" w:type="dxa"/>
            <w:tcBorders/>
            <w:vAlign w:val="bottom"/>
          </w:tcPr>
          <w:p>
            <w:pPr>
              <w:pStyle w:val="TableContents"/>
              <w:bidi w:val="0"/>
              <w:spacing w:before="0" w:after="283"/>
              <w:jc w:val="left"/>
              <w:rPr/>
            </w:pPr>
            <w:r>
              <w:rPr/>
              <w:t>  </w:t>
            </w:r>
          </w:p>
        </w:tc>
        <w:tc>
          <w:tcPr>
            <w:tcW w:w="60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Robin Yanhong Li</w:t>
            </w:r>
          </w:p>
          <w:p>
            <w:pPr>
              <w:pStyle w:val="TableContents"/>
              <w:bidi w:val="0"/>
              <w:spacing w:before="0" w:after="20"/>
              <w:jc w:val="left"/>
              <w:rPr>
                <w:rFonts w:ascii="Times New Roman" w:hAnsi="Times New Roman"/>
                <w:sz w:val="20"/>
              </w:rPr>
            </w:pPr>
            <w:r>
              <w:rPr>
                <w:rFonts w:ascii="Times New Roman" w:hAnsi="Times New Roman"/>
                <w:sz w:val="20"/>
              </w:rPr>
              <w:t>Robin Yanhong Li</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0"/>
              <w:jc w:val="center"/>
              <w:rPr>
                <w:rFonts w:ascii="Times New Roman" w:hAnsi="Times New Roman"/>
                <w:sz w:val="20"/>
              </w:rPr>
            </w:pPr>
            <w:r>
              <w:rPr>
                <w:rFonts w:ascii="Times New Roman" w:hAnsi="Times New Roman"/>
                <w:sz w:val="20"/>
              </w:rPr>
              <w:t>Chairman and 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Yuanqing Yang</w:t>
            </w:r>
          </w:p>
          <w:p>
            <w:pPr>
              <w:pStyle w:val="TableContents"/>
              <w:bidi w:val="0"/>
              <w:spacing w:before="0" w:after="20"/>
              <w:jc w:val="left"/>
              <w:rPr>
                <w:rFonts w:ascii="Times New Roman" w:hAnsi="Times New Roman"/>
                <w:sz w:val="20"/>
              </w:rPr>
            </w:pPr>
            <w:r>
              <w:rPr>
                <w:rFonts w:ascii="Times New Roman" w:hAnsi="Times New Roman"/>
                <w:sz w:val="20"/>
              </w:rPr>
              <w:t>Yuanqing Yang</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283"/>
              <w:jc w:val="center"/>
              <w:rPr/>
            </w:pPr>
            <w:r>
              <w:rPr/>
              <w:t>Director</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Jixun Foo</w:t>
            </w:r>
          </w:p>
          <w:p>
            <w:pPr>
              <w:pStyle w:val="TableContents"/>
              <w:bidi w:val="0"/>
              <w:spacing w:before="0" w:after="20"/>
              <w:jc w:val="left"/>
              <w:rPr>
                <w:rFonts w:ascii="Times New Roman" w:hAnsi="Times New Roman"/>
                <w:sz w:val="20"/>
              </w:rPr>
            </w:pPr>
            <w:r>
              <w:rPr>
                <w:rFonts w:ascii="Times New Roman" w:hAnsi="Times New Roman"/>
                <w:sz w:val="20"/>
              </w:rPr>
              <w:t>Jixun Foo</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283"/>
              <w:jc w:val="center"/>
              <w:rPr/>
            </w:pPr>
            <w:r>
              <w:rPr/>
              <w:t>Director</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Sandy Ran Xu</w:t>
            </w:r>
          </w:p>
          <w:p>
            <w:pPr>
              <w:pStyle w:val="TableContents"/>
              <w:bidi w:val="0"/>
              <w:spacing w:before="0" w:after="20"/>
              <w:jc w:val="left"/>
              <w:rPr>
                <w:rFonts w:ascii="Times New Roman" w:hAnsi="Times New Roman"/>
                <w:sz w:val="20"/>
              </w:rPr>
            </w:pPr>
            <w:r>
              <w:rPr>
                <w:rFonts w:ascii="Times New Roman" w:hAnsi="Times New Roman"/>
                <w:sz w:val="20"/>
              </w:rPr>
              <w:t>Sandy Ran Xu</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283"/>
              <w:jc w:val="center"/>
              <w:rPr/>
            </w:pPr>
            <w:r>
              <w:rPr/>
              <w:t>Director</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Xiaodan Liu</w:t>
            </w:r>
          </w:p>
          <w:p>
            <w:pPr>
              <w:pStyle w:val="TableContents"/>
              <w:bidi w:val="0"/>
              <w:spacing w:before="0" w:after="20"/>
              <w:jc w:val="left"/>
              <w:rPr>
                <w:rFonts w:ascii="Times New Roman" w:hAnsi="Times New Roman"/>
                <w:sz w:val="20"/>
              </w:rPr>
            </w:pPr>
            <w:r>
              <w:rPr>
                <w:rFonts w:ascii="Times New Roman" w:hAnsi="Times New Roman"/>
                <w:sz w:val="20"/>
              </w:rPr>
              <w:t>Xiaodan Liu</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283"/>
              <w:jc w:val="center"/>
              <w:rPr/>
            </w:pPr>
            <w:r>
              <w:rPr/>
              <w:t>Director</w:t>
            </w:r>
          </w:p>
        </w:tc>
      </w:tr>
      <w:tr>
        <w:trPr>
          <w:trHeight w:val="120" w:hRule="atLeast"/>
        </w:trPr>
        <w:tc>
          <w:tcPr>
            <w:tcW w:w="3985" w:type="dxa"/>
            <w:tcBorders/>
            <w:vAlign w:val="center"/>
          </w:tcPr>
          <w:p>
            <w:pPr>
              <w:pStyle w:val="TableContents"/>
              <w:bidi w:val="0"/>
              <w:spacing w:before="0" w:after="283"/>
              <w:jc w:val="left"/>
              <w:rPr>
                <w:sz w:val="4"/>
                <w:szCs w:val="4"/>
              </w:rPr>
            </w:pPr>
            <w:r>
              <w:rPr>
                <w:sz w:val="4"/>
                <w:szCs w:val="4"/>
              </w:rPr>
            </w:r>
          </w:p>
        </w:tc>
        <w:tc>
          <w:tcPr>
            <w:tcW w:w="6220" w:type="dxa"/>
            <w:gridSpan w:val="2"/>
            <w:tcBorders/>
            <w:vAlign w:val="center"/>
          </w:tcPr>
          <w:p>
            <w:pPr>
              <w:pStyle w:val="TableContents"/>
              <w:bidi w:val="0"/>
              <w:spacing w:before="0" w:after="283"/>
              <w:jc w:val="left"/>
              <w:rPr>
                <w:sz w:val="4"/>
                <w:szCs w:val="4"/>
              </w:rPr>
            </w:pPr>
            <w:r>
              <w:rPr>
                <w:sz w:val="4"/>
                <w:szCs w:val="4"/>
              </w:rPr>
            </w:r>
          </w:p>
        </w:tc>
      </w:tr>
      <w:tr>
        <w:trPr/>
        <w:tc>
          <w:tcPr>
            <w:tcW w:w="398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Haijian He</w:t>
            </w:r>
          </w:p>
          <w:p>
            <w:pPr>
              <w:pStyle w:val="TableContents"/>
              <w:bidi w:val="0"/>
              <w:spacing w:before="0" w:after="20"/>
              <w:jc w:val="left"/>
              <w:rPr>
                <w:rFonts w:ascii="Times New Roman" w:hAnsi="Times New Roman"/>
                <w:sz w:val="20"/>
              </w:rPr>
            </w:pPr>
            <w:r>
              <w:rPr>
                <w:rFonts w:ascii="Times New Roman" w:hAnsi="Times New Roman"/>
                <w:sz w:val="20"/>
              </w:rPr>
              <w:t>Haijian He</w:t>
            </w:r>
          </w:p>
        </w:tc>
        <w:tc>
          <w:tcPr>
            <w:tcW w:w="126" w:type="dxa"/>
            <w:tcBorders/>
            <w:vAlign w:val="bottom"/>
          </w:tcPr>
          <w:p>
            <w:pPr>
              <w:pStyle w:val="TableContents"/>
              <w:bidi w:val="0"/>
              <w:spacing w:before="0" w:after="283"/>
              <w:jc w:val="left"/>
              <w:rPr/>
            </w:pPr>
            <w:r>
              <w:rPr/>
              <w:t>  </w:t>
            </w:r>
          </w:p>
        </w:tc>
        <w:tc>
          <w:tcPr>
            <w:tcW w:w="6094"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REPRESENTATIVE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as amended, the undersigned, the duly authorized representative in the United States of Baidu, Inc., has signed this registration statement or amendment thereto in Newark, Delaware, United States of America on October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Authorized U.S. Representative</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Donald J. Puglisi</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Donald J. Puglisi</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right"/>
        <w:rPr>
          <w:rFonts w:ascii="Times New Roman" w:hAnsi="Times New Roman"/>
          <w:b/>
          <w:sz w:val="20"/>
        </w:rPr>
      </w:pPr>
      <w:bookmarkStart w:id="3" w:name="d180416dex51.htm"/>
      <w:bookmarkStart w:id="4" w:name="ksd180416dex51"/>
      <w:bookmarkEnd w:id="3"/>
      <w:bookmarkEnd w:id="4"/>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Ref: JVZ/302152-000002/87481720v2 </w:t>
      </w:r>
    </w:p>
    <w:p>
      <w:pPr>
        <w:pStyle w:val="TextBody"/>
        <w:bidi w:val="0"/>
        <w:spacing w:before="240" w:after="0"/>
        <w:jc w:val="left"/>
        <w:rPr>
          <w:rFonts w:ascii="Times New Roman" w:hAnsi="Times New Roman"/>
          <w:b/>
          <w:sz w:val="20"/>
        </w:rPr>
      </w:pPr>
      <w:r>
        <w:rPr>
          <w:rFonts w:ascii="Times New Roman" w:hAnsi="Times New Roman"/>
          <w:b/>
          <w:sz w:val="20"/>
        </w:rPr>
        <w:t xml:space="preserve">Baidu, Inc. </w:t>
      </w:r>
    </w:p>
    <w:p>
      <w:pPr>
        <w:pStyle w:val="TextBody"/>
        <w:bidi w:val="0"/>
        <w:spacing w:before="0" w:after="0"/>
        <w:jc w:val="left"/>
        <w:rPr>
          <w:rFonts w:ascii="Times New Roman" w:hAnsi="Times New Roman"/>
          <w:sz w:val="20"/>
        </w:rPr>
      </w:pPr>
      <w:r>
        <w:rPr>
          <w:rFonts w:ascii="Times New Roman" w:hAnsi="Times New Roman"/>
          <w:sz w:val="20"/>
        </w:rPr>
        <w:t xml:space="preserve">Baidu Campus </w:t>
      </w:r>
    </w:p>
    <w:p>
      <w:pPr>
        <w:pStyle w:val="TextBody"/>
        <w:bidi w:val="0"/>
        <w:spacing w:before="0" w:after="0"/>
        <w:jc w:val="left"/>
        <w:rPr>
          <w:rFonts w:ascii="Times New Roman" w:hAnsi="Times New Roman"/>
          <w:sz w:val="20"/>
        </w:rPr>
      </w:pPr>
      <w:r>
        <w:rPr>
          <w:rFonts w:ascii="Times New Roman" w:hAnsi="Times New Roman"/>
          <w:sz w:val="20"/>
        </w:rPr>
        <w:t xml:space="preserve">No. 10 Shangdi 10th Street </w:t>
      </w:r>
    </w:p>
    <w:p>
      <w:pPr>
        <w:pStyle w:val="TextBody"/>
        <w:bidi w:val="0"/>
        <w:spacing w:before="0" w:after="0"/>
        <w:jc w:val="left"/>
        <w:rPr>
          <w:rFonts w:ascii="Times New Roman" w:hAnsi="Times New Roman"/>
          <w:sz w:val="20"/>
        </w:rPr>
      </w:pPr>
      <w:r>
        <w:rPr>
          <w:rFonts w:ascii="Times New Roman" w:hAnsi="Times New Roman"/>
          <w:sz w:val="20"/>
        </w:rPr>
        <w:t xml:space="preserve">Haidian District, Beijing 100085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13 October 2026 </w:t>
      </w:r>
    </w:p>
    <w:p>
      <w:pPr>
        <w:pStyle w:val="TextBody"/>
        <w:bidi w:val="0"/>
        <w:spacing w:before="240" w:after="0"/>
        <w:jc w:val="left"/>
        <w:rPr>
          <w:rFonts w:ascii="Times New Roman" w:hAnsi="Times New Roman"/>
          <w:sz w:val="20"/>
        </w:rPr>
      </w:pPr>
      <w:r>
        <w:rPr>
          <w:rFonts w:ascii="Times New Roman" w:hAnsi="Times New Roman"/>
          <w:sz w:val="20"/>
        </w:rPr>
        <w:t xml:space="preserve">Dear Sirs and/or Madams </w:t>
      </w:r>
    </w:p>
    <w:p>
      <w:pPr>
        <w:pStyle w:val="TextBody"/>
        <w:bidi w:val="0"/>
        <w:spacing w:before="240" w:after="0"/>
        <w:jc w:val="left"/>
        <w:rPr>
          <w:rFonts w:ascii="Times New Roman" w:hAnsi="Times New Roman"/>
          <w:b/>
          <w:sz w:val="20"/>
        </w:rPr>
      </w:pPr>
      <w:r>
        <w:rPr>
          <w:rFonts w:ascii="Times New Roman" w:hAnsi="Times New Roman"/>
          <w:b/>
          <w:sz w:val="20"/>
        </w:rPr>
        <w:t xml:space="preserve">Baidu, Inc. </w:t>
      </w:r>
    </w:p>
    <w:p>
      <w:pPr>
        <w:pStyle w:val="TextBody"/>
        <w:bidi w:val="0"/>
        <w:spacing w:before="120" w:after="0"/>
        <w:jc w:val="left"/>
        <w:rPr>
          <w:rFonts w:ascii="Times New Roman" w:hAnsi="Times New Roman"/>
          <w:sz w:val="20"/>
        </w:rPr>
      </w:pPr>
      <w:r>
        <w:rPr>
          <w:rFonts w:ascii="Times New Roman" w:hAnsi="Times New Roman"/>
          <w:sz w:val="20"/>
        </w:rPr>
        <w:t>We have acted as Cayman Islands legal counsel to Baidu, Inc.(the “</w:t>
      </w:r>
      <w:r>
        <w:rPr>
          <w:rFonts w:ascii="Times New Roman" w:hAnsi="Times New Roman"/>
          <w:b/>
          <w:sz w:val="20"/>
        </w:rPr>
        <w:t>Company</w:t>
      </w:r>
      <w:r>
        <w:rPr>
          <w:rFonts w:ascii="Times New Roman" w:hAnsi="Times New Roman"/>
          <w:sz w:val="20"/>
        </w:rPr>
        <w:t>”) in connection with a registration statement on Form S-8 to be filed with the Securities and Exchange Commission (the “</w:t>
      </w:r>
      <w:r>
        <w:rPr>
          <w:rFonts w:ascii="Times New Roman" w:hAnsi="Times New Roman"/>
          <w:b/>
          <w:sz w:val="20"/>
        </w:rPr>
        <w:t>Commission</w:t>
      </w:r>
      <w:r>
        <w:rPr>
          <w:rFonts w:ascii="Times New Roman" w:hAnsi="Times New Roman"/>
          <w:sz w:val="20"/>
        </w:rPr>
        <w:t>”) on or around 13 October 2026 (the “</w:t>
      </w:r>
      <w:r>
        <w:rPr>
          <w:rFonts w:ascii="Times New Roman" w:hAnsi="Times New Roman"/>
          <w:b/>
          <w:sz w:val="20"/>
        </w:rPr>
        <w:t>Registration Statement</w:t>
      </w:r>
      <w:r>
        <w:rPr>
          <w:rFonts w:ascii="Times New Roman" w:hAnsi="Times New Roman"/>
          <w:sz w:val="20"/>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Times New Roman" w:hAnsi="Times New Roman"/>
          <w:b/>
          <w:sz w:val="20"/>
        </w:rPr>
        <w:t>Securities Act</w:t>
      </w:r>
      <w:r>
        <w:rPr>
          <w:rFonts w:ascii="Times New Roman" w:hAnsi="Times New Roman"/>
          <w:sz w:val="20"/>
        </w:rPr>
        <w:t>”) of 273,356,149 class A ordinary shares of par value US$0.000000625 per share in the capital of the Company (the “</w:t>
      </w:r>
      <w:r>
        <w:rPr>
          <w:rFonts w:ascii="Times New Roman" w:hAnsi="Times New Roman"/>
          <w:b/>
          <w:sz w:val="20"/>
        </w:rPr>
        <w:t>Shares</w:t>
      </w:r>
      <w:r>
        <w:rPr>
          <w:rFonts w:ascii="Times New Roman" w:hAnsi="Times New Roman"/>
          <w:sz w:val="20"/>
        </w:rPr>
        <w:t>”), issuable by the Company pursuant to the 2026 share incentive plan of the Company (the “</w:t>
      </w:r>
      <w:r>
        <w:rPr>
          <w:rFonts w:ascii="Times New Roman" w:hAnsi="Times New Roman"/>
          <w:b/>
          <w:sz w:val="20"/>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the purposes of giving this opinion, we have examined copies of the Registration Statement and the Plan. We have also reviewed copies of the sixth amended and restated memorandum and articles of association of the Company adopted by special resolution passed on 26 August 2026 and effective on 1 September 2026 (the “</w:t>
      </w:r>
      <w:r>
        <w:rPr>
          <w:rFonts w:ascii="Times New Roman" w:hAnsi="Times New Roman"/>
          <w:b/>
          <w:sz w:val="20"/>
        </w:rPr>
        <w:t>Memorandum and</w:t>
      </w:r>
      <w:r>
        <w:rPr>
          <w:rFonts w:ascii="Times New Roman" w:hAnsi="Times New Roman"/>
          <w:sz w:val="20"/>
        </w:rPr>
        <w:t xml:space="preserve"> </w:t>
      </w:r>
      <w:r>
        <w:rPr>
          <w:rFonts w:ascii="Times New Roman" w:hAnsi="Times New Roman"/>
          <w:b/>
          <w:sz w:val="20"/>
        </w:rPr>
        <w:t>Articles</w:t>
      </w:r>
      <w:r>
        <w:rPr>
          <w:rFonts w:ascii="Times New Roman" w:hAnsi="Times New Roman"/>
          <w:sz w:val="20"/>
        </w:rPr>
        <w:t>”), and the resolutions of the board of directors of the Company passed on 16 July 2026 (the “</w:t>
      </w:r>
      <w:r>
        <w:rPr>
          <w:rFonts w:ascii="Times New Roman" w:hAnsi="Times New Roman"/>
          <w:b/>
          <w:sz w:val="20"/>
        </w:rPr>
        <w:t>July 2026 Board Resolutions</w:t>
      </w:r>
      <w:r>
        <w:rPr>
          <w:rFonts w:ascii="Times New Roman" w:hAnsi="Times New Roman"/>
          <w:sz w:val="20"/>
        </w:rPr>
        <w:t>”), and the resolutions of the board of directors of the Company passed on 24 September 2026 (the “</w:t>
      </w:r>
      <w:r>
        <w:rPr>
          <w:rFonts w:ascii="Times New Roman" w:hAnsi="Times New Roman"/>
          <w:b/>
          <w:sz w:val="20"/>
        </w:rPr>
        <w:t>September 2026 Board Resolutions</w:t>
      </w:r>
      <w:r>
        <w:rPr>
          <w:rFonts w:ascii="Times New Roman" w:hAnsi="Times New Roman"/>
          <w:sz w:val="20"/>
        </w:rPr>
        <w:t>”, together with the July 2026 Board Resolutions, the “</w:t>
      </w:r>
      <w:r>
        <w:rPr>
          <w:rFonts w:ascii="Times New Roman" w:hAnsi="Times New Roman"/>
          <w:b/>
          <w:sz w:val="20"/>
        </w:rPr>
        <w:t>Resolutions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assumptions and qualifications set out below, and having regard to such legal considerations as we deem relevant,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to be issued by the Company and registered under the Registration Statement have been duly and validly authorised.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issued, sold and paid for in accordance with the terms of the Plan and in accordance with the Resolutions, and when appropriate entries are made in the register of members (shareholders) of the Company, the Shares will be validly issued, fully paid and non-assessable.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240" w:after="0"/>
        <w:jc w:val="left"/>
        <w:rPr>
          <w:rFonts w:ascii="Times New Roman" w:hAnsi="Times New Roman"/>
          <w:sz w:val="20"/>
        </w:rPr>
      </w:pPr>
      <w:r>
        <w:rPr>
          <w:rFonts w:ascii="Times New Roman" w:hAnsi="Times New Roman"/>
          <w:sz w:val="20"/>
        </w:rPr>
        <w:t xml:space="preserve">These opinions are subject to the qualification that under the Companies Act (As Revised) of the Cayman Islands, the register of members of a Cayman Islands company is by statute regarded as </w:t>
      </w:r>
      <w:r>
        <w:rPr>
          <w:rFonts w:ascii="Times New Roman" w:hAnsi="Times New Roman"/>
          <w:i/>
          <w:sz w:val="20"/>
        </w:rPr>
        <w:t>prima facie</w:t>
      </w:r>
      <w:r>
        <w:rPr>
          <w:rFonts w:ascii="Times New Roman" w:hAnsi="Times New Roman"/>
          <w:sz w:val="20"/>
        </w:rPr>
        <w:t xml:space="preserve"> evidence of any matters which the Companies Act (As Revised) directs or authorises to be inserted therein. A third party interest in the shares in question would not appear. An entry in the register of members may yield to a court order for rectification (for example, in the event of fraud or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(including, without limitation, with respect to the disclosure of interests (if any) by directors of the Company)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opinions set out above, and (h) upon the issue of any Shares, the Company will receive consideration which shall be equal to at least the par value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to and for the benefit solely of the addressee and may not be relied upon by any other person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Maples and Calder (Hong Kong) LLP </w:t>
      </w:r>
    </w:p>
    <w:p>
      <w:pPr>
        <w:pStyle w:val="TextBody"/>
        <w:bidi w:val="0"/>
        <w:spacing w:before="240" w:after="0"/>
        <w:jc w:val="left"/>
        <w:rPr>
          <w:rFonts w:ascii="Times New Roman" w:hAnsi="Times New Roman"/>
          <w:sz w:val="20"/>
        </w:rPr>
      </w:pPr>
      <w:r>
        <w:rPr>
          <w:rFonts w:ascii="Times New Roman" w:hAnsi="Times New Roman"/>
          <w:sz w:val="20"/>
        </w:rPr>
        <w:t xml:space="preserve">Maples and Calder (Hong Kong) LLP </w:t>
      </w:r>
    </w:p>
    <w:p>
      <w:pPr>
        <w:pStyle w:val="TextBody"/>
        <w:bidi w:val="0"/>
        <w:spacing w:before="0" w:after="0"/>
        <w:jc w:val="right"/>
        <w:rPr>
          <w:rFonts w:ascii="Times New Roman" w:hAnsi="Times New Roman"/>
          <w:b/>
          <w:sz w:val="20"/>
        </w:rPr>
      </w:pPr>
      <w:bookmarkStart w:id="5" w:name="d180416dex101.htm"/>
      <w:bookmarkStart w:id="6" w:name="ksd180416dex101"/>
      <w:bookmarkEnd w:id="5"/>
      <w:bookmarkEnd w:id="6"/>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240" w:after="0"/>
        <w:jc w:val="center"/>
        <w:rPr>
          <w:rFonts w:ascii="Times New Roman" w:hAnsi="Times New Roman"/>
          <w:b/>
          <w:sz w:val="20"/>
        </w:rPr>
      </w:pPr>
      <w:r>
        <w:rPr>
          <w:rFonts w:ascii="Times New Roman" w:hAnsi="Times New Roman"/>
          <w:b/>
          <w:sz w:val="20"/>
        </w:rPr>
        <w:t xml:space="preserve">2026 SHARE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this 2026 Share Incentive Plan (the “</w:t>
      </w:r>
      <w:r>
        <w:rPr>
          <w:rFonts w:ascii="Times New Roman" w:hAnsi="Times New Roman"/>
          <w:sz w:val="20"/>
          <w:u w:val="single"/>
        </w:rPr>
        <w:t>Plan</w:t>
      </w:r>
      <w:r>
        <w:rPr>
          <w:rFonts w:ascii="Times New Roman" w:hAnsi="Times New Roman"/>
          <w:sz w:val="20"/>
        </w:rPr>
        <w:t>”) is to promote the success and enhance the value of Baidu, Inc., a company incorporated under the laws of the Cayman Islands (the “</w:t>
      </w:r>
      <w:r>
        <w:rPr>
          <w:rFonts w:ascii="Times New Roman" w:hAnsi="Times New Roman"/>
          <w:sz w:val="20"/>
          <w:u w:val="single"/>
        </w:rPr>
        <w:t>Company</w:t>
      </w:r>
      <w:r>
        <w:rPr>
          <w:rFonts w:ascii="Times New Roman" w:hAnsi="Times New Roman"/>
          <w:sz w:val="20"/>
        </w:rPr>
        <w:t xml:space="preserve">”) by linking the personal interests of the members of the Eligible Participants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members of the Eligible Participants upon whose judgment, interest, and special effort the successful conduct of the Company’s operation is largely dependent.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CONSTRUCTION </w:t>
      </w:r>
    </w:p>
    <w:p>
      <w:pPr>
        <w:pStyle w:val="TextBody"/>
        <w:bidi w:val="0"/>
        <w:spacing w:before="240" w:after="0"/>
        <w:jc w:val="left"/>
        <w:rPr>
          <w:rFonts w:ascii="Times New Roman" w:hAnsi="Times New Roman"/>
          <w:sz w:val="20"/>
        </w:rPr>
      </w:pPr>
      <w:r>
        <w:rPr>
          <w:rFonts w:ascii="Times New Roman" w:hAnsi="Times New Roman"/>
          <w:sz w:val="20"/>
        </w:rPr>
        <w:t xml:space="preserve">Wherever the following terms are used in the Plan, they shall have the meanings specified below, unless the context clearly indicates otherwise. The singular pronoun shall include the plural where the context so indicates.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pPr>
            <w:r>
              <w:rPr/>
              <w:t>“</w:t>
            </w:r>
            <w:r>
              <w:rPr>
                <w:rFonts w:ascii="Times New Roman" w:hAnsi="Times New Roman"/>
                <w:sz w:val="20"/>
                <w:u w:val="single"/>
              </w:rPr>
              <w:t>ADS</w:t>
            </w:r>
            <w:r>
              <w:rPr>
                <w:rFonts w:ascii="Times New Roman" w:hAnsi="Times New Roman"/>
                <w:sz w:val="20"/>
              </w:rPr>
              <w:t xml:space="preserve">” means an American depositary share, each representing eight (8) Shares, as may be adjusted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2.2</w:t>
            </w:r>
          </w:p>
        </w:tc>
        <w:tc>
          <w:tcPr>
            <w:tcW w:w="9697" w:type="dxa"/>
            <w:tcBorders/>
          </w:tcPr>
          <w:p>
            <w:pPr>
              <w:pStyle w:val="TableContents"/>
              <w:bidi w:val="0"/>
              <w:spacing w:before="0" w:after="0"/>
              <w:jc w:val="left"/>
              <w:rPr/>
            </w:pPr>
            <w:r>
              <w:rPr/>
              <w:t>“</w:t>
            </w:r>
            <w:r>
              <w:rPr>
                <w:rFonts w:ascii="Times New Roman" w:hAnsi="Times New Roman"/>
                <w:sz w:val="20"/>
                <w:u w:val="single"/>
              </w:rPr>
              <w:t>Applicable Laws</w:t>
            </w:r>
            <w:r>
              <w:rPr>
                <w:rFonts w:ascii="Times New Roman" w:hAnsi="Times New Roman"/>
                <w:sz w:val="20"/>
              </w:rPr>
              <w:t xml:space="preserve">” means (i) the laws of the Cayman Islands, the laws of Hong Kong, as they relate to the Company and its Shares; (ii) the legal requirements relating to the Plan and the Awards under applicable provisions of the corporate, securities, tax and other laws, rules, regulations and government orders; and (iii) the rules of any applicable stock exchange (including the Hong Kong Listing Rules), of any jurisdiction applicable to Awards granted to residents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pPr>
            <w:r>
              <w:rPr/>
              <w:t>“</w:t>
            </w:r>
            <w:r>
              <w:rPr>
                <w:rFonts w:ascii="Times New Roman" w:hAnsi="Times New Roman"/>
                <w:sz w:val="20"/>
                <w:u w:val="single"/>
              </w:rPr>
              <w:t>Award</w:t>
            </w:r>
            <w:r>
              <w:rPr>
                <w:rFonts w:ascii="Times New Roman" w:hAnsi="Times New Roman"/>
                <w:sz w:val="20"/>
              </w:rPr>
              <w:t xml:space="preserve">” means an Option, Restricted Share, Restricted Share Unit or any other form of award granted to a Participant pursuant to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2.4</w:t>
            </w:r>
          </w:p>
        </w:tc>
        <w:tc>
          <w:tcPr>
            <w:tcW w:w="9696" w:type="dxa"/>
            <w:tcBorders/>
          </w:tcPr>
          <w:p>
            <w:pPr>
              <w:pStyle w:val="TableContents"/>
              <w:bidi w:val="0"/>
              <w:spacing w:before="0" w:after="0"/>
              <w:jc w:val="left"/>
              <w:rPr/>
            </w:pPr>
            <w:r>
              <w:rPr/>
              <w:t>“</w:t>
            </w:r>
            <w:r>
              <w:rPr>
                <w:rFonts w:ascii="Times New Roman" w:hAnsi="Times New Roman"/>
                <w:sz w:val="20"/>
                <w:u w:val="single"/>
              </w:rPr>
              <w:t>Award Agreement</w:t>
            </w:r>
            <w:r>
              <w:rPr>
                <w:rFonts w:ascii="Times New Roman" w:hAnsi="Times New Roman"/>
                <w:sz w:val="20"/>
              </w:rPr>
              <w:t xml:space="preserve">” means any written agreement, contract, or other instrument or document evidencing an Award, including through electronic medium.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w:t>
            </w:r>
          </w:p>
        </w:tc>
        <w:tc>
          <w:tcPr>
            <w:tcW w:w="9696" w:type="dxa"/>
            <w:tcBorders/>
          </w:tcPr>
          <w:p>
            <w:pPr>
              <w:pStyle w:val="TableContents"/>
              <w:bidi w:val="0"/>
              <w:spacing w:before="0" w:after="0"/>
              <w:jc w:val="left"/>
              <w:rPr/>
            </w:pPr>
            <w:r>
              <w:rPr/>
              <w:t>“</w:t>
            </w:r>
            <w:r>
              <w:rPr>
                <w:rFonts w:ascii="Times New Roman" w:hAnsi="Times New Roman"/>
                <w:sz w:val="20"/>
                <w:u w:val="single"/>
              </w:rPr>
              <w:t>Board</w:t>
            </w:r>
            <w:r>
              <w:rPr>
                <w:rFonts w:ascii="Times New Roman" w:hAnsi="Times New Roman"/>
                <w:sz w:val="20"/>
              </w:rPr>
              <w:t xml:space="preserve">” means the Board of Directors of the Company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2.6</w:t>
            </w:r>
          </w:p>
        </w:tc>
        <w:tc>
          <w:tcPr>
            <w:tcW w:w="9696" w:type="dxa"/>
            <w:tcBorders/>
          </w:tcPr>
          <w:p>
            <w:pPr>
              <w:pStyle w:val="TableContents"/>
              <w:bidi w:val="0"/>
              <w:spacing w:before="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of the United States,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2.7</w:t>
            </w:r>
          </w:p>
        </w:tc>
        <w:tc>
          <w:tcPr>
            <w:tcW w:w="9696" w:type="dxa"/>
            <w:tcBorders/>
          </w:tcPr>
          <w:p>
            <w:pPr>
              <w:pStyle w:val="TableContents"/>
              <w:bidi w:val="0"/>
              <w:spacing w:before="0" w:after="0"/>
              <w:jc w:val="left"/>
              <w:rPr/>
            </w:pPr>
            <w:r>
              <w:rPr/>
              <w:t>“</w:t>
            </w:r>
            <w:r>
              <w:rPr>
                <w:rFonts w:ascii="Times New Roman" w:hAnsi="Times New Roman"/>
                <w:sz w:val="20"/>
                <w:u w:val="single"/>
              </w:rPr>
              <w:t>Committee</w:t>
            </w:r>
            <w:r>
              <w:rPr>
                <w:rFonts w:ascii="Times New Roman" w:hAnsi="Times New Roman"/>
                <w:sz w:val="20"/>
              </w:rPr>
              <w:t xml:space="preserve">” means the committee of the Board described in Article 10.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2.8</w:t>
            </w:r>
          </w:p>
        </w:tc>
        <w:tc>
          <w:tcPr>
            <w:tcW w:w="9695" w:type="dxa"/>
            <w:tcBorders/>
          </w:tcPr>
          <w:p>
            <w:pPr>
              <w:pStyle w:val="TableContents"/>
              <w:bidi w:val="0"/>
              <w:spacing w:before="0" w:after="0"/>
              <w:jc w:val="left"/>
              <w:rPr/>
            </w:pPr>
            <w:r>
              <w:rPr/>
              <w:t>“</w:t>
            </w:r>
            <w:r>
              <w:rPr>
                <w:rFonts w:ascii="Times New Roman" w:hAnsi="Times New Roman"/>
                <w:sz w:val="20"/>
                <w:u w:val="single"/>
              </w:rPr>
              <w:t>Consultant</w:t>
            </w:r>
            <w:r>
              <w:rPr>
                <w:rFonts w:ascii="Times New Roman" w:hAnsi="Times New Roman"/>
                <w:sz w:val="20"/>
              </w:rPr>
              <w:t xml:space="preserve">” means any consultant or adviser if: (a) the consultant or adviser renders bona fide services to the Group on matters such as (but not limited to) technology, business operation, business development, finance and strategic planning services; (b) the services rendered by the consultant or adviser are not in connection with the offer or sale of securities in a capital-raising transaction and do not directly or indirectly promote or maintain a market for the Company’s securities; (c) the consultant or adviser is a natural person who has contracted directly with the Group to render such services; and (d) such services from the Consultant are on a continuing or recurring basis in the Group’s ordinary and usual course of business and which are in the interests of the long term growth of the Group, as determined by the Committee and in accordance with Rule 17.03A(1) of the Hong Kong Listing Rules. In assessing whether a Consultant provides services to the Group on a continuing and recurring basis, the Committee shall take into consideration the length and type of services provided and the recurrence and regularity of such services, and will benchmark such metrics against the performance of the employees, officers and directors of the Group to whom the Group provides equity incentives, while taking into account the purpose of this Plan and the objectives in engaging the Consultant. For the avoidance of doubt, (i) placing agents or financial advisers providing advisory services for fundraising, mergers or acquisitions, or (ii) professional service providers such as auditors or valuers who provide assurance or are required to perform their services with impartiality and objectivity, may not be Consultants for the purposes of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2.9</w:t>
            </w:r>
          </w:p>
        </w:tc>
        <w:tc>
          <w:tcPr>
            <w:tcW w:w="9696" w:type="dxa"/>
            <w:tcBorders/>
          </w:tcPr>
          <w:p>
            <w:pPr>
              <w:pStyle w:val="TableContents"/>
              <w:bidi w:val="0"/>
              <w:spacing w:before="0" w:after="0"/>
              <w:jc w:val="left"/>
              <w:rPr/>
            </w:pPr>
            <w:r>
              <w:rPr/>
              <w:t>“</w:t>
            </w:r>
            <w:r>
              <w:rPr>
                <w:rFonts w:ascii="Times New Roman" w:hAnsi="Times New Roman"/>
                <w:sz w:val="20"/>
                <w:u w:val="single"/>
              </w:rPr>
              <w:t>Consultant Sublimit</w:t>
            </w:r>
            <w:r>
              <w:rPr>
                <w:rFonts w:ascii="Times New Roman" w:hAnsi="Times New Roman"/>
                <w:sz w:val="20"/>
              </w:rPr>
              <w:t xml:space="preserve">” means the sublimit applicable to Consultants under Section 3.1(a)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2.10</w:t>
            </w:r>
          </w:p>
        </w:tc>
        <w:tc>
          <w:tcPr>
            <w:tcW w:w="9696" w:type="dxa"/>
            <w:tcBorders/>
          </w:tcPr>
          <w:p>
            <w:pPr>
              <w:pStyle w:val="TableContents"/>
              <w:bidi w:val="0"/>
              <w:spacing w:before="0" w:after="0"/>
              <w:jc w:val="left"/>
              <w:rPr/>
            </w:pPr>
            <w:r>
              <w:rPr/>
              <w:t>“</w:t>
            </w:r>
            <w:r>
              <w:rPr>
                <w:rFonts w:ascii="Times New Roman" w:hAnsi="Times New Roman"/>
                <w:sz w:val="20"/>
                <w:u w:val="single"/>
              </w:rPr>
              <w:t>Corporate Transaction</w:t>
            </w:r>
            <w:r>
              <w:rPr>
                <w:rFonts w:ascii="Times New Roman" w:hAnsi="Times New Roman"/>
                <w:sz w:val="20"/>
              </w:rPr>
              <w:t xml:space="preserve">” means any of the following transactions or occurrences,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Committee shall determine whether multiple transactions are related, and its determination shall be final, binding and conclusive: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amalgamation, arrangement, consolidation or scheme of arrangement (i) in which the Company is not the surviving entity, except for any such transaction the principal purpose of which is to change the jurisdiction in which the Company is incorporated or (ii) following which the holders of the voting securities of the Company do not continue to hold more than fifty percent (50%) of the combined voting power of the voting securities of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transfer or other disposition of all or substantially all of the assets of the Company (including the capital stock or other equity securities of the Company’s Subsidiaries and Related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0"/>
        <w:gridCol w:w="9085"/>
      </w:tblGrid>
      <w:tr>
        <w:trPr/>
        <w:tc>
          <w:tcPr>
            <w:tcW w:w="510"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a voluntary or insolvent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acquisition by any person or related group of persons (other than the Company or a person that directly or indirectly controls, is controlled by, or is under common control with, the Company) of beneficial ownership (within the meaning of Rule 13d-3 under the Exchange Act) of securities possessing at least fifty percent (50%) of the total combined voting power of the Company’s outstanding securities;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(e)</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the individuals who, as of the Effective Date, are members of the Board (the “</w:t>
            </w:r>
            <w:r>
              <w:rPr>
                <w:rFonts w:ascii="Times New Roman" w:hAnsi="Times New Roman"/>
                <w:sz w:val="20"/>
                <w:u w:val="single"/>
              </w:rPr>
              <w:t>Incumbent</w:t>
            </w:r>
            <w:r>
              <w:rPr>
                <w:rFonts w:ascii="Times New Roman" w:hAnsi="Times New Roman"/>
                <w:sz w:val="20"/>
              </w:rPr>
              <w:t xml:space="preserve"> </w:t>
            </w:r>
            <w:r>
              <w:rPr>
                <w:rFonts w:ascii="Times New Roman" w:hAnsi="Times New Roman"/>
                <w:sz w:val="20"/>
                <w:u w:val="single"/>
              </w:rPr>
              <w:t>Board</w:t>
            </w:r>
            <w:r>
              <w:rPr>
                <w:rFonts w:ascii="Times New Roman" w:hAnsi="Times New Roman"/>
                <w:sz w:val="20"/>
              </w:rPr>
              <w:t xml:space="preserve">”), cease for any reason to constitute at least fifty percent (50%) of the Board; provided that if the election, or nomination for election by the Company’s shareholders, of any new member of the Board is approved by the Incumbent Board pursuant to then the effective Articles of Association of the Company, such new member of the Board shall be considered as a member of the Incumbent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2.11</w:t>
            </w:r>
          </w:p>
        </w:tc>
        <w:tc>
          <w:tcPr>
            <w:tcW w:w="9696" w:type="dxa"/>
            <w:tcBorders/>
          </w:tcPr>
          <w:p>
            <w:pPr>
              <w:pStyle w:val="TableContents"/>
              <w:bidi w:val="0"/>
              <w:spacing w:before="0" w:after="0"/>
              <w:jc w:val="left"/>
              <w:rPr/>
            </w:pPr>
            <w:r>
              <w:rPr/>
              <w:t>“</w:t>
            </w:r>
            <w:r>
              <w:rPr>
                <w:rFonts w:ascii="Times New Roman" w:hAnsi="Times New Roman"/>
                <w:sz w:val="20"/>
                <w:u w:val="single"/>
              </w:rPr>
              <w:t>Director</w:t>
            </w:r>
            <w:r>
              <w:rPr>
                <w:rFonts w:ascii="Times New Roman" w:hAnsi="Times New Roman"/>
                <w:sz w:val="20"/>
              </w:rPr>
              <w:t xml:space="preserve">” means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2.12</w:t>
            </w:r>
          </w:p>
        </w:tc>
        <w:tc>
          <w:tcPr>
            <w:tcW w:w="9696" w:type="dxa"/>
            <w:tcBorders/>
          </w:tcPr>
          <w:p>
            <w:pPr>
              <w:pStyle w:val="TableContents"/>
              <w:bidi w:val="0"/>
              <w:spacing w:before="0" w:after="0"/>
              <w:jc w:val="left"/>
              <w:rPr/>
            </w:pPr>
            <w:r>
              <w:rPr/>
              <w:t>“</w:t>
            </w:r>
            <w:r>
              <w:rPr>
                <w:rFonts w:ascii="Times New Roman" w:hAnsi="Times New Roman"/>
                <w:sz w:val="20"/>
                <w:u w:val="single"/>
              </w:rPr>
              <w:t>Disability</w:t>
            </w:r>
            <w:r>
              <w:rPr>
                <w:rFonts w:ascii="Times New Roman" w:hAnsi="Times New Roman"/>
                <w:sz w:val="20"/>
              </w:rPr>
              <w:t xml:space="preserve">” means that the Participant qualifies to receive long-term disability payments under the Group’s long-term disability insurance program, as it may be amended from time to time, to which the Participant provides services regardless of whether the Participant is covered by such policy. If the Group’s entity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180 consecutive days. A Participant will not be considered to have incurred a Disability unless he or she furnishes proof of such impairment sufficient to satisfy the Committee in its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2.13</w:t>
            </w:r>
          </w:p>
        </w:tc>
        <w:tc>
          <w:tcPr>
            <w:tcW w:w="9696" w:type="dxa"/>
            <w:tcBorders/>
          </w:tcPr>
          <w:p>
            <w:pPr>
              <w:pStyle w:val="TableContents"/>
              <w:bidi w:val="0"/>
              <w:spacing w:before="0" w:after="0"/>
              <w:jc w:val="left"/>
              <w:rPr/>
            </w:pPr>
            <w:r>
              <w:rPr/>
              <w:t>“</w:t>
            </w:r>
            <w:r>
              <w:rPr>
                <w:rFonts w:ascii="Times New Roman" w:hAnsi="Times New Roman"/>
                <w:sz w:val="20"/>
                <w:u w:val="single"/>
              </w:rPr>
              <w:t>Effective Date</w:t>
            </w:r>
            <w:r>
              <w:rPr>
                <w:rFonts w:ascii="Times New Roman" w:hAnsi="Times New Roman"/>
                <w:sz w:val="20"/>
              </w:rPr>
              <w:t xml:space="preserve">” shall have the meaning set forth in Section 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2.14</w:t>
            </w:r>
          </w:p>
        </w:tc>
        <w:tc>
          <w:tcPr>
            <w:tcW w:w="9695" w:type="dxa"/>
            <w:tcBorders/>
          </w:tcPr>
          <w:p>
            <w:pPr>
              <w:pStyle w:val="TableContents"/>
              <w:bidi w:val="0"/>
              <w:spacing w:before="0" w:after="0"/>
              <w:jc w:val="left"/>
              <w:rPr/>
            </w:pPr>
            <w:r>
              <w:rPr/>
              <w:t>“</w:t>
            </w:r>
            <w:r>
              <w:rPr>
                <w:rFonts w:ascii="Times New Roman" w:hAnsi="Times New Roman"/>
                <w:sz w:val="20"/>
                <w:u w:val="single"/>
              </w:rPr>
              <w:t>Eligible Participants</w:t>
            </w:r>
            <w:r>
              <w:rPr>
                <w:rFonts w:ascii="Times New Roman" w:hAnsi="Times New Roman"/>
                <w:sz w:val="20"/>
              </w:rPr>
              <w:t xml:space="preserve">” means Employees, directors and employees of the Related Entities and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2.15</w:t>
            </w:r>
          </w:p>
        </w:tc>
        <w:tc>
          <w:tcPr>
            <w:tcW w:w="9695" w:type="dxa"/>
            <w:tcBorders/>
          </w:tcPr>
          <w:p>
            <w:pPr>
              <w:pStyle w:val="TableContents"/>
              <w:bidi w:val="0"/>
              <w:spacing w:before="0" w:after="0"/>
              <w:jc w:val="left"/>
              <w:rPr/>
            </w:pPr>
            <w:r>
              <w:rPr/>
              <w:t>“</w:t>
            </w:r>
            <w:r>
              <w:rPr>
                <w:rFonts w:ascii="Times New Roman" w:hAnsi="Times New Roman"/>
                <w:sz w:val="20"/>
                <w:u w:val="single"/>
              </w:rPr>
              <w:t>Employee</w:t>
            </w:r>
            <w:r>
              <w:rPr>
                <w:rFonts w:ascii="Times New Roman" w:hAnsi="Times New Roman"/>
                <w:sz w:val="20"/>
              </w:rPr>
              <w:t xml:space="preserve">” means any person, including an officer or member of the Board of the Company or any Subsidiary of the Company, who is in the employment of the Group (whether full-time or part-time, and includes a person who is granted an Award as an inducement to enter into an employment relationship with the Group), subject to the control and direction of the Group as to both the work to be performed and the manner and method of performance. The payment of a director’s fee by the Group shall not be sufficient to constitute “employment” by the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2.16</w:t>
            </w:r>
          </w:p>
        </w:tc>
        <w:tc>
          <w:tcPr>
            <w:tcW w:w="9696" w:type="dxa"/>
            <w:tcBorders/>
          </w:tcPr>
          <w:p>
            <w:pPr>
              <w:pStyle w:val="TableContents"/>
              <w:bidi w:val="0"/>
              <w:spacing w:before="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of the United States,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2.17</w:t>
            </w:r>
          </w:p>
        </w:tc>
        <w:tc>
          <w:tcPr>
            <w:tcW w:w="9696" w:type="dxa"/>
            <w:tcBorders/>
          </w:tcPr>
          <w:p>
            <w:pPr>
              <w:pStyle w:val="TableContents"/>
              <w:bidi w:val="0"/>
              <w:spacing w:before="0" w:after="0"/>
              <w:jc w:val="left"/>
              <w:rPr/>
            </w:pPr>
            <w:r>
              <w:rPr/>
              <w:t>“</w:t>
            </w:r>
            <w:r>
              <w:rPr>
                <w:rFonts w:ascii="Times New Roman" w:hAnsi="Times New Roman"/>
                <w:sz w:val="20"/>
                <w:u w:val="single"/>
              </w:rPr>
              <w:t>Fair Market Value</w:t>
            </w:r>
            <w:r>
              <w:rPr>
                <w:rFonts w:ascii="Times New Roman" w:hAnsi="Times New Roman"/>
                <w:sz w:val="20"/>
              </w:rPr>
              <w:t xml:space="preserve">” means, as of any date, the value of Shares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Shares are listed on one or more established and regulated stock exchanges or national market systems, including without limitation, The Nasdaq Stock Market and the Hong Kong Stock Exchange, its Fair Market Value shall be the closing sales price for such shares (or the closing bid, if no sales were reported) as quoted on the principal exchange or system on which the Shares are listed (as determined by the Committee) on the last trading date, on which such closing sales price or closing bid was reported, prior to the date of determination, as reported in The Wall Street Journal or such other source as the Committee deems reliable;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w:t>
            </w:r>
            <w:r>
              <w:rPr>
                <w:rFonts w:ascii="Times New Roman" w:hAnsi="Times New Roman"/>
                <w:i/>
                <w:sz w:val="20"/>
              </w:rPr>
              <w:t xml:space="preserve">The Wall Street Journal </w:t>
            </w:r>
            <w:r>
              <w:rPr>
                <w:rFonts w:ascii="Times New Roman" w:hAnsi="Times New Roman"/>
                <w:sz w:val="20"/>
              </w:rPr>
              <w:t xml:space="preserve">or such other source as the Committee deems reliable;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1"/>
        <w:gridCol w:w="9087"/>
      </w:tblGrid>
      <w:tr>
        <w:trPr/>
        <w:tc>
          <w:tcPr>
            <w:tcW w:w="5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or (iv) such other relevant methodologies or information as the Committee determines to be indicative of Fair Market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2.18</w:t>
            </w:r>
          </w:p>
        </w:tc>
        <w:tc>
          <w:tcPr>
            <w:tcW w:w="9696" w:type="dxa"/>
            <w:tcBorders/>
          </w:tcPr>
          <w:p>
            <w:pPr>
              <w:pStyle w:val="TableContents"/>
              <w:bidi w:val="0"/>
              <w:spacing w:before="0" w:after="0"/>
              <w:jc w:val="left"/>
              <w:rPr/>
            </w:pPr>
            <w:r>
              <w:rPr/>
              <w:t>“</w:t>
            </w:r>
            <w:r>
              <w:rPr>
                <w:rFonts w:ascii="Times New Roman" w:hAnsi="Times New Roman"/>
                <w:sz w:val="20"/>
                <w:u w:val="single"/>
              </w:rPr>
              <w:t>Good Reason</w:t>
            </w:r>
            <w:r>
              <w:rPr>
                <w:rFonts w:ascii="Times New Roman" w:hAnsi="Times New Roman"/>
                <w:sz w:val="20"/>
              </w:rPr>
              <w:t xml:space="preserve">” means the occurrence after a Corporate Transaction of any of the following events or conditions unless consented to by the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decrease in the Participant’s base salary and/or a material decrease in his or her standard management bonus plan or employee benefits as in effect at any time within six (6) months preceding the date of a Corporate Transaction or at any time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material adverse change in the Participant’s title, authority, responsibilities or duties, as measured against his or her title, authority, responsibilities or duties immediately prior to such change, as in effect at any time within six (6) months preceding the date of a Corporate Transaction or at any time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a requirement that such Participant relocate more than sixty (60) miles from his or her current primary residence, or that the principal place of business of the Company be relocated more than sixty (60) miles from the city of Beijing, China;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death or Disability of the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2.19</w:t>
            </w:r>
          </w:p>
        </w:tc>
        <w:tc>
          <w:tcPr>
            <w:tcW w:w="9696" w:type="dxa"/>
            <w:tcBorders/>
          </w:tcPr>
          <w:p>
            <w:pPr>
              <w:pStyle w:val="TableContents"/>
              <w:bidi w:val="0"/>
              <w:spacing w:before="0" w:after="0"/>
              <w:jc w:val="left"/>
              <w:rPr/>
            </w:pPr>
            <w:r>
              <w:rPr/>
              <w:t>“</w:t>
            </w:r>
            <w:r>
              <w:rPr>
                <w:rFonts w:ascii="Times New Roman" w:hAnsi="Times New Roman"/>
                <w:sz w:val="20"/>
                <w:u w:val="single"/>
              </w:rPr>
              <w:t>Group</w:t>
            </w:r>
            <w:r>
              <w:rPr>
                <w:rFonts w:ascii="Times New Roman" w:hAnsi="Times New Roman"/>
                <w:sz w:val="20"/>
              </w:rPr>
              <w:t xml:space="preserve">” means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2.20</w:t>
            </w:r>
          </w:p>
        </w:tc>
        <w:tc>
          <w:tcPr>
            <w:tcW w:w="9696" w:type="dxa"/>
            <w:tcBorders/>
          </w:tcPr>
          <w:p>
            <w:pPr>
              <w:pStyle w:val="TableContents"/>
              <w:bidi w:val="0"/>
              <w:spacing w:before="0" w:after="0"/>
              <w:jc w:val="left"/>
              <w:rPr/>
            </w:pPr>
            <w:r>
              <w:rPr/>
              <w:t>“</w:t>
            </w:r>
            <w:r>
              <w:rPr>
                <w:rFonts w:ascii="Times New Roman" w:hAnsi="Times New Roman"/>
                <w:sz w:val="20"/>
                <w:u w:val="single"/>
              </w:rPr>
              <w:t>Hong Kong Listing Rules</w:t>
            </w:r>
            <w:r>
              <w:rPr>
                <w:rFonts w:ascii="Times New Roman" w:hAnsi="Times New Roman"/>
                <w:sz w:val="20"/>
              </w:rPr>
              <w:t xml:space="preserve">” means the Rules Governing the Listing of Securities on The Stock Exchange of Hong Kong Limited,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2.21</w:t>
            </w:r>
          </w:p>
        </w:tc>
        <w:tc>
          <w:tcPr>
            <w:tcW w:w="9696" w:type="dxa"/>
            <w:tcBorders/>
          </w:tcPr>
          <w:p>
            <w:pPr>
              <w:pStyle w:val="TableContents"/>
              <w:bidi w:val="0"/>
              <w:spacing w:before="0" w:after="0"/>
              <w:jc w:val="left"/>
              <w:rPr/>
            </w:pPr>
            <w:r>
              <w:rPr/>
              <w:t>“</w:t>
            </w:r>
            <w:r>
              <w:rPr>
                <w:rFonts w:ascii="Times New Roman" w:hAnsi="Times New Roman"/>
                <w:sz w:val="20"/>
                <w:u w:val="single"/>
              </w:rPr>
              <w:t>Hong Kong Stock Exchange</w:t>
            </w:r>
            <w:r>
              <w:rPr>
                <w:rFonts w:ascii="Times New Roman" w:hAnsi="Times New Roman"/>
                <w:sz w:val="20"/>
              </w:rPr>
              <w:t xml:space="preserve">” means The Stock Exchange of Hong Kong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2.22</w:t>
            </w:r>
          </w:p>
        </w:tc>
        <w:tc>
          <w:tcPr>
            <w:tcW w:w="9695" w:type="dxa"/>
            <w:tcBorders/>
          </w:tcPr>
          <w:p>
            <w:pPr>
              <w:pStyle w:val="TableContents"/>
              <w:bidi w:val="0"/>
              <w:spacing w:before="0" w:after="0"/>
              <w:jc w:val="left"/>
              <w:rPr/>
            </w:pPr>
            <w:r>
              <w:rPr/>
              <w:t>“</w:t>
            </w:r>
            <w:r>
              <w:rPr>
                <w:rFonts w:ascii="Times New Roman" w:hAnsi="Times New Roman"/>
                <w:sz w:val="20"/>
                <w:u w:val="single"/>
              </w:rPr>
              <w:t>Incentive Share Option</w:t>
            </w:r>
            <w:r>
              <w:rPr>
                <w:rFonts w:ascii="Times New Roman" w:hAnsi="Times New Roman"/>
                <w:sz w:val="20"/>
              </w:rPr>
              <w:t xml:space="preserve">” means an Option that is intended to meet the requirements of Section 422 of the Code or any successor provision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2.23</w:t>
            </w:r>
          </w:p>
        </w:tc>
        <w:tc>
          <w:tcPr>
            <w:tcW w:w="9696" w:type="dxa"/>
            <w:tcBorders/>
          </w:tcPr>
          <w:p>
            <w:pPr>
              <w:pStyle w:val="TableContents"/>
              <w:bidi w:val="0"/>
              <w:spacing w:before="0" w:after="0"/>
              <w:jc w:val="left"/>
              <w:rPr/>
            </w:pPr>
            <w:r>
              <w:rPr/>
              <w:t>“</w:t>
            </w:r>
            <w:r>
              <w:rPr>
                <w:rFonts w:ascii="Times New Roman" w:hAnsi="Times New Roman"/>
                <w:sz w:val="20"/>
                <w:u w:val="single"/>
              </w:rPr>
              <w:t>Independent Director</w:t>
            </w:r>
            <w:r>
              <w:rPr>
                <w:rFonts w:ascii="Times New Roman" w:hAnsi="Times New Roman"/>
                <w:sz w:val="20"/>
              </w:rPr>
              <w:t xml:space="preserve">” means a member of the Board who qualifies as an “independent director” as defined under the Nasdaq Marketplace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2.24</w:t>
            </w:r>
          </w:p>
        </w:tc>
        <w:tc>
          <w:tcPr>
            <w:tcW w:w="9696" w:type="dxa"/>
            <w:tcBorders/>
          </w:tcPr>
          <w:p>
            <w:pPr>
              <w:pStyle w:val="TableContents"/>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2.25</w:t>
            </w:r>
          </w:p>
        </w:tc>
        <w:tc>
          <w:tcPr>
            <w:tcW w:w="9696" w:type="dxa"/>
            <w:tcBorders/>
          </w:tcPr>
          <w:p>
            <w:pPr>
              <w:pStyle w:val="TableContents"/>
              <w:bidi w:val="0"/>
              <w:spacing w:before="0" w:after="0"/>
              <w:jc w:val="left"/>
              <w:rPr/>
            </w:pPr>
            <w:r>
              <w:rPr/>
              <w:t>“</w:t>
            </w:r>
            <w:r>
              <w:rPr>
                <w:rFonts w:ascii="Times New Roman" w:hAnsi="Times New Roman"/>
                <w:sz w:val="20"/>
                <w:u w:val="single"/>
              </w:rPr>
              <w:t>Non-Qualified Share Option</w:t>
            </w:r>
            <w:r>
              <w:rPr>
                <w:rFonts w:ascii="Times New Roman" w:hAnsi="Times New Roman"/>
                <w:sz w:val="20"/>
              </w:rPr>
              <w:t xml:space="preserve">” means an Option that is not intended to be an Incentive Share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2.26</w:t>
            </w:r>
          </w:p>
        </w:tc>
        <w:tc>
          <w:tcPr>
            <w:tcW w:w="9696" w:type="dxa"/>
            <w:tcBorders/>
          </w:tcPr>
          <w:p>
            <w:pPr>
              <w:pStyle w:val="TableContents"/>
              <w:bidi w:val="0"/>
              <w:spacing w:before="0" w:after="0"/>
              <w:jc w:val="left"/>
              <w:rPr/>
            </w:pPr>
            <w:r>
              <w:rPr/>
              <w:t>“</w:t>
            </w:r>
            <w:r>
              <w:rPr>
                <w:rFonts w:ascii="Times New Roman" w:hAnsi="Times New Roman"/>
                <w:sz w:val="20"/>
                <w:u w:val="single"/>
              </w:rPr>
              <w:t>Option</w:t>
            </w:r>
            <w:r>
              <w:rPr>
                <w:rFonts w:ascii="Times New Roman" w:hAnsi="Times New Roman"/>
                <w:sz w:val="20"/>
              </w:rPr>
              <w:t xml:space="preserve">” means a right granted to a Participant pursuant to Article 6 of the Plan to purchase a specified number of Shares at a specified price during specified time periods. An Option may be either an Incentive Share Option or a Non-Qualified Share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2.27</w:t>
            </w:r>
          </w:p>
        </w:tc>
        <w:tc>
          <w:tcPr>
            <w:tcW w:w="9696" w:type="dxa"/>
            <w:tcBorders/>
          </w:tcPr>
          <w:p>
            <w:pPr>
              <w:pStyle w:val="TableContents"/>
              <w:bidi w:val="0"/>
              <w:spacing w:before="0" w:after="0"/>
              <w:jc w:val="left"/>
              <w:rPr/>
            </w:pPr>
            <w:r>
              <w:rPr/>
              <w:t>“</w:t>
            </w:r>
            <w:r>
              <w:rPr>
                <w:rFonts w:ascii="Times New Roman" w:hAnsi="Times New Roman"/>
                <w:sz w:val="20"/>
                <w:u w:val="single"/>
              </w:rPr>
              <w:t>Participant</w:t>
            </w:r>
            <w:r>
              <w:rPr>
                <w:rFonts w:ascii="Times New Roman" w:hAnsi="Times New Roman"/>
                <w:sz w:val="20"/>
              </w:rPr>
              <w:t xml:space="preserve">” means a person who, as an Eligible Participant, has been granted an Award pursuant to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2.28</w:t>
            </w:r>
          </w:p>
        </w:tc>
        <w:tc>
          <w:tcPr>
            <w:tcW w:w="9696" w:type="dxa"/>
            <w:tcBorders/>
          </w:tcPr>
          <w:p>
            <w:pPr>
              <w:pStyle w:val="TableContents"/>
              <w:bidi w:val="0"/>
              <w:spacing w:before="0" w:after="0"/>
              <w:jc w:val="left"/>
              <w:rPr/>
            </w:pPr>
            <w:r>
              <w:rPr/>
              <w:t>“</w:t>
            </w:r>
            <w:r>
              <w:rPr>
                <w:rFonts w:ascii="Times New Roman" w:hAnsi="Times New Roman"/>
                <w:sz w:val="20"/>
                <w:u w:val="single"/>
              </w:rPr>
              <w:t>Parent</w:t>
            </w:r>
            <w:r>
              <w:rPr>
                <w:rFonts w:ascii="Times New Roman" w:hAnsi="Times New Roman"/>
                <w:sz w:val="20"/>
              </w:rPr>
              <w:t xml:space="preserve">” means a parent corporation under Section 424(e)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2.29</w:t>
            </w:r>
          </w:p>
        </w:tc>
        <w:tc>
          <w:tcPr>
            <w:tcW w:w="9695" w:type="dxa"/>
            <w:tcBorders/>
          </w:tcPr>
          <w:p>
            <w:pPr>
              <w:pStyle w:val="TableContents"/>
              <w:bidi w:val="0"/>
              <w:spacing w:before="0" w:after="0"/>
              <w:jc w:val="left"/>
              <w:rPr/>
            </w:pPr>
            <w:r>
              <w:rPr/>
              <w:t>“</w:t>
            </w:r>
            <w:r>
              <w:rPr>
                <w:rFonts w:ascii="Times New Roman" w:hAnsi="Times New Roman"/>
                <w:sz w:val="20"/>
                <w:u w:val="single"/>
              </w:rPr>
              <w:t>Plan</w:t>
            </w:r>
            <w:r>
              <w:rPr>
                <w:rFonts w:ascii="Times New Roman" w:hAnsi="Times New Roman"/>
                <w:sz w:val="20"/>
              </w:rPr>
              <w:t xml:space="preserve">” means this 2026 Share Incentive Plan, as it may be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2.30</w:t>
            </w:r>
          </w:p>
        </w:tc>
        <w:tc>
          <w:tcPr>
            <w:tcW w:w="9696" w:type="dxa"/>
            <w:tcBorders/>
          </w:tcPr>
          <w:p>
            <w:pPr>
              <w:pStyle w:val="TableContents"/>
              <w:bidi w:val="0"/>
              <w:spacing w:before="0" w:after="0"/>
              <w:jc w:val="left"/>
              <w:rPr/>
            </w:pPr>
            <w:r>
              <w:rPr/>
              <w:t>“</w:t>
            </w:r>
            <w:r>
              <w:rPr>
                <w:rFonts w:ascii="Times New Roman" w:hAnsi="Times New Roman"/>
                <w:sz w:val="20"/>
                <w:u w:val="single"/>
              </w:rPr>
              <w:t>Related Entity</w:t>
            </w:r>
            <w:r>
              <w:rPr>
                <w:rFonts w:ascii="Times New Roman" w:hAnsi="Times New Roman"/>
                <w:sz w:val="20"/>
              </w:rPr>
              <w:t xml:space="preserve">” means holding company(ies) of the Company, the fellow subsidiaries (other than the Company or any Subsidiary) or associated companies of the Company, as permitted under Chapter 17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2.31</w:t>
            </w:r>
          </w:p>
        </w:tc>
        <w:tc>
          <w:tcPr>
            <w:tcW w:w="9696" w:type="dxa"/>
            <w:tcBorders/>
          </w:tcPr>
          <w:p>
            <w:pPr>
              <w:pStyle w:val="TableContents"/>
              <w:bidi w:val="0"/>
              <w:spacing w:before="0" w:after="0"/>
              <w:jc w:val="left"/>
              <w:rPr/>
            </w:pPr>
            <w:r>
              <w:rPr/>
              <w:t>“</w:t>
            </w:r>
            <w:r>
              <w:rPr>
                <w:rFonts w:ascii="Times New Roman" w:hAnsi="Times New Roman"/>
                <w:sz w:val="20"/>
                <w:u w:val="single"/>
              </w:rPr>
              <w:t>Restricted Share</w:t>
            </w:r>
            <w:r>
              <w:rPr>
                <w:rFonts w:ascii="Times New Roman" w:hAnsi="Times New Roman"/>
                <w:sz w:val="20"/>
              </w:rPr>
              <w:t xml:space="preserve">” means a Share awarded to a Participant pursuant to Article 7 that is subject to certain restrictions and may be subject to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2.32</w:t>
            </w:r>
          </w:p>
        </w:tc>
        <w:tc>
          <w:tcPr>
            <w:tcW w:w="9696" w:type="dxa"/>
            <w:tcBorders/>
          </w:tcPr>
          <w:p>
            <w:pPr>
              <w:pStyle w:val="TableContents"/>
              <w:bidi w:val="0"/>
              <w:spacing w:before="0" w:after="0"/>
              <w:jc w:val="left"/>
              <w:rPr/>
            </w:pPr>
            <w:r>
              <w:rPr/>
              <w:t>“</w:t>
            </w:r>
            <w:r>
              <w:rPr>
                <w:rFonts w:ascii="Times New Roman" w:hAnsi="Times New Roman"/>
                <w:sz w:val="20"/>
                <w:u w:val="single"/>
              </w:rPr>
              <w:t>Restricted Share Unit</w:t>
            </w:r>
            <w:r>
              <w:rPr>
                <w:rFonts w:ascii="Times New Roman" w:hAnsi="Times New Roman"/>
                <w:sz w:val="20"/>
              </w:rPr>
              <w:t xml:space="preserve">” means the right granted to a Participant pursuant to Article 7 to receive a Share at a future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2.33</w:t>
            </w:r>
          </w:p>
        </w:tc>
        <w:tc>
          <w:tcPr>
            <w:tcW w:w="9696" w:type="dxa"/>
            <w:tcBorders/>
          </w:tcPr>
          <w:p>
            <w:pPr>
              <w:pStyle w:val="TableContents"/>
              <w:bidi w:val="0"/>
              <w:spacing w:before="0" w:after="0"/>
              <w:jc w:val="left"/>
              <w:rPr/>
            </w:pPr>
            <w:r>
              <w:rPr/>
              <w:t>“</w:t>
            </w:r>
            <w:r>
              <w:rPr>
                <w:rFonts w:ascii="Times New Roman" w:hAnsi="Times New Roman"/>
                <w:sz w:val="20"/>
                <w:u w:val="single"/>
              </w:rPr>
              <w:t>Scheme Limit</w:t>
            </w:r>
            <w:r>
              <w:rPr>
                <w:rFonts w:ascii="Times New Roman" w:hAnsi="Times New Roman"/>
                <w:sz w:val="20"/>
              </w:rPr>
              <w:t xml:space="preserve">” means the limit with respect to Awards under Section 3.1(a)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2.34</w:t>
            </w:r>
          </w:p>
        </w:tc>
        <w:tc>
          <w:tcPr>
            <w:tcW w:w="9696" w:type="dxa"/>
            <w:tcBorders/>
          </w:tcPr>
          <w:p>
            <w:pPr>
              <w:pStyle w:val="TableContents"/>
              <w:bidi w:val="0"/>
              <w:spacing w:before="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of the United States,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2.35</w:t>
            </w:r>
          </w:p>
        </w:tc>
        <w:tc>
          <w:tcPr>
            <w:tcW w:w="9696" w:type="dxa"/>
            <w:tcBorders/>
          </w:tcPr>
          <w:p>
            <w:pPr>
              <w:pStyle w:val="TableContents"/>
              <w:bidi w:val="0"/>
              <w:spacing w:before="0" w:after="0"/>
              <w:jc w:val="left"/>
              <w:rPr/>
            </w:pPr>
            <w:r>
              <w:rPr/>
              <w:t>“</w:t>
            </w:r>
            <w:r>
              <w:rPr>
                <w:rFonts w:ascii="Times New Roman" w:hAnsi="Times New Roman"/>
                <w:sz w:val="20"/>
                <w:u w:val="single"/>
              </w:rPr>
              <w:t>Shareholder Approval</w:t>
            </w:r>
            <w:r>
              <w:rPr>
                <w:rFonts w:ascii="Times New Roman" w:hAnsi="Times New Roman"/>
                <w:sz w:val="20"/>
              </w:rPr>
              <w:t xml:space="preserve">” means the approval by shareholders of the Company at general meeting in respect of the adoption of the Plan or a refreshment of the Scheme Limit and/or the Consultant Sublimit, as required under Chapter 17 of the Hong Kong Listing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2.36</w:t>
            </w:r>
          </w:p>
        </w:tc>
        <w:tc>
          <w:tcPr>
            <w:tcW w:w="9696" w:type="dxa"/>
            <w:tcBorders/>
          </w:tcPr>
          <w:p>
            <w:pPr>
              <w:pStyle w:val="TableContents"/>
              <w:bidi w:val="0"/>
              <w:spacing w:before="0" w:after="0"/>
              <w:jc w:val="left"/>
              <w:rPr/>
            </w:pPr>
            <w:r>
              <w:rPr/>
              <w:t>“</w:t>
            </w:r>
            <w:r>
              <w:rPr>
                <w:rFonts w:ascii="Times New Roman" w:hAnsi="Times New Roman"/>
                <w:sz w:val="20"/>
                <w:u w:val="single"/>
              </w:rPr>
              <w:t>Shares</w:t>
            </w:r>
            <w:r>
              <w:rPr>
                <w:rFonts w:ascii="Times New Roman" w:hAnsi="Times New Roman"/>
                <w:sz w:val="20"/>
              </w:rPr>
              <w:t xml:space="preserve">” means Class A Ordinary Shares, par value US$0.000000625 per share, of the Company, and such other securities of the Company that may be substituted for Shares pursuant to Article 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2.37</w:t>
            </w:r>
          </w:p>
        </w:tc>
        <w:tc>
          <w:tcPr>
            <w:tcW w:w="9696" w:type="dxa"/>
            <w:tcBorders/>
          </w:tcPr>
          <w:p>
            <w:pPr>
              <w:pStyle w:val="TableContents"/>
              <w:bidi w:val="0"/>
              <w:spacing w:before="0" w:after="0"/>
              <w:jc w:val="left"/>
              <w:rPr/>
            </w:pPr>
            <w:r>
              <w:rPr/>
              <w:t>“</w:t>
            </w:r>
            <w:r>
              <w:rPr>
                <w:rFonts w:ascii="Times New Roman" w:hAnsi="Times New Roman"/>
                <w:sz w:val="20"/>
                <w:u w:val="single"/>
              </w:rPr>
              <w:t>Subsidiary</w:t>
            </w:r>
            <w:r>
              <w:rPr>
                <w:rFonts w:ascii="Times New Roman" w:hAnsi="Times New Roman"/>
                <w:sz w:val="20"/>
              </w:rPr>
              <w:t xml:space="preserve">” means any corporation or other entity of which a majority of the outstanding voting shares or voting power is beneficially owned directly or indirectly by the Company through ownership, by contract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2.38</w:t>
            </w:r>
          </w:p>
        </w:tc>
        <w:tc>
          <w:tcPr>
            <w:tcW w:w="9696" w:type="dxa"/>
            <w:tcBorders/>
          </w:tcPr>
          <w:p>
            <w:pPr>
              <w:pStyle w:val="TableContents"/>
              <w:bidi w:val="0"/>
              <w:spacing w:before="0" w:after="0"/>
              <w:jc w:val="left"/>
              <w:rPr/>
            </w:pPr>
            <w:r>
              <w:rPr/>
              <w:t>“</w:t>
            </w:r>
            <w:r>
              <w:rPr>
                <w:rFonts w:ascii="Times New Roman" w:hAnsi="Times New Roman"/>
                <w:sz w:val="20"/>
                <w:u w:val="single"/>
              </w:rPr>
              <w:t>substantial shareholder</w:t>
            </w:r>
            <w:r>
              <w:rPr>
                <w:rFonts w:ascii="Times New Roman" w:hAnsi="Times New Roman"/>
                <w:sz w:val="20"/>
              </w:rPr>
              <w:t xml:space="preserve">” has the meaning ascribed to it under the Hong Kong Listing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2.39</w:t>
            </w:r>
          </w:p>
        </w:tc>
        <w:tc>
          <w:tcPr>
            <w:tcW w:w="9695" w:type="dxa"/>
            <w:tcBorders/>
          </w:tcPr>
          <w:p>
            <w:pPr>
              <w:pStyle w:val="TableContents"/>
              <w:bidi w:val="0"/>
              <w:spacing w:before="0" w:after="0"/>
              <w:jc w:val="left"/>
              <w:rPr/>
            </w:pPr>
            <w:r>
              <w:rPr/>
              <w:t>“</w:t>
            </w:r>
            <w:r>
              <w:rPr>
                <w:rFonts w:ascii="Times New Roman" w:hAnsi="Times New Roman"/>
                <w:sz w:val="20"/>
                <w:u w:val="single"/>
              </w:rPr>
              <w:t>Treasury Share</w:t>
            </w:r>
            <w:r>
              <w:rPr>
                <w:rFonts w:ascii="Times New Roman" w:hAnsi="Times New Roman"/>
                <w:sz w:val="20"/>
              </w:rPr>
              <w:t xml:space="preserve">” shall have the same meaning as ascribed to it under Chapter 1 of the Hong Kong Listing Rules.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SHARES SUBJECT TO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Number of Shares</w:t>
            </w:r>
            <w:r>
              <w:rPr>
                <w:rFonts w:ascii="Times New Roman" w:hAnsi="Times New Roman"/>
                <w:sz w:val="20"/>
              </w:rPr>
              <w:t>.</w:t>
            </w:r>
            <w:r>
              <w:rPr>
                <w:rFonts w:ascii="Times New Roman" w:hAnsi="Times New Roman"/>
                <w:sz w:val="20"/>
                <w:u w:val="single"/>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provisions of Article 9 and Section 3.1(b), the maximum aggregate numberof Shares which may be issued pursuant to all Awards under the Plan together with the number of Shares which may be issued pursuant to all options and awards to be granted under any other share incentive plans of the Company shall be ten percent (10%) of the total number of Class A and Class B ordinary shares of the Company in issue (excluding Treasury Shares) as at the date of the Shareholder Approval (“</w:t>
            </w:r>
            <w:r>
              <w:rPr>
                <w:rFonts w:ascii="Times New Roman" w:hAnsi="Times New Roman"/>
                <w:b/>
                <w:sz w:val="20"/>
              </w:rPr>
              <w:t>Scheme Limit</w:t>
            </w:r>
            <w:r>
              <w:rPr>
                <w:rFonts w:ascii="Times New Roman" w:hAnsi="Times New Roman"/>
                <w:sz w:val="20"/>
              </w:rPr>
              <w:t>”). Within the Scheme Limit, the maximum aggregate number of Shares which may be issued pursuant to all Awards to be granted under this Plan to Consultants shall be zero point five percent (0.5%) of the total number of Class A and Class B ordinary shares of the Company in issue (excluding Treasury Shares) as at the date of the Shareholder Approval (the “</w:t>
            </w:r>
            <w:r>
              <w:rPr>
                <w:rFonts w:ascii="Times New Roman" w:hAnsi="Times New Roman"/>
                <w:b/>
                <w:sz w:val="20"/>
              </w:rPr>
              <w:t>Consultant Sublimit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an Award terminates, expires, or lapses for any reason, or is settled in cash and not Shares, then any Shares subject to the Award shall again be available for the grant of an Award pursuant to the Plan. To the extent permitted by Applicable Laws, Shares issued in assumption of, or in substitution for, any outstanding awards of any entity acquired in any form or combination by the Company or any Parent or Subsidiary of the Company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Section 3.1(a), Shares covered by an Award that is cancelled shall, where required under the Hong Kong Listing Rules, be counted as used and shall not return back to the Scheme Limit (or the Consultant Sublimit). For the avoidance of doubt, Shares covered by an Award that is forfeited or has lapsed shall not be counted as used and may return back to the Scheme Limit (or the Consultant Sublimit).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Shares Distributed</w:t>
            </w:r>
            <w:r>
              <w:rPr>
                <w:rFonts w:ascii="Times New Roman" w:hAnsi="Times New Roman"/>
                <w:sz w:val="20"/>
              </w:rPr>
              <w:t xml:space="preserve">. Any Shares distributed pursuant to an Award may consist, in whole or in part, of authorized and unissued Shares or treasury Shares (subject to Applicable Laws). Shares allotted and issued pursuant to an Award shall rank pari passu in all respects with, and be identical to, the Shares in issue on the date of allotment and issue. Additionally, in the discretion of the Committee, American Depository Shares in an amount equal to the number of Shares which otherwise would be distributed pursuant to an Award may be distributed in lieu of Shares in settlement of any Award. If the number of Shares represented by an American Depository Share is other than on a one-to-one basis, the limitations of Section 3.1 shall be adjusted to reflect the distribution of American Depository Shares in lieu of Shares.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AND PARTICIPATION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xml:space="preserve">. Persons eligible to participate in this Plan include Eligible Participants, as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Participation</w:t>
            </w:r>
            <w:r>
              <w:rPr>
                <w:rFonts w:ascii="Times New Roman" w:hAnsi="Times New Roman"/>
                <w:sz w:val="20"/>
              </w:rPr>
              <w:t xml:space="preserve">.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Jurisdictions</w:t>
            </w:r>
            <w:r>
              <w:rPr>
                <w:rFonts w:ascii="Times New Roman" w:hAnsi="Times New Roman"/>
                <w:sz w:val="20"/>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or is employed.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Times New Roman" w:hAnsi="Times New Roman"/>
                <w:i/>
                <w:sz w:val="20"/>
              </w:rPr>
              <w:t>provided, however</w:t>
            </w:r>
            <w:r>
              <w:rPr>
                <w:rFonts w:ascii="Times New Roman" w:hAnsi="Times New Roman"/>
                <w:sz w:val="20"/>
              </w:rPr>
              <w:t xml:space="preserve">,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RESTRICTIONS ON GRANTS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5.1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make grants of the following Awards during the following restricted periods: (a) When the Company is in possession of inside information or material non-public information and until (and including) the next trading day after publication of such information: any Award. (b) Within 30 days before the date (or such date that is first notified to the Hong Kong Stock Exchange under the Hong Kong Listing Rules) that the Board approves the annual, interim or quarterly results of the Company and until (and including) the publication of such results: any Award. (c)(i) Within 30 days before the date that the Board approves the interim or quarterly results of the Company and until (and including) the date of the results announcement; and (ii) within 60 days before the date that the Board approves the annual results of the Company and until (and including) the date of the results announcement: any Award granted to (x) a Director or chief executive of the Company; or (y) any person whose dealings in Shares are deemed attributable to a Director or chief executive of the Company under the Securities and Futures Ordinance (Chapter 571 of the Laws of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not make grants of the following Awards without the additional approvals set out below: (i) To any Eligible Participant if the new grant would result in the Shares issued and to be issued pursuant to all grants made to that participant within the previous 12-month period (on a rolling basis) to represent in aggregate over 1% of the total issued and outstanding Class A and Class B ordinary shares of the Company (excluding Treasury Shares) at the time of the new grant: the Company’s shareholders’ approval at general meeting is required, and the participant and his/her close associates (or, if the participant is a connected person, his/ her associates), as defined in the Hong Kong Listing Rules, must abstain from voting. (ii) To the Company’s Director, chief executive or substantial shareholder, or any of their respective associates (as defined under the Hong Kong Listing Rules): the approval of the independent non-executive Directors of the Company (excluding any independent non-executive Director who is the grantee of the Awards) is required. (iii) Additionally: a new grant of a Restricted Share Unit to a Company’s Director (other than independent non-executive Director) or chief executive, or any of their respective associates, which results in the Shares issued and to be issued pursuant to all Restricted Share Units granted to that participant within the previous 12-month period to represent in aggregate over 0.1% of the total issued and outstanding Class A and Class B ordinary shares of the Company (excluding Treasury Shares); or a new grant of an Award to a Company’s independent non-executive Director or substantial shareholder, or any of their respective associates, which results in the Shares issued and to be issued pursuant to all Awards granted to that participant within the previous 12-month period to represent in aggregate over 0.1% of the total issued and outstanding Class A and Class B ordinary shares of the Company (excluding Treasury Shares): the Company’s shareholders’ approval at general meeting is required, and the participant and his/her associates, and all core connected persons of the Company, as defined in the Hong Kong Listing Rules, must abstain from voting.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OPTIONS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General</w:t>
            </w:r>
            <w:r>
              <w:rPr>
                <w:rFonts w:ascii="Times New Roman" w:hAnsi="Times New Roman"/>
                <w:sz w:val="20"/>
              </w:rPr>
              <w:t xml:space="preserve">. The Committee is authorized to grant Options to Participants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Price</w:t>
            </w:r>
            <w:r>
              <w:rPr>
                <w:rFonts w:ascii="Times New Roman" w:hAnsi="Times New Roman"/>
                <w:sz w:val="20"/>
              </w:rPr>
              <w:t xml:space="preserve">. The exercise price per Share subject to an Option shall be determined by the Committee and set forth in the Award Agreement; provided, however that the exercise price per Share subject to an Option shall be determined by the Committee and set forth in the Award Agreement which may be a fixed or variable price related to the Fair Market Value of the Shares; </w:t>
            </w:r>
            <w:r>
              <w:rPr>
                <w:rFonts w:ascii="Times New Roman" w:hAnsi="Times New Roman"/>
                <w:i/>
                <w:sz w:val="20"/>
              </w:rPr>
              <w:t>provided, however</w:t>
            </w:r>
            <w:r>
              <w:rPr>
                <w:rFonts w:ascii="Times New Roman" w:hAnsi="Times New Roman"/>
                <w:sz w:val="20"/>
              </w:rPr>
              <w:t>, that no Option may be granted to an individual subject to taxation in the United States at less than the Fair Market Value on the date of grant. Notwithstanding any other terms of the Plan, so long as the Company is a primary listed issuer on the Hong Kong Stock Exchange, the exercise price per Share shall not be lower than: (x) for Options exercisable into Shares (which may be denominated in Hong Kong dollars or U.S. dollars, at the Company’s discretion): the higher of (I) the closing price of the Shares as stated in the Hong Kong Stock Exchange’s daily quotations sheet on the date of grant, which must be a business day in Hong Kong, and (II) the average closing price of the Shares as stated in the Hong Kong Stock Exchange’s daily quotations sheets for the five business days immediately preceding the date of grant (the “</w:t>
            </w:r>
            <w:r>
              <w:rPr>
                <w:rFonts w:ascii="Times New Roman" w:hAnsi="Times New Roman"/>
                <w:sz w:val="20"/>
                <w:u w:val="single"/>
              </w:rPr>
              <w:t>HKD Minimum Exercise Price</w:t>
            </w:r>
            <w:r>
              <w:rPr>
                <w:rFonts w:ascii="Times New Roman" w:hAnsi="Times New Roman"/>
                <w:sz w:val="20"/>
              </w:rPr>
              <w:t>”); and (y) for Options exercisable into ADSs: the higher of (I) the closing price of ADSs on the Nasdaq on the date of grant, which must be a Nasdaq trading day, and (II) the average closing price of the ADSs on the Nasdaq for the five Nasdaq trading days immediately preceding the date of grant (the “</w:t>
            </w:r>
            <w:r>
              <w:rPr>
                <w:rFonts w:ascii="Times New Roman" w:hAnsi="Times New Roman"/>
                <w:sz w:val="20"/>
                <w:u w:val="single"/>
              </w:rPr>
              <w:t>USD Minimum Exercise Price</w:t>
            </w:r>
            <w:r>
              <w:rPr>
                <w:rFonts w:ascii="Times New Roman" w:hAnsi="Times New Roman"/>
                <w:sz w:val="20"/>
              </w:rPr>
              <w:t xml:space="preserve">”). The exercise price of options exercisable into ADSs will comply with the USD Minimum Exercise Price and be denominated in U.S. dollars. The exercise price shall not be subject to downward adjustment except pursuant to adjustments under Article 9 in the event of changes in capital structure.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u w:val="single"/>
              </w:rPr>
            </w:pPr>
            <w:r>
              <w:rPr>
                <w:u w:val="single"/>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Time and Conditions of Exercise</w:t>
            </w:r>
            <w:r>
              <w:rPr>
                <w:rFonts w:ascii="Times New Roman" w:hAnsi="Times New Roman"/>
                <w:sz w:val="20"/>
              </w:rPr>
              <w:t xml:space="preserve">. The Committee shall determine the time or times at which an Option may be exercised in whole or in part, including exercise prior to vesting; </w:t>
            </w:r>
            <w:r>
              <w:rPr>
                <w:rFonts w:ascii="Times New Roman" w:hAnsi="Times New Roman"/>
                <w:i/>
                <w:sz w:val="20"/>
              </w:rPr>
              <w:t xml:space="preserve">provided </w:t>
            </w:r>
            <w:r>
              <w:rPr>
                <w:rFonts w:ascii="Times New Roman" w:hAnsi="Times New Roman"/>
                <w:sz w:val="20"/>
              </w:rPr>
              <w:t xml:space="preserve">that the term of any Option granted under the Plan shall not exceed ten years, except as provided in Section 12.1. The Committee shall also determine the conditions, if any, that must be satisfied before all or part of an Option may be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u w:val="single"/>
              </w:rPr>
            </w:pPr>
            <w:r>
              <w:rPr>
                <w:u w:val="single"/>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Payment</w:t>
            </w:r>
            <w:r>
              <w:rPr>
                <w:rFonts w:ascii="Times New Roman" w:hAnsi="Times New Roman"/>
                <w:sz w:val="20"/>
              </w:rPr>
              <w:t xml:space="preserve">.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hAnsi="Times New Roman"/>
                <w:i/>
                <w:sz w:val="20"/>
              </w:rPr>
              <w:t xml:space="preserve">provided </w:t>
            </w:r>
            <w:r>
              <w:rPr>
                <w:rFonts w:ascii="Times New Roman" w:hAnsi="Times New Roman"/>
                <w:sz w:val="20"/>
              </w:rPr>
              <w:t xml:space="preserve">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shall be permitted to pay the exercise price of an Option in any method which would violate Applicable Law, including without limitation Section 13(k)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u w:val="single"/>
              </w:rPr>
            </w:pPr>
            <w:r>
              <w:rPr>
                <w:u w:val="single"/>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Evidence of Grant</w:t>
            </w:r>
            <w:r>
              <w:rPr>
                <w:rFonts w:ascii="Times New Roman" w:hAnsi="Times New Roman"/>
                <w:sz w:val="20"/>
              </w:rPr>
              <w:t xml:space="preserve">. All Options shall be evidenced by an Award Agreement between the Company and the Participant. The Award Agreement shall include such additional provisions as may be specified by the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Incentive Share Options</w:t>
            </w:r>
            <w:r>
              <w:rPr>
                <w:rFonts w:ascii="Times New Roman" w:hAnsi="Times New Roman"/>
                <w:sz w:val="20"/>
              </w:rPr>
              <w:t xml:space="preserve">. Incentive Share Options may be granted to Employees of the Company or a Parent or Subsidiary of the Company. Incentive Share Options may not be granted to Employees of a Related Entity or to Independent Directors or Consultants. The terms of any Incentive Share Options granted pursuant to the Plan, in addition to the requirements of Section 6.1, must comply with the following additional provisions of this Section 6.2: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Expiration of Option</w:t>
            </w:r>
            <w:r>
              <w:rPr>
                <w:rFonts w:ascii="Times New Roman" w:hAnsi="Times New Roman"/>
                <w:sz w:val="20"/>
              </w:rPr>
              <w:t xml:space="preserve">. An Incentive Share Option may not be exercised to any extent by anyone after the first to occur of the following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Ten years from the date it is granted, unless an earlier time is set in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9"/>
        <w:gridCol w:w="8574"/>
      </w:tblGrid>
      <w:tr>
        <w:trPr/>
        <w:tc>
          <w:tcPr>
            <w:tcW w:w="1122"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Three months after the Participant’s termination of employment as an Employee other than for Disability or death;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year after the date of the Participant’s termination of employment or service on account of Disability or death. Upon the Participant’s Disability or death, any Incentive Share Options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Incentive Share Option or dies intestate, by the person or persons entitled to receive the Incentive Share Option pursuant to the applicable laws of descent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Individual Dollar Limitation</w:t>
            </w:r>
            <w:r>
              <w:rPr>
                <w:rFonts w:ascii="Times New Roman" w:hAnsi="Times New Roman"/>
                <w:sz w:val="20"/>
              </w:rPr>
              <w:t xml:space="preserve">. The aggregate Fair Market Value (determined as of the time the Option is granted) of all Shares with respect to which Incentive Share Options are first exercisable by a Participant in any calendar year may not exceed US$100,000 or such other limitation as imposed by Section 422(d) of the Code, or any successor provision. To the extent that Incentive Share Options are first exercisable by a Participant in excess of such limitation, the excess shall be considered Non-Qualified Share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(c)</w:t>
            </w:r>
          </w:p>
        </w:tc>
        <w:tc>
          <w:tcPr>
            <w:tcW w:w="908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Exercise Price</w:t>
            </w:r>
            <w:r>
              <w:rPr>
                <w:rFonts w:ascii="Times New Roman" w:hAnsi="Times New Roman"/>
                <w:sz w:val="20"/>
              </w:rPr>
              <w:t xml:space="preserve">. The exercise price of an Incentive Share Option shall be equal to the Fair Market Value on the date of grant. However, the exercise price of any Incentive Share Option shall be granted to any individual who, at the date of grant, owns Shares possessing more than ten percent (10%) of the total combined voting power of all classes of shares of the Company only if such Option is granted at a price that is not less than 110% of Fair Market Value on the date of grant and the Option is exercisable for no more than five years from the date of grant.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w:t>
            </w:r>
            <w:r>
              <w:rPr>
                <w:rFonts w:ascii="Times New Roman" w:hAnsi="Times New Roman"/>
                <w:sz w:val="20"/>
              </w:rPr>
              <w:t xml:space="preserve">. The Participant shall give the Company prompt notice of any disposition of Shares acquired by exercise of an Incentive Share Option within (i) two years from the date of grant of such Incentive Share Option or (ii) one year after the transfer of such Shares to the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u w:val="single"/>
              </w:rPr>
            </w:pPr>
            <w:r>
              <w:rPr>
                <w:u w:val="single"/>
              </w:rPr>
              <w:t>(e)</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Expiration of Incentive Share Options</w:t>
            </w:r>
            <w:r>
              <w:rPr>
                <w:rFonts w:ascii="Times New Roman" w:hAnsi="Times New Roman"/>
                <w:sz w:val="20"/>
              </w:rPr>
              <w:t xml:space="preserve">. No Award of an Incentive Share Option may be made pursuant to this Plan after the tenth anniversary of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u w:val="single"/>
              </w:rPr>
            </w:pPr>
            <w:r>
              <w:rPr>
                <w:u w:val="single"/>
              </w:rPr>
              <w:t>(f)</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Right to Exercise</w:t>
            </w:r>
            <w:r>
              <w:rPr>
                <w:rFonts w:ascii="Times New Roman" w:hAnsi="Times New Roman"/>
                <w:sz w:val="20"/>
              </w:rPr>
              <w:t xml:space="preserve">. During a Participant’s lifetime, an Incentive Share Option may be exercised only by the Participant.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SHARES AND RESTRICTED SHARE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Grant of Restricted Shares</w:t>
            </w:r>
            <w:r>
              <w:rPr>
                <w:rFonts w:ascii="Times New Roman" w:hAnsi="Times New Roman"/>
                <w:sz w:val="20"/>
              </w:rPr>
              <w:t xml:space="preserve">. The Committee is authorized to make Awards of Restricted Shares and/or Restricted Share Units to any Participant selected by the Committee in such amounts and subject to such terms and conditions as determined by the Committee. All Awards of Restricted Shares shall be evidenced by an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Issuance and Restrictions</w:t>
            </w:r>
            <w:r>
              <w:rPr>
                <w:rFonts w:ascii="Times New Roman" w:hAnsi="Times New Roman"/>
                <w:sz w:val="20"/>
              </w:rPr>
              <w:t xml:space="preserve">. Restricted Shares shall be subject to such restrictions on transferability and other restrictions as the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Forfeiture/Repurchase</w:t>
            </w:r>
            <w:r>
              <w:rPr>
                <w:rFonts w:ascii="Times New Roman" w:hAnsi="Times New Roman"/>
                <w:sz w:val="20"/>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Times New Roman" w:hAnsi="Times New Roman"/>
                <w:i/>
                <w:sz w:val="20"/>
              </w:rPr>
              <w:t>provided, however</w:t>
            </w:r>
            <w:r>
              <w:rPr>
                <w:rFonts w:ascii="Times New Roman" w:hAnsi="Times New Roman"/>
                <w:sz w:val="20"/>
              </w:rPr>
              <w:t xml:space="preserve">, that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Certificates for Restricted Shares</w:t>
            </w:r>
            <w:r>
              <w:rPr>
                <w:rFonts w:ascii="Times New Roman" w:hAnsi="Times New Roman"/>
                <w:sz w:val="20"/>
              </w:rPr>
              <w:t xml:space="preserve">.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Restricted Share Units</w:t>
            </w:r>
            <w:r>
              <w:rPr>
                <w:rFonts w:ascii="Times New Roman" w:hAnsi="Times New Roman"/>
                <w:sz w:val="20"/>
              </w:rPr>
              <w:t xml:space="preserve">. At the time of grant, the Committee shall specify the date or dates on which the Restricted Share Units shall become fully vested and nonforfeitable, and may specify such conditions to vesting as it deems appropriate. At the time of grant, the Committee shall specify the maturity date applicable to each grant of Restricted Share Units which shall be no earlier than the vesting date or dates of the Award and may be determined at the election of the grantee. On the maturity date, the Company shall, subject to Sections 8.10 and 8.11, transfer to the Participant one unrestricted, fully transferable Share for each Restricted Share Unit scheduled to be paid out on such date and not previously forfeited.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PROVISIONS APPLICABLE TO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Award Agreement</w:t>
            </w:r>
            <w:r>
              <w:rPr>
                <w:rFonts w:ascii="Times New Roman" w:hAnsi="Times New Roman"/>
                <w:sz w:val="20"/>
              </w:rPr>
              <w:t xml:space="preserve">.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Grant price</w:t>
            </w:r>
            <w:r>
              <w:rPr>
                <w:rFonts w:ascii="Times New Roman" w:hAnsi="Times New Roman"/>
                <w:sz w:val="20"/>
              </w:rPr>
              <w:t xml:space="preserve">. Unless otherwise specified in the Award Agreement, no amount shall be payable by a Participant on the application for or acceptance of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Vesting Period</w:t>
            </w:r>
            <w:r>
              <w:rPr>
                <w:rFonts w:ascii="Times New Roman" w:hAnsi="Times New Roman"/>
                <w:sz w:val="20"/>
              </w:rPr>
              <w:t xml:space="preserve">. The overall vesting period for each grant shall not be less than 12 months from the date of grant, except as permitted under Applicable Laws. For the avoidance of doubt: for Awards granted to Employees, the overall vesting period for a particular grant may be shorter than 12 months from the grant date in the following circumstances: (i) grants of “make whole” Awards to a new Employee to replace share awards such Employee forfeited when leaving their previous employer; (ii) grants to an Employee whose employment is terminated due to death or disability or occurrence of any out of control event; (iii) grants of Awards which are subject to the fulfilment of performance targets; (iv) grants of Awards that are made in batches during a year for administrative and/or compliance requirements; (v) grants of Awards with a mixed or accelerated vesting schedule such that the Awards vest evenly over a period of 12 months; or (vi) grants of Awards with a total vesting and holding period of more than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Limits on Transfer</w:t>
            </w:r>
            <w:r>
              <w:rPr>
                <w:rFonts w:ascii="Times New Roman" w:hAnsi="Times New Roman"/>
                <w:sz w:val="20"/>
              </w:rPr>
              <w:t xml:space="preserve">. No right or interest of a Participant in any Award may be pledged, encumbered, or hypothecated to or in favor of any party other than the Company or a Subsidiary, or shall be subject to any lien, obligation, or liability of such Participant to any other party other than the Company or a Subsidiary. Awards shall be personal to the Participant and shall not be assignable or transferable, except in circumstances where the written consent of the Company has been obtained and a waiver has been granted by the Hong Kong Stock Exchange for such transfer under the circumstances set out in the note to Rule 17.03(17) of the Hong Kong Listing Rules in compliance with the requirements of the Hong Kong Listing Rules and provided that any such transferee agrees to be bound by the terms of the Plan and the Award Agreement (where relevant) as if the transferee were the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Performance Targets</w:t>
            </w:r>
            <w:r>
              <w:rPr>
                <w:rFonts w:ascii="Times New Roman" w:hAnsi="Times New Roman"/>
                <w:sz w:val="20"/>
              </w:rPr>
              <w:t xml:space="preserve">. Subject to the terms of the Plan, the Committee shall determine the provisions, terms, and conditions of each Award including performance criteria. The performance criteria established by the Committee may be based on any one of, or combination of, the following: (i) increase in share price, (ii) earnings per share, (iii) total shareholder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(xvii) market share, or (xviii) such other performance criteria determined by the Committee. Awards may be granted to Eligible Participants without performance targets, including but not limited to, where the Committee is of the view that an additional performance target is not necessary in light of the actual circumstances of the particular Eligible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Cancellation of Awards</w:t>
            </w:r>
            <w:r>
              <w:rPr>
                <w:rFonts w:ascii="Times New Roman" w:hAnsi="Times New Roman"/>
                <w:sz w:val="20"/>
              </w:rPr>
              <w:t xml:space="preserve">. The Committee may cancel any Award granted but not vested from time to time with the consent of and on such terms as may be agreed with the relevant Participant; provided that a grant of new Awards to the same Participant whose Awards have been cancelled may only be made if there are unissued Awards available under the Scheme Limit and in compliance with the terms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Lapse of Awards</w:t>
            </w:r>
            <w:r>
              <w:rPr>
                <w:rFonts w:ascii="Times New Roman" w:hAnsi="Times New Roman"/>
                <w:sz w:val="20"/>
              </w:rPr>
              <w:t xml:space="preserve">. Without prejudice to the authority of the Committee to provide additional situations in which an Award shall lapse in the terms of the Award Agreement, an Award shall lapse automatically (to the extent not already vested and, where relevant, exercised) on the earliest of: (a) the grant of the Award has not been accepted by the Participant in the manner prescribed; (b) any Awards scheduled to vest at the end of that vesting period but that did not vest due to, for example, the Participant not satisfying the performance criteria, shall lapse in such number and manner as specified in the Award Agreement; (c) the expiry of any applicable exercise period for an Option; (d) when the clawback mechanism under this Plan has been triggered; (e) following a determination by the Board of such lapse; and (f) the Participant transfers the Award in breach of the transferability provisions. Lapsed Awards will not be regarded as utilized for the purpose of calculating the Scheme Limit and Consultant Sublimit.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Clawback</w:t>
            </w:r>
            <w:r>
              <w:rPr>
                <w:rFonts w:ascii="Times New Roman" w:hAnsi="Times New Roman"/>
                <w:sz w:val="20"/>
              </w:rPr>
              <w:t xml:space="preserve">. In the event that: (i) a Participant ceases to be an Eligible Participant by reason of the termination of the Participant’s employment or direct/indirect contractual engagement with the Group or a Related Entity for cause or without notice or with payment in lieu of notice; (ii) a Participant has been charged, penalized or convicted of a civil or criminal offence involving the Participant’s integrity or honesty; (iii) in the reasonable opinion of the Board or the Committee, a Participant has engaged in serious misconduct, including with respect to a policy or code of or other agreement with the Group, or breaches the terms of the Plan in any material respect; or (iv) in the reasonable opinion of the Board or the Committee, the grant of an Award to the Participant is no longer determined to be appropriate and aligned with the purpose of the Plan, the Committee may make a determination at its absolute discretion that: (A) any Awards granted to that Participant but not yet exercised or transferred shall immediately lapse, regardless of whether such Awards have vested or not, and/or (B) with respect to any Shares delivered to that Participant or amount paid to that Participant, the Participant shall be required to transfer back to the Company or its nominee (1) the equivalent number of Shares, (2) an amount in cash equal to the market value of such Shares or amount paid, or (3) a combination of (1) and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8.9</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Beneficiaries</w:t>
            </w:r>
            <w:r>
              <w:rPr>
                <w:rFonts w:ascii="Times New Roman" w:hAnsi="Times New Roman"/>
                <w:sz w:val="20"/>
              </w:rPr>
              <w:t xml:space="preserve">. Notwithstanding Section 8.4,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jurisdiction,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Share Certificate</w:t>
            </w:r>
            <w:r>
              <w:rPr>
                <w:rFonts w:ascii="Times New Roman" w:hAnsi="Times New Roman"/>
                <w:sz w:val="20"/>
              </w:rPr>
              <w:t xml:space="preserve">. Notwithstanding anything herein to the contrary, the Company shall not be required to issue or deliver any certificates evidencing Shares pursuant to the exercise of any Award, unless and until the Board has determined, with advice of counsel, that the issuance and delivery of such Shares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 In addition to the terms and conditions provided herein, the Board may require that a Participant make such reasonable covenants, agreements, and representations as the Board,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Paperless Administration</w:t>
            </w:r>
            <w:r>
              <w:rPr>
                <w:rFonts w:ascii="Times New Roman" w:hAnsi="Times New Roman"/>
                <w:sz w:val="20"/>
              </w:rPr>
              <w:t xml:space="preserve">. Subject to Applicable Laws, the Committee may make Awards, provide applicable disclosure and procedures for exercise of Awards by an internet website or interactive voice response system for the paperless administration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Foreign Currency</w:t>
            </w:r>
            <w:r>
              <w:rPr>
                <w:rFonts w:ascii="Times New Roman" w:hAnsi="Times New Roman"/>
                <w:sz w:val="20"/>
              </w:rPr>
              <w:t xml:space="preserve">.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CHANGES IN CAPITAL STRUCTURE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Adjustments</w:t>
            </w:r>
            <w:r>
              <w:rPr>
                <w:rFonts w:ascii="Times New Roman" w:hAnsi="Times New Roman"/>
                <w:sz w:val="20"/>
              </w:rPr>
              <w:t xml:space="preserve">. In the event of any capitalisation issue, rights issue, sub-division or consolidation of shares or reduction of capital of Company, the Committee shall make such proportionate and equitable adjustments, if any, to reflect such change with respect to (a) the aggregate number and type of shares that may be issued under the Plan (including, but not limited to, adjustments of the limitations in Section 3.1 and substitutions of shares in a parent or surviving company); (b) the terms and conditions of any outstanding Awards (including, without limitation, any applicable performance targets or criteria with respect thereto); and (c) the grant or exercise price per share for any outstanding Awards under the Plan. The form and manner of any such adjustments shall be determined by the Committee in its sole discretion.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determined by the Committee, the following default rules would apply: (a) any adjustment should give each Participant the same proportion of the equity capital of the Company, rounded to the nearest whole Share, as that to which that Participant was previously entitled prior to such adjustments; (b) for adjustments made pursuant to this Article 9, other than any made on a capitalisation issue, an independent financial adviser or the auditor of the Company must confirm to the Directors in writing that the adjustments satisfy the relevant requirements under Chapter 17 of the Hong Kong Listing Rules; (c) no such adjustments shall be made which would result in a Share being issued at less than its nominal value; and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conducts a share sub-division or consolidation, the maximum number of Shares that may be issued under the Scheme Limit or the Consultant Sublimit as a percentage of the total number of issued Class A and Class B ordinary shares of the Company at the date immediately before and after such consolidation or subdivision shall be the same, rounded to the nearest whole share. Any adjustments for the purposes of this Section 9.1, to the extent not otherwise determined by the Committee (subject to compliance with the requirements of Applicable Laws), shall be made in accordance with the Hong Kong Listing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Outstanding Awards — Corporate Transactions</w:t>
            </w:r>
            <w:r>
              <w:rPr>
                <w:rFonts w:ascii="Times New Roman" w:hAnsi="Times New Roman"/>
                <w:sz w:val="20"/>
              </w:rPr>
              <w:t xml:space="preserve">. Except as provided otherwise in an individual Award Agreement or any other written agreement entered into by and between the Company and a Participant, in the event of a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Award is either (i) assumed by the successor entity or Parent thereof or replaced with a comparable Award (as determined by the Committee) with respect to shares of the capital stock of the successor entity or Parent thereof or (ii) replaced with a cash incentive program of the successor entity which preserves the compensation element of such Award existing at the time of the Corporate Transaction and provides for subsequent payout in accordance with the same vesting schedule applicable to such Award, then such Award (if assumed), the replacement Award (if replaced), or the cash incentive program automatically shall become fully vested, exercisable and payable and be released from any restrictions on transfer (other than transfer restrictions applicable to Options) and repurchase or forfeiture rights, immediately upon termination of the Participant’s employment or service with all members of the Group within twelve (12) months of the Corporate Transaction without cause or voluntarily by the Participant for Good Reason.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Participant’s Awards are not converted, assumed, or replaced by a successor, as described in clause (a) above, such Awards shall become fully exercisable and all forfeiture restrictions on such Awards shall lapse immediately prior to the specified effective date of such Corporate Transaction, </w:t>
            </w:r>
            <w:r>
              <w:rPr>
                <w:rFonts w:ascii="Times New Roman" w:hAnsi="Times New Roman"/>
                <w:i/>
                <w:sz w:val="20"/>
              </w:rPr>
              <w:t xml:space="preserve">provided </w:t>
            </w:r>
            <w:r>
              <w:rPr>
                <w:rFonts w:ascii="Times New Roman" w:hAnsi="Times New Roman"/>
                <w:sz w:val="20"/>
              </w:rPr>
              <w:t xml:space="preserve">that the Participant remains an Eligible Participant on the effective date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2"/>
        <w:gridCol w:w="9086"/>
      </w:tblGrid>
      <w:tr>
        <w:trPr/>
        <w:tc>
          <w:tcPr>
            <w:tcW w:w="5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clause (a) or clause (b) above, upon an occurrence of a Corporate Transaction set forth in Sections 2.10(d) and 2.10(e), a Participant’s Awards shall become fully exercisable and the forfeiture restrictions with respect to such amount shall lapse.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(d)</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or in anticipation of, a Corporate Transaction, the Committee may in its sole discretion provide for (i) any and all Awards outstanding hereunder to terminate at a specific time in the future and shall give each Participant the right to exercise such Awards during a period of time as the Committee shall determine, (ii) either the purchase of any Award for an amount of cash equal to the amount that could have been attained upon the exercise of such Award or realization of the Participant’s rights had such Award been currently exercisable or payable or fully vested (and, for the avoidance of doubt, if as of such date the Committee determines in good faith that no amount would have been attained upon the exercise of such Award or realization of the Participant’s rights, then such Award may be terminated by the Company without payment),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provide for payment of Awards in cash based on the value of Shares on the date of the Corporate Transaction plus reasonable interest on the Award through the date such Award would otherwise be vested or have been paid in accordance with its original terms, if necessary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Outstanding Awards — Other Changes</w:t>
            </w:r>
            <w:r>
              <w:rPr>
                <w:rFonts w:ascii="Times New Roman" w:hAnsi="Times New Roman"/>
                <w:sz w:val="20"/>
              </w:rPr>
              <w:t xml:space="preserve">.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9.4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Other Rights</w:t>
            </w:r>
            <w:r>
              <w:rPr>
                <w:rFonts w:ascii="Times New Roman" w:hAnsi="Times New Roman"/>
                <w:sz w:val="20"/>
              </w:rPr>
              <w:t xml:space="preserve">.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no issuance by the Company of shares of any class, or securities convertible into shares of any class, shall affect, and no adjustment by reason thereof shall be made with respect to, the number of shares subject to an Award or the grant or exercise price of any Award.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Committee</w:t>
            </w:r>
            <w:r>
              <w:rPr>
                <w:rFonts w:ascii="Times New Roman" w:hAnsi="Times New Roman"/>
                <w:sz w:val="20"/>
              </w:rPr>
              <w:t xml:space="preserve">. The Plan shall be administered by the Compensation Committee of the Board; </w:t>
            </w:r>
            <w:r>
              <w:rPr>
                <w:rFonts w:ascii="Times New Roman" w:hAnsi="Times New Roman"/>
                <w:i/>
                <w:sz w:val="20"/>
              </w:rPr>
              <w:t xml:space="preserve">provided, however </w:t>
            </w:r>
            <w:r>
              <w:rPr>
                <w:rFonts w:ascii="Times New Roman" w:hAnsi="Times New Roman"/>
                <w:sz w:val="20"/>
              </w:rPr>
              <w:t xml:space="preserve">that the Compensation Committee may delegate to a committee of one or more members of the Board the authority to grant or amend Awards to Participants other than Independent Directors and executive officers of the Company. The Committee shall consist of at least two individuals, each of whom qualifies as a non-employee director within the meaning of Rule 16b-3(b)(3) under the Exchange Act. Reference to the Committee shall refer to the Board if the Compensation Committee has not been established or ceases to exist and the Board does not appoint a successor Committee. Notwithstanding the foregoing, the full Board, acting by majority of its members in office shall conduct the general administration of the Plan if required by Applicable Laws, and with respect to Awards granted to Independent Directors and for purposes of such Awards the term “Committee” as used in the Plan shall be deemed to refer to the Board.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Action by the Committee</w:t>
            </w:r>
            <w:r>
              <w:rPr>
                <w:rFonts w:ascii="Times New Roman" w:hAnsi="Times New Roman"/>
                <w:sz w:val="20"/>
              </w:rPr>
              <w:t xml:space="preserve">. A majority of the Committee shall constitute a quorum. The acts of a majority of the members present at any meeting at which a quorum is present, and acts approved in writing by a majority of the Committee in lieu of a meeting, shall be deemed the acts of the Committee. Each member of the Committee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Authority of Committee</w:t>
            </w:r>
            <w:r>
              <w:rPr>
                <w:rFonts w:ascii="Times New Roman" w:hAnsi="Times New Roman"/>
                <w:sz w:val="20"/>
              </w:rPr>
              <w:t xml:space="preserve">. Subject to any specific designation in the Plan, the Committee has the exclusive power, authority and discretion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Designate Eligible Participants to receive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type or types of Awards to be granted to each Eligible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number of Awards to be granted and the number of Shares to which an Award will relate;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(e)</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whether, to what extent, and pursuant to what circumstances an Award may be settled in, or the exercise price of an Award may be paid in, cash, Shares, other Awards, or other property, or an Award may be canceled, forfeited, or surrendered (whether or not in exchange for another Award or combination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610"/>
        <w:gridCol w:w="9088"/>
      </w:tblGrid>
      <w:tr>
        <w:trPr/>
        <w:tc>
          <w:tcPr>
            <w:tcW w:w="507"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(f)</w:t>
            </w:r>
          </w:p>
        </w:tc>
        <w:tc>
          <w:tcPr>
            <w:tcW w:w="90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Prescribe the form of each Award Agreement, which need not be identical for each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(g)</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Decide all other matters that must be determined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(h)</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adopt, or revise any rules and regulations as it may deem necessary or advisable to administer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2"/>
        <w:gridCol w:w="9084"/>
      </w:tblGrid>
      <w:tr>
        <w:trPr/>
        <w:tc>
          <w:tcPr>
            <w:tcW w:w="509"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Interpret the terms of, and any matter arising pursuant to, the Plan or any Award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(j)</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all other decisions and determinations that may be required pursuant to the Plan or as the Committee deems necessary or advisable to administer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Decisions Binding</w:t>
            </w:r>
            <w:r>
              <w:rPr>
                <w:rFonts w:ascii="Times New Roman" w:hAnsi="Times New Roman"/>
                <w:sz w:val="20"/>
              </w:rPr>
              <w:t xml:space="preserve">. The Committee’s interpretation of the Plan, any Awards granted pursuant to the Plan, any Award Agreement and all decisions and determinations by the Committee with respect to the Plan are final, binding, and conclusive on all parties.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EFFECTIVE AND EXPIRATION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Effective Date</w:t>
            </w:r>
            <w:r>
              <w:rPr>
                <w:rFonts w:ascii="Times New Roman" w:hAnsi="Times New Roman"/>
                <w:sz w:val="20"/>
              </w:rPr>
              <w:t>. The Plan will be effective as of the date on which the Company becomes a primary listed issuer on the Hong Kong Stock Exchange (the “</w:t>
            </w:r>
            <w:r>
              <w:rPr>
                <w:rFonts w:ascii="Times New Roman" w:hAnsi="Times New Roman"/>
                <w:b/>
                <w:sz w:val="20"/>
              </w:rPr>
              <w:t>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Expiration Date</w:t>
            </w:r>
            <w:r>
              <w:rPr>
                <w:rFonts w:ascii="Times New Roman" w:hAnsi="Times New Roman"/>
                <w:sz w:val="20"/>
              </w:rPr>
              <w:t xml:space="preserve">. The Plan will expire on, and no Award may be granted pursuant to the Plan after, the tenth (10th) anniversary of the Effective Date. Any Awards that are outstanding on the tenth anniversary of the Effective Date shall remain in force according to the terms of the Plan and the applicable Award Agreement.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MODIFICATION, AND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Amendment, Modification, And Termination</w:t>
            </w:r>
            <w:r>
              <w:rPr>
                <w:rFonts w:ascii="Times New Roman" w:hAnsi="Times New Roman"/>
                <w:sz w:val="20"/>
              </w:rPr>
              <w:t xml:space="preserve">. The Board may at any time amend, suspend or terminate the Plan; </w:t>
            </w:r>
            <w:r>
              <w:rPr>
                <w:rFonts w:ascii="Times New Roman" w:hAnsi="Times New Roman"/>
                <w:i/>
                <w:sz w:val="20"/>
              </w:rPr>
              <w:t>provided, however</w:t>
            </w:r>
            <w:r>
              <w:rPr>
                <w:rFonts w:ascii="Times New Roman" w:hAnsi="Times New Roman"/>
                <w:sz w:val="20"/>
              </w:rPr>
              <w:t xml:space="preserve">, that no such amendment shall be made in contravention of Chapter 17 of the Hong Kong Listing Rules or without the approval of the Company’s shareholders to the extent such approval is required by Applicable Laws, which includes: (i) a refreshment of the Scheme Limit and/or the Consultant Sublimit in accordance with and as required under Rule 17.03C of the Hong Kong Listing Rules (the Company may refresh either of the Scheme Limit and/or the Consultant Sublimit: (A) from the later of three years after the Effective Date or three years after the date of the previous shareholder approval for refreshment, with the prior approval of shareholders in general meeting by way of ordinary resolution; or (B) at any time, with the prior approval of the shareholders in general meeting and subject to compliance with any additional requirements set out in the Hong Kong Listing Rules; and in the event of a refreshment within any three year period, any controlling shareholders and their associates must abstain from voting in favor of the relevant resolution); (ii) an alteration to the terms of the Plan which are of a material nature and any alteration to the provisions relating to the matters set out in Rule 17.03 of the Hong Kong Listing Rules to the advantage of participants; and (iii) any change to the authority of the Directors or the Committee to alter the terms of the Plan. Any alteration to the terms of any Award the grant of which was subject to the approval of a particular body (such as the Board or any committee thereof, the independent non-executive Directors of the Company, or the shareholders of the Company in general meeting) shall be subject to approval by that same body, provided that this requirement does not apply where the relevant alteration takes effect automatically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Awards Previously Granted</w:t>
            </w:r>
            <w:r>
              <w:rPr>
                <w:rFonts w:ascii="Times New Roman" w:hAnsi="Times New Roman"/>
                <w:sz w:val="20"/>
              </w:rPr>
              <w:t xml:space="preserve">. Except with respect to amendments made pursuant to Section 13.15, no termination, amendment, or modification of the Plan shall adversely affect in any material way any Award previously granted pursuant to the Plan without the prior written consent of the Participant.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Rights to Awards</w:t>
            </w:r>
            <w:r>
              <w:rPr>
                <w:rFonts w:ascii="Times New Roman" w:hAnsi="Times New Roman"/>
                <w:sz w:val="20"/>
              </w:rPr>
              <w:t xml:space="preserve">. No Participant, employee, or other person shall have any claim to be granted any Award pursuant to the Plan, and neither the Company nor the Committee is obligated to treat Participants, employees, and other persons uniformly.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13.2</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Shareholders Rights</w:t>
            </w:r>
            <w:r>
              <w:rPr>
                <w:rFonts w:ascii="Times New Roman" w:hAnsi="Times New Roman"/>
                <w:sz w:val="20"/>
              </w:rPr>
              <w:t xml:space="preserve">. Unvested Awards do not carry any right to vote at general meetings of the Company, nor any right to dividends or declarations, transfer or other rights (including those arising on a liquidation of the Company). No Participant shall enjoy any of the rights of a Shareholder by virtue of the grant of an Award unless and until the Shares or ADSs underlying the Award are issued or transferred to the Participant pursuant to the vesting and exercise (if applicable) of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 xml:space="preserve">.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law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all of the Participant’s income and payroll tax liabilities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income and payroll tax withholding rates that are applicable to such supplemental taxable income under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 Right to Employment or Services</w:t>
            </w:r>
            <w:r>
              <w:rPr>
                <w:rFonts w:ascii="Times New Roman" w:hAnsi="Times New Roman"/>
                <w:sz w:val="20"/>
              </w:rPr>
              <w:t xml:space="preserve">. Nothing in the Plan or any Award Agreement shall interfere with or limit in any way the right of the Group to terminate any Participant’s employment or services at any time, nor confer upon any Participant any right to continue in the employ or service of any Group member.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Effect of Plan upon Other Compensation Plans</w:t>
            </w:r>
            <w:r>
              <w:rPr>
                <w:rFonts w:ascii="Times New Roman" w:hAnsi="Times New Roman"/>
                <w:sz w:val="20"/>
              </w:rPr>
              <w:t xml:space="preserve">. The adoption of the Plan shall not affect any other compensation or incentive plans in effect for any Group member. Nothing in the Plan shall be construed to limit the right of any Group member: (a) to establish any other forms of incentives or compensation for Eligible Participants,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Unfunded Status of Awards</w:t>
            </w:r>
            <w:r>
              <w:rPr>
                <w:rFonts w:ascii="Times New Roman" w:hAnsi="Times New Roman"/>
                <w:sz w:val="20"/>
              </w:rPr>
              <w:t xml:space="preserve">.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Indemnification</w:t>
            </w:r>
            <w:r>
              <w:rPr>
                <w:rFonts w:ascii="Times New Roman" w:hAnsi="Times New Roman"/>
                <w:sz w:val="20"/>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hAnsi="Times New Roman"/>
                <w:i/>
                <w:sz w:val="20"/>
              </w:rPr>
              <w:t xml:space="preserve">provided </w:t>
            </w:r>
            <w:r>
              <w:rPr>
                <w:rFonts w:ascii="Times New Roman" w:hAnsi="Times New Roman"/>
                <w:sz w:val="20"/>
              </w:rPr>
              <w:t xml:space="preserve">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Relationship to other Benefits</w:t>
            </w:r>
            <w:r>
              <w:rPr>
                <w:rFonts w:ascii="Times New Roman" w:hAnsi="Times New Roman"/>
                <w:sz w:val="20"/>
              </w:rPr>
              <w:t xml:space="preserve">. No payment pursuant to the Plan shall be taken into account in determining any benefits pursuant to any pension, retirement, savings, profit sharing, group insurance, welfare or other benefit plan of the Company or any Subsidiary except to the extent otherwise expressly provided in writing in such other plan or an agreement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Expenses</w:t>
            </w:r>
            <w:r>
              <w:rPr>
                <w:rFonts w:ascii="Times New Roman" w:hAnsi="Times New Roman"/>
                <w:sz w:val="20"/>
              </w:rPr>
              <w:t xml:space="preserve">. The expenses of administering the Plan shall be borne by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2"/>
        <w:gridCol w:w="9633"/>
      </w:tblGrid>
      <w:tr>
        <w:trPr/>
        <w:tc>
          <w:tcPr>
            <w:tcW w:w="572" w:type="dxa"/>
            <w:tcBorders/>
          </w:tcPr>
          <w:p>
            <w:pPr>
              <w:pStyle w:val="TableContents"/>
              <w:bidi w:val="0"/>
              <w:spacing w:before="0" w:after="283"/>
              <w:jc w:val="left"/>
              <w:rPr/>
            </w:pPr>
            <w:r>
              <w:rPr/>
              <w:t>13.10</w:t>
            </w:r>
          </w:p>
        </w:tc>
        <w:tc>
          <w:tcPr>
            <w:tcW w:w="9633"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Titles and Headings</w:t>
            </w:r>
            <w:r>
              <w:rPr>
                <w:rFonts w:ascii="Times New Roman" w:hAnsi="Times New Roman"/>
                <w:sz w:val="20"/>
              </w:rPr>
              <w:t xml:space="preserve">. The titles and headings of the Sections in the Plan are for convenience of reference only and, in the event of any conflict, the text of the Plan, rather than such titles or headings, shall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0"/>
        <w:gridCol w:w="9615"/>
      </w:tblGrid>
      <w:tr>
        <w:trPr/>
        <w:tc>
          <w:tcPr>
            <w:tcW w:w="590" w:type="dxa"/>
            <w:tcBorders/>
          </w:tcPr>
          <w:p>
            <w:pPr>
              <w:pStyle w:val="TableContents"/>
              <w:bidi w:val="0"/>
              <w:spacing w:before="0" w:after="283"/>
              <w:jc w:val="left"/>
              <w:rPr/>
            </w:pPr>
            <w:r>
              <w:rPr/>
              <w:t>13.11</w:t>
            </w:r>
          </w:p>
        </w:tc>
        <w:tc>
          <w:tcPr>
            <w:tcW w:w="961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Fractional Shares</w:t>
            </w:r>
            <w:r>
              <w:rPr>
                <w:rFonts w:ascii="Times New Roman" w:hAnsi="Times New Roman"/>
                <w:sz w:val="20"/>
              </w:rPr>
              <w:t xml:space="preserve">. No fractional Share shall be issued and the Committee shall determine, in its discretion, whether cash shall be given in lieu of fractional shares or whether such fractional shares shall be eliminated by rounding up or down as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tcPr>
          <w:p>
            <w:pPr>
              <w:pStyle w:val="TableContents"/>
              <w:bidi w:val="0"/>
              <w:spacing w:before="0" w:after="283"/>
              <w:jc w:val="left"/>
              <w:rPr/>
            </w:pPr>
            <w:r>
              <w:rPr/>
              <w:t>13.12</w:t>
            </w:r>
          </w:p>
        </w:tc>
        <w:tc>
          <w:tcPr>
            <w:tcW w:w="9635"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Government and Other Regulations</w:t>
            </w:r>
            <w:r>
              <w:rPr>
                <w:rFonts w:ascii="Times New Roman" w:hAnsi="Times New Roman"/>
                <w:sz w:val="20"/>
              </w:rPr>
              <w:t xml:space="preserve">.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5"/>
        <w:gridCol w:w="9620"/>
      </w:tblGrid>
      <w:tr>
        <w:trPr/>
        <w:tc>
          <w:tcPr>
            <w:tcW w:w="585" w:type="dxa"/>
            <w:tcBorders/>
          </w:tcPr>
          <w:p>
            <w:pPr>
              <w:pStyle w:val="TableContents"/>
              <w:bidi w:val="0"/>
              <w:spacing w:before="0" w:after="283"/>
              <w:jc w:val="left"/>
              <w:rPr/>
            </w:pPr>
            <w:r>
              <w:rPr/>
              <w:t>13.13</w:t>
            </w:r>
          </w:p>
        </w:tc>
        <w:tc>
          <w:tcPr>
            <w:tcW w:w="962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The Plan and all Award Agreements shall be construed in accordance with and governed by the laws of the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69"/>
        <w:gridCol w:w="9636"/>
      </w:tblGrid>
      <w:tr>
        <w:trPr/>
        <w:tc>
          <w:tcPr>
            <w:tcW w:w="569" w:type="dxa"/>
            <w:tcBorders/>
          </w:tcPr>
          <w:p>
            <w:pPr>
              <w:pStyle w:val="TableContents"/>
              <w:bidi w:val="0"/>
              <w:spacing w:before="0" w:after="283"/>
              <w:jc w:val="left"/>
              <w:rPr/>
            </w:pPr>
            <w:r>
              <w:rPr/>
              <w:t>13.14</w:t>
            </w:r>
          </w:p>
        </w:tc>
        <w:tc>
          <w:tcPr>
            <w:tcW w:w="9636"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Section 409A</w:t>
            </w:r>
            <w:r>
              <w:rPr>
                <w:rFonts w:ascii="Times New Roman" w:hAnsi="Times New Roman"/>
                <w:sz w:val="20"/>
              </w:rPr>
              <w:t xml:space="preserve">.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U.S. Department of Treasury guidance (including such U.S.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is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81"/>
        <w:gridCol w:w="9624"/>
      </w:tblGrid>
      <w:tr>
        <w:trPr/>
        <w:tc>
          <w:tcPr>
            <w:tcW w:w="581" w:type="dxa"/>
            <w:tcBorders/>
          </w:tcPr>
          <w:p>
            <w:pPr>
              <w:pStyle w:val="TableContents"/>
              <w:bidi w:val="0"/>
              <w:spacing w:before="0" w:after="283"/>
              <w:jc w:val="left"/>
              <w:rPr/>
            </w:pPr>
            <w:r>
              <w:rPr/>
              <w:t>13.15</w:t>
            </w:r>
          </w:p>
        </w:tc>
        <w:tc>
          <w:tcPr>
            <w:tcW w:w="9624"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Appendices</w:t>
            </w:r>
            <w:r>
              <w:rPr>
                <w:rFonts w:ascii="Times New Roman" w:hAnsi="Times New Roman"/>
                <w:sz w:val="20"/>
              </w:rPr>
              <w:t xml:space="preserve">. The Committee may approve such supplements, amendments or appendices to the Plan as it may consider necessary or appropriate for purposes of compliance with applicable laws or otherwise and such supplements, amendments or appendices shall be considered a part of the Plan; </w:t>
            </w:r>
            <w:r>
              <w:rPr>
                <w:rFonts w:ascii="Times New Roman" w:hAnsi="Times New Roman"/>
                <w:i/>
                <w:sz w:val="20"/>
              </w:rPr>
              <w:t>provided, however</w:t>
            </w:r>
            <w:r>
              <w:rPr>
                <w:rFonts w:ascii="Times New Roman" w:hAnsi="Times New Roman"/>
                <w:sz w:val="20"/>
              </w:rPr>
              <w:t xml:space="preserve">, that no such supplements shall increase the share limitations contained in Section 3.1 of the Plan.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right"/>
        <w:rPr>
          <w:rFonts w:ascii="Times New Roman" w:hAnsi="Times New Roman"/>
          <w:b/>
          <w:sz w:val="20"/>
        </w:rPr>
      </w:pPr>
      <w:bookmarkStart w:id="7" w:name="d180416dex231.htm"/>
      <w:bookmarkStart w:id="8" w:name="ksd180416dex231"/>
      <w:bookmarkEnd w:id="7"/>
      <w:bookmarkEnd w:id="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2026 Share Incentive Plan of Baidu, Inc. of our reports dated March 17, 2026, with respect to the consolidated financial statements of Baidu, Inc. and the effectiveness of internal control over financial reporting of Baidu, Inc. included in its Annual Report (Form 20-F) for the year ended December 31, 2025, filed with the Securities and Exchange Commission. </w:t>
      </w:r>
    </w:p>
    <w:p>
      <w:pPr>
        <w:pStyle w:val="TextBody"/>
        <w:bidi w:val="0"/>
        <w:spacing w:before="480" w:after="0"/>
        <w:jc w:val="left"/>
        <w:rPr>
          <w:rFonts w:ascii="Times New Roman" w:hAnsi="Times New Roman"/>
          <w:sz w:val="20"/>
        </w:rPr>
      </w:pPr>
      <w:r>
        <w:rPr>
          <w:rFonts w:ascii="Times New Roman" w:hAnsi="Times New Roman"/>
          <w:sz w:val="20"/>
        </w:rPr>
        <w:t xml:space="preserve">/s/ Ernst &amp; Young Hua Ming LLP </w:t>
      </w:r>
    </w:p>
    <w:p>
      <w:pPr>
        <w:pStyle w:val="TextBody"/>
        <w:bidi w:val="0"/>
        <w:spacing w:before="120" w:after="0"/>
        <w:jc w:val="left"/>
        <w:rPr>
          <w:rFonts w:ascii="Times New Roman" w:hAnsi="Times New Roman"/>
          <w:sz w:val="20"/>
        </w:rPr>
      </w:pPr>
      <w:r>
        <w:rPr>
          <w:rFonts w:ascii="Times New Roman" w:hAnsi="Times New Roman"/>
          <w:sz w:val="20"/>
        </w:rPr>
        <w:t xml:space="preserve">Beijing, 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October 13, 2026 </w:t>
      </w:r>
    </w:p>
    <w:p>
      <w:pPr>
        <w:pStyle w:val="Normal"/>
        <w:bidi w:val="0"/>
        <w:spacing w:before="0" w:after="0"/>
        <w:jc w:val="left"/>
        <w:rPr>
          <w:sz w:val="4"/>
          <w:szCs w:val="4"/>
        </w:rPr>
      </w:pPr>
      <w:r>
        <w:rPr>
          <w:sz w:val="4"/>
          <w:szCs w:val="4"/>
        </w:rPr>
      </w:r>
      <w:bookmarkStart w:id="9" w:name="d180416dexfilingfees.htm"/>
      <w:bookmarkStart w:id="10" w:name="ksd180416dexfilingfees"/>
      <w:bookmarkStart w:id="11" w:name="d180416dexfilingfees.htm"/>
      <w:bookmarkStart w:id="12" w:name="ksd180416dexfilingfees"/>
      <w:bookmarkEnd w:id="11"/>
      <w:bookmarkEnd w:id="12"/>
      <w:r>
        <w:br w:type="page"/>
      </w:r>
    </w:p>
    <w:tbl>
      <w:tblPr>
        <w:tblW w:w="3507" w:type="dxa"/>
        <w:jc w:val="left"/>
        <w:tblInd w:w="0" w:type="dxa"/>
        <w:tblLayout w:type="fixed"/>
        <w:tblCellMar>
          <w:top w:w="28" w:type="dxa"/>
          <w:left w:w="28" w:type="dxa"/>
          <w:bottom w:w="28" w:type="dxa"/>
          <w:right w:w="28" w:type="dxa"/>
        </w:tblCellMar>
      </w:tblPr>
      <w:tblGrid>
        <w:gridCol w:w="3353"/>
        <w:gridCol w:w="154"/>
      </w:tblGrid>
      <w:tr>
        <w:trPr/>
        <w:tc>
          <w:tcPr>
            <w:tcW w:w="350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5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b/>
              </w:rPr>
            </w:pPr>
            <w:r>
              <w:rPr>
                <w:b/>
              </w:rPr>
              <w:t xml:space="preserve">Baidu,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674" w:type="dxa"/>
        <w:jc w:val="left"/>
        <w:tblInd w:w="0" w:type="dxa"/>
        <w:tblLayout w:type="fixed"/>
        <w:tblCellMar>
          <w:top w:w="28" w:type="dxa"/>
          <w:left w:w="28" w:type="dxa"/>
          <w:bottom w:w="28" w:type="dxa"/>
          <w:right w:w="28" w:type="dxa"/>
        </w:tblCellMar>
      </w:tblPr>
      <w:tblGrid>
        <w:gridCol w:w="241"/>
        <w:gridCol w:w="946"/>
        <w:gridCol w:w="1366"/>
        <w:gridCol w:w="1276"/>
        <w:gridCol w:w="1306"/>
        <w:gridCol w:w="1156"/>
        <w:gridCol w:w="1966"/>
        <w:gridCol w:w="100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36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366" w:type="dxa"/>
            <w:tcBorders/>
            <w:shd w:fill="E7E7E2" w:val="clear"/>
            <w:vAlign w:val="center"/>
          </w:tcPr>
          <w:p>
            <w:pPr>
              <w:pStyle w:val="TableContents"/>
              <w:bidi w:val="0"/>
              <w:spacing w:before="0" w:after="283"/>
              <w:jc w:val="left"/>
              <w:rPr/>
            </w:pPr>
            <w:r>
              <w:rPr/>
              <w:t xml:space="preserve">Class A ordinary shares, par value US$0.000000625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273,356,149 </w:t>
            </w:r>
          </w:p>
        </w:tc>
        <w:tc>
          <w:tcPr>
            <w:tcW w:w="1156" w:type="dxa"/>
            <w:tcBorders/>
            <w:shd w:fill="E7E7E2" w:val="clear"/>
            <w:vAlign w:val="center"/>
          </w:tcPr>
          <w:p>
            <w:pPr>
              <w:pStyle w:val="TableContents"/>
              <w:bidi w:val="0"/>
              <w:spacing w:before="0" w:after="283"/>
              <w:jc w:val="right"/>
              <w:rPr/>
            </w:pPr>
            <w:r>
              <w:rPr/>
              <w:t xml:space="preserve">$ 10.4831 </w:t>
            </w:r>
          </w:p>
        </w:tc>
        <w:tc>
          <w:tcPr>
            <w:tcW w:w="1966" w:type="dxa"/>
            <w:tcBorders/>
            <w:shd w:fill="E7E7E2" w:val="clear"/>
            <w:vAlign w:val="center"/>
          </w:tcPr>
          <w:p>
            <w:pPr>
              <w:pStyle w:val="TableContents"/>
              <w:bidi w:val="0"/>
              <w:spacing w:before="0" w:after="283"/>
              <w:jc w:val="right"/>
              <w:rPr/>
            </w:pPr>
            <w:r>
              <w:rPr/>
              <w:t xml:space="preserve">$ 2,865,619,845.58 </w:t>
            </w:r>
          </w:p>
        </w:tc>
        <w:tc>
          <w:tcPr>
            <w:tcW w:w="1006" w:type="dxa"/>
            <w:tcBorders/>
            <w:shd w:fill="E7E7E2" w:val="clear"/>
            <w:vAlign w:val="center"/>
          </w:tcPr>
          <w:p>
            <w:pPr>
              <w:pStyle w:val="TableContents"/>
              <w:bidi w:val="0"/>
              <w:spacing w:before="0" w:after="283"/>
              <w:jc w:val="right"/>
              <w:rPr/>
            </w:pPr>
            <w:r>
              <w:rPr/>
              <w:t xml:space="preserve">0.000087 </w:t>
            </w:r>
          </w:p>
        </w:tc>
        <w:tc>
          <w:tcPr>
            <w:tcW w:w="1411" w:type="dxa"/>
            <w:tcBorders/>
            <w:shd w:fill="E7E7E2" w:val="clear"/>
            <w:vAlign w:val="center"/>
          </w:tcPr>
          <w:p>
            <w:pPr>
              <w:pStyle w:val="TableContents"/>
              <w:bidi w:val="0"/>
              <w:spacing w:before="0" w:after="283"/>
              <w:jc w:val="right"/>
              <w:rPr/>
            </w:pPr>
            <w:r>
              <w:rPr/>
              <w:t xml:space="preserve">$ 249,308.93 </w:t>
            </w:r>
          </w:p>
        </w:tc>
      </w:tr>
      <w:tr>
        <w:trPr/>
        <w:tc>
          <w:tcPr>
            <w:tcW w:w="513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3" w:name="MaxAggtOfferingPrice"/>
            <w:bookmarkEnd w:id="13"/>
            <w:r>
              <w:rPr/>
              <w:t xml:space="preserve">$ 2,865,619,845.58 </w:t>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$ 249,308.93 </w:t>
            </w:r>
          </w:p>
        </w:tc>
      </w:tr>
      <w:tr>
        <w:trPr/>
        <w:tc>
          <w:tcPr>
            <w:tcW w:w="513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513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6" w:name="NetFeeAmt"/>
            <w:bookmarkEnd w:id="16"/>
            <w:r>
              <w:rPr/>
              <w:t xml:space="preserve">$ 249,308.93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These shares may be represented by the Registrant's American Depositary Shares, or ADSs, each representing eight Class A ordinary shares. The Registrant's ADSs issuable upon deposit of the Class A ordinary shares registered hereby have been registered under separate registration statements on Form F-6 (File No. 333-126546 and File No. 333-221823). (2) Represents Class A ordinary shares issuable upon exercise of options and pursuant to other awards granted under the 2026 Share Incentive Plan (the "2026 Plan"). 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2026 Plan. To the extent provided in the 2026 Plan, any Class A ordinary shares covered by an award granted under the 2026 Plan (or portion of an award) that terminates, expires, lapses or is forfeited for any reason, or that is settled in cash, any Class A ordinary shares tendered or withheld to satisfy the exercise price of, or tax withholding obligations relating to, an award granted under the 2026 Plan, and any restricted shares granted under the 2026 Plan that are forfeited or repurchased by the Registrant, will be deemed not to have been issued for purposes of determining the maximum aggregate number of ordinary shares that may be issued under the 2026 Plan. (3) The shares are reserved for future award grants under the 2026 Plan. The corresponding proposed maximum offering price per share, which is estimated solely for the purposes of calculating the registration fee under Rule 457(h) and Rule 457(c) under the Securities Act, is based on US$83.865 per ADS, the average of the high and low prices for the Registrant's ADSs as quoted on the Nasdaq on October 8,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329099/000119312526109289/d38065d20f.htm" TargetMode="External"/><Relationship Id="rId3" Type="http://schemas.openxmlformats.org/officeDocument/2006/relationships/hyperlink" Target="http://www.sec.gov/Archives/edgar/data/1329099/000119312505153652/d8a12g.htm" TargetMode="External"/><Relationship Id="rId4" Type="http://schemas.openxmlformats.org/officeDocument/2006/relationships/hyperlink" Target="http://www.sec.gov/Archives/edgar/data/1329099/000119312526369462/d117226dex31.htm" TargetMode="External"/><Relationship Id="rId5" Type="http://schemas.openxmlformats.org/officeDocument/2006/relationships/hyperlink" Target="http://www.sec.gov/Archives/edgar/data/1329099/000119312505155128/dex42.htm" TargetMode="External"/><Relationship Id="rId6" Type="http://schemas.openxmlformats.org/officeDocument/2006/relationships/hyperlink" Target="http://www.sec.gov/Archives/edgar/data/1329099/000119312505140785/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14591</Words>
  <Characters>75345</Characters>
  <CharactersWithSpaces>90010</CharactersWithSpaces>
  <Paragraphs>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