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97629d6k.htm"/>
      <w:bookmarkStart w:id="1" w:name="ksd497629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000-51469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BAIDU,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Baidu Campus </w:t>
      </w:r>
    </w:p>
    <w:p>
      <w:pPr>
        <w:pStyle w:val="TextBody"/>
        <w:bidi w:val="0"/>
        <w:spacing w:before="0" w:after="0"/>
        <w:jc w:val="center"/>
        <w:rPr>
          <w:rFonts w:ascii="Times New Roman" w:hAnsi="Times New Roman"/>
          <w:b/>
          <w:sz w:val="20"/>
        </w:rPr>
      </w:pPr>
      <w:r>
        <w:rPr>
          <w:rFonts w:ascii="Times New Roman" w:hAnsi="Times New Roman"/>
          <w:b/>
          <w:sz w:val="20"/>
        </w:rPr>
        <w:t xml:space="preserve">No. 10 Shangdi 10th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100085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4"/>
        <w:gridCol w:w="682"/>
        <w:gridCol w:w="8669"/>
      </w:tblGrid>
      <w:tr>
        <w:trPr/>
        <w:tc>
          <w:tcPr>
            <w:tcW w:w="854" w:type="dxa"/>
            <w:tcBorders/>
            <w:vAlign w:val="center"/>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8669" w:type="dxa"/>
            <w:tcBorders/>
            <w:vAlign w:val="center"/>
          </w:tcPr>
          <w:p>
            <w:pPr>
              <w:pStyle w:val="TableContents"/>
              <w:bidi w:val="0"/>
              <w:spacing w:before="0" w:after="283"/>
              <w:jc w:val="left"/>
              <w:rPr>
                <w:sz w:val="4"/>
                <w:szCs w:val="4"/>
              </w:rPr>
            </w:pPr>
            <w:r>
              <w:rPr>
                <w:sz w:val="4"/>
                <w:szCs w:val="4"/>
              </w:rPr>
            </w:r>
          </w:p>
        </w:tc>
      </w:tr>
      <w:tr>
        <w:trPr/>
        <w:tc>
          <w:tcPr>
            <w:tcW w:w="854"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682" w:type="dxa"/>
            <w:tcBorders/>
            <w:vAlign w:val="bottom"/>
          </w:tcPr>
          <w:p>
            <w:pPr>
              <w:pStyle w:val="TableContents"/>
              <w:bidi w:val="0"/>
              <w:spacing w:before="0" w:after="283"/>
              <w:jc w:val="left"/>
              <w:rPr/>
            </w:pPr>
            <w:r>
              <w:rPr/>
              <w:t>  </w:t>
            </w:r>
          </w:p>
        </w:tc>
        <w:tc>
          <w:tcPr>
            <w:tcW w:w="86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99.1</w:t>
            </w:r>
          </w:p>
        </w:tc>
        <w:tc>
          <w:tcPr>
            <w:tcW w:w="682" w:type="dxa"/>
            <w:tcBorders/>
            <w:vAlign w:val="bottom"/>
          </w:tcPr>
          <w:p>
            <w:pPr>
              <w:pStyle w:val="TableContents"/>
              <w:bidi w:val="0"/>
              <w:spacing w:before="0" w:after="283"/>
              <w:jc w:val="left"/>
              <w:rPr/>
            </w:pPr>
            <w:r>
              <w:rPr/>
              <w:t>  </w:t>
            </w:r>
          </w:p>
        </w:tc>
        <w:tc>
          <w:tcPr>
            <w:tcW w:w="8669" w:type="dxa"/>
            <w:tcBorders/>
          </w:tcPr>
          <w:p>
            <w:pPr>
              <w:pStyle w:val="TableContents"/>
              <w:bidi w:val="0"/>
              <w:spacing w:before="0" w:after="283"/>
              <w:jc w:val="left"/>
              <w:rPr/>
            </w:pPr>
            <w:r>
              <w:rPr/>
              <w:t>Next Day Disclosure Return, dated September 14, 2026</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6"/>
        <w:gridCol w:w="60"/>
        <w:gridCol w:w="313"/>
        <w:gridCol w:w="60"/>
        <w:gridCol w:w="3023"/>
      </w:tblGrid>
      <w:tr>
        <w:trPr/>
        <w:tc>
          <w:tcPr>
            <w:tcW w:w="62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3"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sz w:val="20"/>
              </w:rPr>
            </w:pPr>
            <w:r>
              <w:rPr>
                <w:sz w:val="20"/>
              </w:rPr>
              <w:t>BAIDU, INC.</w:t>
            </w:r>
          </w:p>
        </w:tc>
      </w:tr>
      <w:tr>
        <w:trPr>
          <w:trHeight w:val="240" w:hRule="atLeast"/>
        </w:trPr>
        <w:tc>
          <w:tcPr>
            <w:tcW w:w="626" w:type="dxa"/>
            <w:tcBorders/>
            <w:vAlign w:val="center"/>
          </w:tcPr>
          <w:p>
            <w:pPr>
              <w:pStyle w:val="TableContents"/>
              <w:bidi w:val="0"/>
              <w:spacing w:before="0" w:after="283"/>
              <w:jc w:val="left"/>
              <w:rPr>
                <w:sz w:val="4"/>
                <w:szCs w:val="4"/>
              </w:rPr>
            </w:pPr>
            <w:r>
              <w:rPr>
                <w:sz w:val="4"/>
                <w:szCs w:val="4"/>
              </w:rPr>
            </w:r>
          </w:p>
        </w:tc>
        <w:tc>
          <w:tcPr>
            <w:tcW w:w="373" w:type="dxa"/>
            <w:gridSpan w:val="2"/>
            <w:tcBorders/>
            <w:vAlign w:val="center"/>
          </w:tcPr>
          <w:p>
            <w:pPr>
              <w:pStyle w:val="TableContents"/>
              <w:bidi w:val="0"/>
              <w:spacing w:before="0" w:after="283"/>
              <w:jc w:val="left"/>
              <w:rPr>
                <w:sz w:val="4"/>
                <w:szCs w:val="4"/>
              </w:rPr>
            </w:pPr>
            <w:r>
              <w:rPr>
                <w:sz w:val="4"/>
                <w:szCs w:val="4"/>
              </w:rPr>
            </w:r>
          </w:p>
        </w:tc>
        <w:tc>
          <w:tcPr>
            <w:tcW w:w="3083" w:type="dxa"/>
            <w:gridSpan w:val="2"/>
            <w:tcBorders/>
            <w:vAlign w:val="center"/>
          </w:tcPr>
          <w:p>
            <w:pPr>
              <w:pStyle w:val="TableContents"/>
              <w:bidi w:val="0"/>
              <w:spacing w:before="0" w:after="283"/>
              <w:jc w:val="left"/>
              <w:rPr>
                <w:sz w:val="4"/>
                <w:szCs w:val="4"/>
              </w:rPr>
            </w:pPr>
            <w:r>
              <w:rPr>
                <w:sz w:val="4"/>
                <w:szCs w:val="4"/>
              </w:rPr>
            </w:r>
          </w:p>
        </w:tc>
      </w:tr>
      <w:tr>
        <w:trPr/>
        <w:tc>
          <w:tcPr>
            <w:tcW w:w="62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13"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2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Haijian He</w:t>
            </w:r>
          </w:p>
        </w:tc>
      </w:tr>
      <w:tr>
        <w:trPr/>
        <w:tc>
          <w:tcPr>
            <w:tcW w:w="62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13" w:type="dxa"/>
            <w:tcBorders/>
          </w:tcPr>
          <w:p>
            <w:pPr>
              <w:pStyle w:val="TableContents"/>
              <w:bidi w:val="0"/>
              <w:spacing w:before="0" w:after="283"/>
              <w:jc w:val="left"/>
              <w:rPr/>
            </w:pPr>
            <w:r>
              <w:rPr/>
              <w:t>:</w:t>
            </w:r>
          </w:p>
        </w:tc>
        <w:tc>
          <w:tcPr>
            <w:tcW w:w="60" w:type="dxa"/>
            <w:tcBorders/>
            <w:vAlign w:val="bottom"/>
          </w:tcPr>
          <w:p>
            <w:pPr>
              <w:pStyle w:val="TableContents"/>
              <w:bidi w:val="0"/>
              <w:spacing w:before="0" w:after="283"/>
              <w:jc w:val="left"/>
              <w:rPr/>
            </w:pPr>
            <w:r>
              <w:rPr/>
              <w:t> </w:t>
            </w:r>
          </w:p>
        </w:tc>
        <w:tc>
          <w:tcPr>
            <w:tcW w:w="3023" w:type="dxa"/>
            <w:tcBorders/>
          </w:tcPr>
          <w:p>
            <w:pPr>
              <w:pStyle w:val="TableContents"/>
              <w:bidi w:val="0"/>
              <w:spacing w:before="0" w:after="283"/>
              <w:jc w:val="left"/>
              <w:rPr/>
            </w:pPr>
            <w:r>
              <w:rPr/>
              <w:t>Haijian He</w:t>
            </w:r>
          </w:p>
        </w:tc>
      </w:tr>
      <w:tr>
        <w:trPr/>
        <w:tc>
          <w:tcPr>
            <w:tcW w:w="62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13" w:type="dxa"/>
            <w:tcBorders/>
          </w:tcPr>
          <w:p>
            <w:pPr>
              <w:pStyle w:val="TableContents"/>
              <w:bidi w:val="0"/>
              <w:spacing w:before="0" w:after="283"/>
              <w:jc w:val="left"/>
              <w:rPr/>
            </w:pPr>
            <w:r>
              <w:rPr/>
              <w:t>:</w:t>
            </w:r>
          </w:p>
        </w:tc>
        <w:tc>
          <w:tcPr>
            <w:tcW w:w="60" w:type="dxa"/>
            <w:tcBorders/>
            <w:vAlign w:val="bottom"/>
          </w:tcPr>
          <w:p>
            <w:pPr>
              <w:pStyle w:val="TableContents"/>
              <w:bidi w:val="0"/>
              <w:spacing w:before="0" w:after="283"/>
              <w:jc w:val="left"/>
              <w:rPr/>
            </w:pPr>
            <w:r>
              <w:rPr/>
              <w:t> </w:t>
            </w:r>
          </w:p>
        </w:tc>
        <w:tc>
          <w:tcPr>
            <w:tcW w:w="3023"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15, 2026 </w:t>
      </w:r>
    </w:p>
    <w:p>
      <w:pPr>
        <w:pStyle w:val="TextBody"/>
        <w:bidi w:val="0"/>
        <w:spacing w:before="0" w:after="0"/>
        <w:jc w:val="center"/>
        <w:rPr/>
      </w:pPr>
      <w:bookmarkStart w:id="2" w:name="d497629dex991.htm"/>
      <w:bookmarkStart w:id="3" w:name="ksd497629dex991"/>
      <w:bookmarkEnd w:id="2"/>
      <w:bookmarkEnd w:id="3"/>
      <w:r>
        <w:rPr/>
        <w:drawing>
          <wp:inline distT="0" distB="0" distL="0" distR="0">
            <wp:extent cx="10256520" cy="72732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56520" cy="7273290"/>
                    </a:xfrm>
                    <a:prstGeom prst="rect">
                      <a:avLst/>
                    </a:prstGeom>
                  </pic:spPr>
                </pic:pic>
              </a:graphicData>
            </a:graphic>
          </wp:inline>
        </w:drawing>
      </w:r>
      <w:r>
        <w:rPr/>
        <w:t xml:space="preserve"> </w:t>
      </w:r>
      <w:r>
        <w:br w:type="page"/>
      </w:r>
    </w:p>
    <w:p>
      <w:pPr>
        <w:pStyle w:val="TextBody"/>
        <w:bidi w:val="0"/>
        <w:jc w:val="left"/>
        <w:rPr>
          <w:rFonts w:ascii="Times New Roman" w:hAnsi="Times New Roman"/>
          <w:color w:val="FFFFFF"/>
          <w:sz w:val="2"/>
        </w:rPr>
      </w:pPr>
      <w:r>
        <w:rPr>
          <w:rFonts w:ascii="Times New Roman" w:hAnsi="Times New Roman"/>
          <w:color w:val="FFFFFF"/>
          <w:sz w:val="2"/>
        </w:rPr>
        <w:t xml:space="preserve">FF305 1.3.0 Next Day Disclosure Return (Equity issuer—changes in issued shares or treasury shares, share buybacks and/or on-market sales of treasury shares) Instrument: Equity issuer Status: New Submission Name of Issuer: Baidu, Inc. Date Submitted: 14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09888 Description Class A Ordinary Shares Multi-counter stock code 89888 RMB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11 September 2026 2,209,541,178 0 2,209,541,178 1). Other (please specify) See Part B Date of changes 14 September 2026 % Closing balance as at (Notes 5 and 6) 14 September 2026 2,209,541,178 0 2,209,541,178 Page 1 of 7 v 1.3.0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B. Shares redeemed or repurchased for cancellation but not yet cancelled as at the closing balance date (Notes 5 and 6) 1). Shares repurchased for cancellation but not yet cancelled Date of changes 07 September 2026 545,000 0.025 % HKD 91.6772 2). Shares repurchased for cancellation but not yet cancelled Date of changes 08 September 2026 554,150 0.025 % HKD 90.2251 3). Shares repurchased for cancellation but not yet cancelled Date of changes 09 September 2026 541,200 0.024 % HKD 92.383 4). Shares repurchased for cancellation but not yet cancelled Date of changes 10 September 2026 557,200 0.025 % HKD 89.7264 5). Shares repurchased for cancellation but not yet cancelled Date of changes 11 September 2026 560,200 0.025 % HKD 89.2402 6). Shares repurchased for cancellation but not yet cancelled Date of changes 14 September 2026 556,900 0.025 % HKD 89.7782 Remarks: The information contained herein under “Opening balance as at” is based on the closing balance of Class A ordinary shares as of September 11, 2026 as disclosed in the Next Day Disclosure Return submitted on September 11,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Confirmation Pursuant to Main Board Rule 13.25C / GEM Rule 17.27C, we hereby confirm to the best knowledge, information and belief that, in relation to each issue of shares or sale or transfer of treasury shares as set out in Section I, it has been duly authorised by the board of directors of the listed issuer and carried out in compliance with all applicable listing rules, laws and other regulatory requirements and, insofar as applicable: (Note 7) (i) all money due to the listed issuer in respect of the issue of shares, or sale or transfer of treasury shares has been received by it; (ii) all pre-conditions for the listing imposed by the Main Board Rules / GEM Rules under “Qualifications of listing” have been fulfilled; (iii) all (if any) conditions contained in the formal letter granting listing of and permission to deal in the securities have been fulfilled; (iv) all the securities of each class are in all respects identical (Note 8);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Page 3 of 7 v 1.3.0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context:—the securities are of the same nominal value with the same amount called up or paid up;—they are entitled to dividend/interest at the same rate and for the same period, so that at the next ensuing distribution, the dividend/interest payable per unit will amount to exactly the same sum (gross and net); and—they carry the same rights as to unrestricted transfer, attendance and voting at meetings and rank pari passu in all other respects. Page 4 of 7 v 1.3.0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Section II must also be completed by a listed issuer where it has made a repurchase of shares which is discloseable under Main Board Rule 10.06(4)(a) / GEM Rule 13.13(1). Repurchase report Section II 1. Class of shares Ordinary shares Type of shares A Listed on the Exchange Yes Stock code (if listed) 09888 Description Class A Ordinary Shares Multi-counter stock code 89888 RMB Description A. Repurchase report Trading date Number of shares repurchased Method of repurchase (Note 1) Repurchase price per share or highest repurchase price per share $ Lowest repurchase price per share $ Aggregate price paid $ 1). 14 September 2026 556,900 On the Exchange HKD 90.25 HKD 89.35 HKD 49,997,479.58 Total number of shares repurchased 556,900 Aggregate price paid $ HKD 49,997,479.58 Number of shares repurchased for cancellation 556,900 Number of shares repurchased for holding as treasury shares B. Additional information for issuer who has a primary listing on the Exchange 1). Date of the resolution granting the repurchase mandate 26 August 2026 2). Total number of shares which the issuer is authorised to repurchase under the repurchase mandate 273,356,149 3). Number of shares repurchased on the Exchange or another stock exchange under the repurchase mandate (a) 3,314,650 4). As a % of number of issued shares (excluding treasury shares) as at the date of the resolution granting the repurchase mandate (a) x 100 / number of issued shares (excluding treasury shares) as at the date of the resolution granting the repurchase mandate 0.121 % 5). Moratorium period for any issue of new shares, or sale or transfer of treasury shares after the share repurchase(s) set out in Part A (Note 2) Up to 14 October 2026 Page 5 of 7 v 1.3.0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We hereby confirm that the repurchases made on the Exchange set out in Part A above were made in accordance with the Main Board Rules / GEM Rules and that there have been no material changes to the particulars contained in the Explanatory Statement dated July 27,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Page 6 of 7 v 1.3.0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FF305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Lin Juan (Name) Title: Joint Company Secretary (Director, Secretary or other Duly Authorised Officer) Page 7 of 7 v 1.3.0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1964</Words>
  <Characters>9763</Characters>
  <CharactersWithSpaces>11749</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