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1948d6k.htm"/>
      <w:bookmarkStart w:id="1" w:name="ksd18194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25,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9"/>
        <w:gridCol w:w="60"/>
        <w:gridCol w:w="3233"/>
      </w:tblGrid>
      <w:tr>
        <w:trPr/>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789" w:type="dxa"/>
            <w:tcBorders/>
            <w:vAlign w:val="center"/>
          </w:tcPr>
          <w:p>
            <w:pPr>
              <w:pStyle w:val="TableContents"/>
              <w:bidi w:val="0"/>
              <w:spacing w:before="0" w:after="283"/>
              <w:jc w:val="left"/>
              <w:rPr>
                <w:sz w:val="4"/>
                <w:szCs w:val="4"/>
              </w:rPr>
            </w:pPr>
            <w:r>
              <w:rPr>
                <w:sz w:val="4"/>
                <w:szCs w:val="4"/>
              </w:rPr>
            </w:r>
          </w:p>
        </w:tc>
        <w:tc>
          <w:tcPr>
            <w:tcW w:w="3293"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789"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Haijian He</w:t>
            </w:r>
          </w:p>
        </w:tc>
      </w:tr>
      <w:tr>
        <w:trPr/>
        <w:tc>
          <w:tcPr>
            <w:tcW w:w="789"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28, 2026 </w:t>
      </w:r>
    </w:p>
    <w:p>
      <w:pPr>
        <w:pStyle w:val="TextBody"/>
        <w:bidi w:val="0"/>
        <w:spacing w:before="0" w:after="0"/>
        <w:jc w:val="center"/>
        <w:rPr/>
      </w:pPr>
      <w:bookmarkStart w:id="2" w:name="d181948dex991.htm"/>
      <w:bookmarkStart w:id="3" w:name="ksd181948dex991"/>
      <w:bookmarkEnd w:id="2"/>
      <w:bookmarkEnd w:id="3"/>
      <w:r>
        <w:rPr/>
        <w:drawing>
          <wp:inline distT="0" distB="0" distL="0" distR="0">
            <wp:extent cx="10106025"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06025" cy="714375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Exhibit 99.1 FF305 Next Day Disclosure Return (Equity issuer - changes in issued shares or treasury shares, share buybacks and/or on-market sales of treasury shares) Instrument: Equity issuer Status: New Submission Name of Issuer: Baidu, Inc. Date Submitted: 25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Changes in treasury shares Issue/ selling price per share (Note 4) Total number of issued shares Number of issued shares (excluding treasury shares) As a % of existing number of issued shares (excluding treasury shares) before the relevant event (Note 3) Number of treasury shares Opening balance as at (Note 1) 24 September 2026 2,209,541,178 0 2,209,541,178 1). Other (please specify) See Part B Date of changes 25 September 2026 % Closing balance as at (Notes 5 and 6) 25 September 2026 2,209,541,178 0 2,209,541,178 Page 1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7). Shares repurchased for cancellation but not yet cancelled Date of changes 15 September 2026 556,100 0.025 % HKD 89.9088 8). Shares repurchased for cancellation but not yet cancelled Date of changes 16 September 2026 565,850 0.026 % HKD 88.3549 9). Shares repurchased for cancellation but not yet cancelled Date of changes 17 September 2026 575,300 0.026 % HKD 86.909 10). Shares repurchased for cancellation but not yet cancelled Date of changes 18 September 2026 561,000 0.025 % HKD 88.951 11). Shares repurchased for cancellation but not yet cancelled Date of changes 21 September 2026 560,000 0.025 % HKD 88.8202  Page 2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12). Shares repurchased for cancellation but not yet cancelled Date of changes 22 September 2026 552,450 0.025 % HKD 90.4984 13). Shares repurchased for cancellation but not yet cancelled Date of changes 23 September 2026 561,800 0.025 % HKD 88.9922 14). Shares repurchased for cancellation but not yet cancelled Date of changes 24 September 2026 576,400 0.026 % HKD 86.7309 15). Shares repurchased for cancellation but not yet cancelled Date of changes 25 September 2026 589,050 0.027 % HKD 84.8759 Remarks: The information contained herein under “Opening balance as at” is based on the closing balance of Class A ordinary shares as of September 24, 2026 as disclosed in the Next Day Disclosure Return submitted on September 24, 2026. Page 3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4 of 8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5 of 8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6 of 8 v 1.3.0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Trading date Number of shares repurchased Method of repurchase (Note 1) Repurchase price per share or highest repurchase price per share $ Lowest repurchase price per share $ Aggregate price paid $ 1). 25 September 2026 589,050 On the Exchange HKD 85.45 HKD 84.35 HKD 49,996,148.9 Total number of shares repurchased 589,050 Aggregate price paid $ HKD 49,996,148.9 Number of shares repurchased for cancellation 589,050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8,412,600 4). As a % of number of issued shares (excluding treasury shares) as at the date of the resolution granting the repurchase mandate (a) x 100 / number of issued shares (excluding treasury shares) as at the date of the resolution granting the repurchase mandate 0.308 % 5). Moratorium period for any issue of new shares, or sale or transfer of treasury shares after the share repurchase(s) set out in Part A (Note 2) Up to 25 October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Page 7 of 8 v 1.3.0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2162</Words>
  <Characters>10741</Characters>
  <CharactersWithSpaces>12929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