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2888d6k.htm"/>
      <w:bookmarkStart w:id="1" w:name="ksd15288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As an issuer listed on The Stock Exchange of Hong Kong Limited, we are required to prepare an interim report in respect of the first six months of each fiscal year pursuant to Rule 13.48(1) of the Rules Governing the Listing of Securities on The Stock Exchange of Hong Kong Limited. We are furnishing our interim report in respect of the first six months of the fiscal year ending December 31, 2026 as Exhibit 99.1 of this current report on Form 6-K.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1"/>
        <w:gridCol w:w="709"/>
        <w:gridCol w:w="8635"/>
      </w:tblGrid>
      <w:tr>
        <w:trPr/>
        <w:tc>
          <w:tcPr>
            <w:tcW w:w="861" w:type="dxa"/>
            <w:tcBorders/>
            <w:vAlign w:val="center"/>
          </w:tcPr>
          <w:p>
            <w:pPr>
              <w:pStyle w:val="TableContents"/>
              <w:bidi w:val="0"/>
              <w:spacing w:before="0" w:after="283"/>
              <w:jc w:val="left"/>
              <w:rPr>
                <w:sz w:val="4"/>
                <w:szCs w:val="4"/>
              </w:rPr>
            </w:pPr>
            <w:r>
              <w:rPr>
                <w:sz w:val="4"/>
                <w:szCs w:val="4"/>
              </w:rPr>
            </w:r>
          </w:p>
        </w:tc>
        <w:tc>
          <w:tcPr>
            <w:tcW w:w="709" w:type="dxa"/>
            <w:tcBorders/>
            <w:vAlign w:val="bottom"/>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09" w:type="dxa"/>
            <w:tcBorders/>
            <w:vAlign w:val="bottom"/>
          </w:tcPr>
          <w:p>
            <w:pPr>
              <w:pStyle w:val="TableContents"/>
              <w:bidi w:val="0"/>
              <w:spacing w:before="0" w:after="283"/>
              <w:jc w:val="left"/>
              <w:rPr/>
            </w:pPr>
            <w:r>
              <w:rPr/>
              <w:t>  </w:t>
            </w:r>
          </w:p>
        </w:tc>
        <w:tc>
          <w:tcPr>
            <w:tcW w:w="86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tcPr>
          <w:p>
            <w:pPr>
              <w:pStyle w:val="TableContents"/>
              <w:bidi w:val="0"/>
              <w:spacing w:before="0" w:after="283"/>
              <w:jc w:val="left"/>
              <w:rPr/>
            </w:pPr>
            <w:r>
              <w:rPr/>
              <w:t>99.1</w:t>
            </w:r>
          </w:p>
        </w:tc>
        <w:tc>
          <w:tcPr>
            <w:tcW w:w="709" w:type="dxa"/>
            <w:tcBorders/>
            <w:vAlign w:val="bottom"/>
          </w:tcPr>
          <w:p>
            <w:pPr>
              <w:pStyle w:val="TableContents"/>
              <w:bidi w:val="0"/>
              <w:spacing w:before="0" w:after="283"/>
              <w:jc w:val="left"/>
              <w:rPr/>
            </w:pPr>
            <w:r>
              <w:rPr/>
              <w:t>  </w:t>
            </w:r>
          </w:p>
        </w:tc>
        <w:tc>
          <w:tcPr>
            <w:tcW w:w="8635" w:type="dxa"/>
            <w:tcBorders/>
          </w:tcPr>
          <w:p>
            <w:pPr>
              <w:pStyle w:val="TableContents"/>
              <w:bidi w:val="0"/>
              <w:spacing w:before="0" w:after="283"/>
              <w:jc w:val="left"/>
              <w:rPr/>
            </w:pPr>
            <w:r>
              <w:rPr/>
              <w:t>Baidu, Inc. 2026 Interim Report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Haijian He</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17,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232</Words>
  <Characters>1168</Characters>
  <CharactersWithSpaces>1417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6-K</dc:title>
</cp:coreProperties>
</file>