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9437d6k.htm"/>
      <w:bookmarkStart w:id="1" w:name="ksd2943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10,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sz w:val="20"/>
              </w:rPr>
            </w:pPr>
            <w:r>
              <w:rPr>
                <w:sz w:val="20"/>
              </w:rPr>
              <w:t>BAIDU, INC.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147" w:type="dxa"/>
            <w:gridSpan w:val="2"/>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Haijian He</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11, 2026 </w:t>
      </w:r>
    </w:p>
    <w:p>
      <w:pPr>
        <w:pStyle w:val="TextBody"/>
        <w:bidi w:val="0"/>
        <w:spacing w:before="0" w:after="0"/>
        <w:jc w:val="center"/>
        <w:rPr/>
      </w:pPr>
      <w:bookmarkStart w:id="2" w:name="d29437dex991.htm"/>
      <w:bookmarkStart w:id="3" w:name="ksd29437dex991"/>
      <w:bookmarkEnd w:id="2"/>
      <w:bookmarkEnd w:id="3"/>
      <w:r>
        <w:rPr/>
        <w:drawing>
          <wp:inline distT="0" distB="0" distL="0" distR="0">
            <wp:extent cx="10106025"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06025" cy="714375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Next Day Disclosure Return (Equity issuer—changes in issued shares or treasury shares, share buybacks and/or on-market sales of treasury shares) Instrument: Equity issuer Status: New Submission Name of Issuer: Baidu, Inc. Date Submitted: 10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09 September 2026 2,209,541,178 0 2,209,541,178 1). Other (please specify) See Part B Date of changes 10 September 2026 % Closing balance as at (Notes 5 and 6) 10 September 2026 2,209,541,178 0 2,209,541,178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2 of 7 v 1.3.0 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Remarks: The information contained herein under “Opening balance as at” is based on the closing balance of Class A ordinary shares as of September 9, 2026 as disclosed in the Next Day Disclosure Return submitted on September 9,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3 of 7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4 of 7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5 of 7 v 1.3.0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Trading date Number of shares repurchased Method of repurchase (Note 1) Repurchase price per share or highest repurchase price per share $ Lowest repurchase price per share $ Aggregate price paid $ 1). 10 September 2026 557,200 On the Exchange HKD 90.25 HKD 89.1 HKD 49,995,550.08 Total number of shares repurchased 557,200 Aggregate price paid $ HKD 49,995,550.08 Number of shares repurchased for cancellation 557,200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2,197,550 4). As a % of number of issued shares (excluding treasury shares) as at the date of the resolution granting the repurchase mandate (a) x 100 / number of issued shares (excluding treasury shares) as at the date of the resolution granting the repurchase mandate 0.08 % 5). Moratorium period for any issue of new shares, or sale or transfer of treasury shares after the share repurchase(s) set out in Part A (Note 2) Up to 10 October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6 of 7 v 1.3.0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1925</Words>
  <Characters>9542</Characters>
  <CharactersWithSpaces>11491</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