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631d6k.htm"/>
      <w:bookmarkStart w:id="1" w:name="ksd11263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17,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Haijian He</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18, 2026 </w:t>
      </w:r>
    </w:p>
    <w:p>
      <w:pPr>
        <w:pStyle w:val="TextBody"/>
        <w:bidi w:val="0"/>
        <w:spacing w:before="0" w:after="0"/>
        <w:jc w:val="center"/>
        <w:rPr/>
      </w:pPr>
      <w:bookmarkStart w:id="2" w:name="d112631dex991.htm"/>
      <w:bookmarkStart w:id="3" w:name="ksd112631dex991"/>
      <w:bookmarkEnd w:id="2"/>
      <w:bookmarkEnd w:id="3"/>
      <w:r>
        <w:rPr/>
        <w:drawing>
          <wp:inline distT="0" distB="0" distL="0" distR="0">
            <wp:extent cx="10106025"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06025" cy="685800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Page 1 of 7 v 1.3.0 Next Day Disclosure Return (Equity issuer - changes in issued shares or treasury shares, share buybacks and/or on-market sales of treasury shares) Instrument: Equity issuer Status: New Submission Name of Issuer: Baidu, Inc. Date Submitted: 17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16 September 2026 2,209,541,178 0 2,209,541,178 1). Other (please specify) See Part B Date of changes 17 September 2026 % Closing balance as at (Notes 5 and 6) 17 September 2026 2,209,541,178 0 2,209,541,178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69824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69824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2 of 7 v 1.3.0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8). Shares repurchased for cancellation but not yet cancelled Date of changes 16 September 2026 565,850 0.026 % HKD 88.3549 9). Shares repurchased for cancellation but not yet cancelled Date of changes 17 September 2026 575,300 0.026 % HKD 86.909 Remarks: The information contained herein under “Opening balance as at” is based on the closing balance of Class A ordinary shares as of September 16, 2026 as disclosed in the Next Day Disclosure Return submitted on September 16,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0116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01167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3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0408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04088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4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69729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69729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5 of 7 v 1.3.0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17 September 2026 575,300 On the Exchange HKD 87.4 HKD 86 HKD 49,998,747.7 Total number of shares repurchased 575,300 Aggregate price paid $ HKD 49,998,747.7 Number of shares repurchased for cancellation 575,300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5,011,900 4). As a % of number of issued shares (excluding treasury shares) as at the date of the resolution granting the repurchase mandate (a) x 100 / number of issued shares (excluding treasury shares) as at the date of the resolution granting the repurchase mandate 0.183 % 5). Moratorium period for any issue of new shares, or sale or transfer of treasury shares after the share repurchase(s) set out in Part A (Note 2) Up to 17 October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69729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69729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6 of 7 v 1.3.0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697293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69729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2030</Words>
  <Characters>10076</Characters>
  <CharactersWithSpaces>12130</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