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7071d6k.htm"/>
      <w:bookmarkStart w:id="1" w:name="ksd41707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
        <w:gridCol w:w="665"/>
        <w:gridCol w:w="8683"/>
      </w:tblGrid>
      <w:tr>
        <w:trPr/>
        <w:tc>
          <w:tcPr>
            <w:tcW w:w="857" w:type="dxa"/>
            <w:tcBorders/>
            <w:vAlign w:val="center"/>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85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65" w:type="dxa"/>
            <w:tcBorders/>
            <w:vAlign w:val="bottom"/>
          </w:tcPr>
          <w:p>
            <w:pPr>
              <w:pStyle w:val="TableContents"/>
              <w:bidi w:val="0"/>
              <w:spacing w:before="0" w:after="283"/>
              <w:jc w:val="left"/>
              <w:rPr/>
            </w:pPr>
            <w:r>
              <w:rPr/>
              <w:t>  </w:t>
            </w:r>
          </w:p>
        </w:tc>
        <w:tc>
          <w:tcPr>
            <w:tcW w:w="86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57" w:type="dxa"/>
            <w:tcBorders/>
          </w:tcPr>
          <w:p>
            <w:pPr>
              <w:pStyle w:val="TableContents"/>
              <w:bidi w:val="0"/>
              <w:spacing w:before="0" w:after="283"/>
              <w:jc w:val="left"/>
              <w:rPr/>
            </w:pPr>
            <w:r>
              <w:rPr/>
              <w:t>99.1</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Press Release—Baidu Announces Dual-Primary Listing on the Main Board of The Stock Exchange of Hong Kong Limited</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99.2</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Voluntary Announcement—Baidu Announces Dual Primary Listing on the Main Board of The Stock Exchange of Hong Kong Limited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 2026 </w:t>
      </w:r>
    </w:p>
    <w:p>
      <w:pPr>
        <w:pStyle w:val="TextBody"/>
        <w:bidi w:val="0"/>
        <w:spacing w:before="0" w:after="0"/>
        <w:jc w:val="right"/>
        <w:rPr>
          <w:rFonts w:ascii="Times New Roman" w:hAnsi="Times New Roman"/>
          <w:b/>
          <w:sz w:val="20"/>
        </w:rPr>
      </w:pPr>
      <w:bookmarkStart w:id="2" w:name="d417071dex991.htm"/>
      <w:bookmarkStart w:id="3" w:name="ksd41707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Announces Dual-Primary Listing on the Main Board of The Stock Exchange of Hong Kong Limited </w:t>
      </w:r>
    </w:p>
    <w:p>
      <w:pPr>
        <w:pStyle w:val="TextBody"/>
        <w:bidi w:val="0"/>
        <w:spacing w:before="240" w:after="0"/>
        <w:jc w:val="left"/>
        <w:rPr>
          <w:rFonts w:ascii="Times New Roman" w:hAnsi="Times New Roman"/>
          <w:sz w:val="20"/>
        </w:rPr>
      </w:pPr>
      <w:r>
        <w:rPr>
          <w:rFonts w:ascii="Times New Roman" w:hAnsi="Times New Roman"/>
          <w:sz w:val="20"/>
        </w:rPr>
        <w:t xml:space="preserve">BEIJING, China, August 31, 2026 – Baidu, Inc. (“Baidu” or the “Company”) (Nasdaq: BIDU; HKEX: 9888 (HKD Counter) and 89888 (RMB Counter)), a leading AI company with strong Internet foundation, today announced that the Company’s voluntary conversion of its secondary listing status to dual-primary listing on the Main Board of The Stock Exchange of Hong Kong Limited (the “Hong Kong Stock Exchange”) became effective today. Baidu is now a dual-primary listed company on the Hong Kong Stock Exchange in Hong Kong SAR and the Nasdaq Global Select Market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ordinary shares listed on the Hong Kong Stock Exchange and the Company’s American depositary shares listed on the Nasdaq Global Select Market will continue to be fungible.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information provided in this press release and in the attachments is as of the date of the press release, and Baidu undertakes no duty to update such information,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Baidu, Inc.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Baidu, Inc., Tel: +86-10-5992-8888, 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417071dex992.htm"/>
      <w:bookmarkStart w:id="5" w:name="ksd417071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VOLUNTARY ANNOUNCEMENT </w:t>
      </w:r>
    </w:p>
    <w:p>
      <w:pPr>
        <w:pStyle w:val="TextBody"/>
        <w:bidi w:val="0"/>
        <w:spacing w:before="0" w:after="0"/>
        <w:jc w:val="center"/>
        <w:rPr>
          <w:rFonts w:ascii="Times New Roman" w:hAnsi="Times New Roman"/>
          <w:b/>
          <w:sz w:val="20"/>
        </w:rPr>
      </w:pPr>
      <w:r>
        <w:rPr>
          <w:rFonts w:ascii="Times New Roman" w:hAnsi="Times New Roman"/>
          <w:b/>
          <w:sz w:val="20"/>
        </w:rPr>
        <w:t xml:space="preserve">BAIDU ANNOUNCES DUAL PRIMARY LISTING ON </w:t>
      </w:r>
    </w:p>
    <w:p>
      <w:pPr>
        <w:pStyle w:val="TextBody"/>
        <w:bidi w:val="0"/>
        <w:spacing w:before="0" w:after="0"/>
        <w:jc w:val="center"/>
        <w:rPr>
          <w:rFonts w:ascii="Times New Roman" w:hAnsi="Times New Roman"/>
          <w:b/>
          <w:sz w:val="20"/>
        </w:rPr>
      </w:pPr>
      <w:r>
        <w:rPr>
          <w:rFonts w:ascii="Times New Roman" w:hAnsi="Times New Roman"/>
          <w:b/>
          <w:sz w:val="20"/>
        </w:rPr>
        <w:t xml:space="preserve">THE MAIN BOARD OF THE STOCK EXCHANGE OF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LIMITED </w:t>
      </w:r>
    </w:p>
    <w:p>
      <w:pPr>
        <w:pStyle w:val="TextBody"/>
        <w:bidi w:val="0"/>
        <w:spacing w:before="240" w:after="0"/>
        <w:jc w:val="left"/>
        <w:rPr>
          <w:rFonts w:ascii="Times New Roman" w:hAnsi="Times New Roman"/>
          <w:sz w:val="20"/>
        </w:rPr>
      </w:pPr>
      <w:r>
        <w:rPr>
          <w:rFonts w:ascii="Times New Roman" w:hAnsi="Times New Roman"/>
          <w:sz w:val="20"/>
        </w:rPr>
        <w:t>Reference is made to the announcement of Baidu, Inc. (the “</w:t>
      </w:r>
      <w:r>
        <w:rPr>
          <w:rFonts w:ascii="Times New Roman" w:hAnsi="Times New Roman"/>
          <w:b/>
          <w:sz w:val="20"/>
        </w:rPr>
        <w:t>Company</w:t>
      </w:r>
      <w:r>
        <w:rPr>
          <w:rFonts w:ascii="Times New Roman" w:hAnsi="Times New Roman"/>
          <w:sz w:val="20"/>
        </w:rPr>
        <w:t>”) dated August 27, 2026. Our previously announced voluntary conversion of our secondary listing status to a dual primary listing status on The Stock Exchange of Hong Kong Limited (“</w:t>
      </w:r>
      <w:r>
        <w:rPr>
          <w:rFonts w:ascii="Times New Roman" w:hAnsi="Times New Roman"/>
          <w:b/>
          <w:sz w:val="20"/>
        </w:rPr>
        <w:t>Hong Kong Stock Exchange</w:t>
      </w:r>
      <w:r>
        <w:rPr>
          <w:rFonts w:ascii="Times New Roman" w:hAnsi="Times New Roman"/>
          <w:sz w:val="20"/>
        </w:rPr>
        <w:t xml:space="preserve">”) became effective today. The Company is now a dual primary listed company on the Hong Kong Stock Exchange and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 xml:space="preserve">The Company’s ordinary shares listed on the Hong Kong Stock Exchange and the Company’s American depositary shares listed on the Nasdaq Global Select Market will continue to be fungible. </w:t>
      </w:r>
    </w:p>
    <w:p>
      <w:pPr>
        <w:pStyle w:val="TextBody"/>
        <w:bidi w:val="0"/>
        <w:spacing w:before="240" w:after="0"/>
        <w:jc w:val="left"/>
        <w:rPr>
          <w:rFonts w:ascii="Times New Roman" w:hAnsi="Times New Roman"/>
          <w:b/>
          <w:sz w:val="20"/>
        </w:rPr>
      </w:pPr>
      <w:r>
        <w:rPr>
          <w:rFonts w:ascii="Times New Roman" w:hAnsi="Times New Roman"/>
          <w:b/>
          <w:sz w:val="20"/>
        </w:rPr>
        <w:t xml:space="preserve">This announcement is for information purposes only and does not constitute, or form part of, any invitation or offer to acquire, purchase or subscribe for any of the Company’s securities. Shareholders and potential investors should exercise caution when dealing in the Company’s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9"/>
        <w:gridCol w:w="111"/>
        <w:gridCol w:w="3400"/>
        <w:gridCol w:w="123"/>
        <w:gridCol w:w="3272"/>
      </w:tblGrid>
      <w:tr>
        <w:trPr/>
        <w:tc>
          <w:tcPr>
            <w:tcW w:w="329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329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7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Baidu, Inc.</w:t>
            </w:r>
          </w:p>
          <w:p>
            <w:pPr>
              <w:pStyle w:val="TableContents"/>
              <w:bidi w:val="0"/>
              <w:spacing w:before="0" w:after="0"/>
              <w:jc w:val="center"/>
              <w:rPr>
                <w:rFonts w:ascii="Times New Roman" w:hAnsi="Times New Roman"/>
                <w:b/>
                <w:sz w:val="20"/>
              </w:rPr>
            </w:pPr>
            <w:r>
              <w:rPr>
                <w:rFonts w:ascii="Times New Roman" w:hAnsi="Times New Roman"/>
                <w:b/>
                <w:sz w:val="20"/>
              </w:rPr>
              <w:t>Mr. Robin Yanhong Li</w:t>
            </w:r>
          </w:p>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September 1,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1177</Words>
  <Characters>6453</Characters>
  <CharactersWithSpaces>7638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