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47999d6k.htm"/>
      <w:bookmarkStart w:id="1" w:name="ksd947999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September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000-51469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BAIDU, INC.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Baidu Campus </w:t>
      </w:r>
    </w:p>
    <w:p>
      <w:pPr>
        <w:pStyle w:val="TextBody"/>
        <w:bidi w:val="0"/>
        <w:spacing w:before="0" w:after="0"/>
        <w:jc w:val="center"/>
        <w:rPr>
          <w:rFonts w:ascii="Times New Roman" w:hAnsi="Times New Roman"/>
          <w:b/>
          <w:sz w:val="20"/>
        </w:rPr>
      </w:pPr>
      <w:r>
        <w:rPr>
          <w:rFonts w:ascii="Times New Roman" w:hAnsi="Times New Roman"/>
          <w:b/>
          <w:sz w:val="20"/>
        </w:rPr>
        <w:t xml:space="preserve">No. 10 Shangdi 10th Street </w:t>
      </w:r>
    </w:p>
    <w:p>
      <w:pPr>
        <w:pStyle w:val="TextBody"/>
        <w:bidi w:val="0"/>
        <w:spacing w:before="0" w:after="0"/>
        <w:jc w:val="center"/>
        <w:rPr>
          <w:rFonts w:ascii="Times New Roman" w:hAnsi="Times New Roman"/>
          <w:b/>
          <w:sz w:val="20"/>
        </w:rPr>
      </w:pPr>
      <w:r>
        <w:rPr>
          <w:rFonts w:ascii="Times New Roman" w:hAnsi="Times New Roman"/>
          <w:b/>
          <w:sz w:val="20"/>
        </w:rPr>
        <w:t xml:space="preserve">Haidian District, Beijing 100085 </w:t>
      </w:r>
    </w:p>
    <w:p>
      <w:pPr>
        <w:pStyle w:val="TextBody"/>
        <w:bidi w:val="0"/>
        <w:spacing w:before="0" w:after="0"/>
        <w:jc w:val="center"/>
        <w:rPr>
          <w:rFonts w:ascii="Times New Roman" w:hAnsi="Times New Roman"/>
          <w:b/>
          <w:sz w:val="20"/>
        </w:rPr>
      </w:pPr>
      <w:r>
        <w:rPr>
          <w:rFonts w:ascii="Times New Roman" w:hAnsi="Times New Roman"/>
          <w:b/>
          <w:sz w:val="20"/>
        </w:rPr>
        <w:t xml:space="preserve">The 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857"/>
        <w:gridCol w:w="665"/>
        <w:gridCol w:w="8683"/>
      </w:tblGrid>
      <w:tr>
        <w:trPr/>
        <w:tc>
          <w:tcPr>
            <w:tcW w:w="857" w:type="dxa"/>
            <w:tcBorders/>
            <w:vAlign w:val="center"/>
          </w:tcPr>
          <w:p>
            <w:pPr>
              <w:pStyle w:val="TableContents"/>
              <w:bidi w:val="0"/>
              <w:spacing w:before="0" w:after="283"/>
              <w:jc w:val="left"/>
              <w:rPr>
                <w:sz w:val="4"/>
                <w:szCs w:val="4"/>
              </w:rPr>
            </w:pPr>
            <w:r>
              <w:rPr>
                <w:sz w:val="4"/>
                <w:szCs w:val="4"/>
              </w:rPr>
            </w:r>
          </w:p>
        </w:tc>
        <w:tc>
          <w:tcPr>
            <w:tcW w:w="665" w:type="dxa"/>
            <w:tcBorders/>
            <w:vAlign w:val="bottom"/>
          </w:tcPr>
          <w:p>
            <w:pPr>
              <w:pStyle w:val="TableContents"/>
              <w:bidi w:val="0"/>
              <w:spacing w:before="0" w:after="283"/>
              <w:jc w:val="left"/>
              <w:rPr>
                <w:sz w:val="4"/>
                <w:szCs w:val="4"/>
              </w:rPr>
            </w:pPr>
            <w:r>
              <w:rPr>
                <w:sz w:val="4"/>
                <w:szCs w:val="4"/>
              </w:rPr>
            </w:r>
          </w:p>
        </w:tc>
        <w:tc>
          <w:tcPr>
            <w:tcW w:w="8683" w:type="dxa"/>
            <w:tcBorders/>
            <w:vAlign w:val="center"/>
          </w:tcPr>
          <w:p>
            <w:pPr>
              <w:pStyle w:val="TableContents"/>
              <w:bidi w:val="0"/>
              <w:spacing w:before="0" w:after="283"/>
              <w:jc w:val="left"/>
              <w:rPr>
                <w:sz w:val="4"/>
                <w:szCs w:val="4"/>
              </w:rPr>
            </w:pPr>
            <w:r>
              <w:rPr>
                <w:sz w:val="4"/>
                <w:szCs w:val="4"/>
              </w:rPr>
            </w:r>
          </w:p>
        </w:tc>
      </w:tr>
      <w:tr>
        <w:trPr/>
        <w:tc>
          <w:tcPr>
            <w:tcW w:w="857" w:type="dxa"/>
            <w:tcBorders/>
            <w:vAlign w:val="bottom"/>
          </w:tcPr>
          <w:p>
            <w:pPr>
              <w:pStyle w:val="TableContents"/>
              <w:pBdr>
                <w:bottom w:val="single" w:sz="8" w:space="1" w:color="000000"/>
              </w:pBdr>
              <w:bidi w:val="0"/>
              <w:spacing w:before="0" w:after="0"/>
              <w:jc w:val="center"/>
              <w:rPr>
                <w:rFonts w:ascii="Times New Roman" w:hAnsi="Times New Roman"/>
                <w:b/>
                <w:sz w:val="16"/>
              </w:rPr>
            </w:pPr>
            <w:r>
              <w:rPr>
                <w:rFonts w:ascii="Times New Roman" w:hAnsi="Times New Roman"/>
                <w:b/>
                <w:sz w:val="16"/>
              </w:rPr>
              <w:t>Exhibit No.</w:t>
            </w:r>
          </w:p>
        </w:tc>
        <w:tc>
          <w:tcPr>
            <w:tcW w:w="665" w:type="dxa"/>
            <w:tcBorders/>
            <w:vAlign w:val="bottom"/>
          </w:tcPr>
          <w:p>
            <w:pPr>
              <w:pStyle w:val="TableContents"/>
              <w:bidi w:val="0"/>
              <w:spacing w:before="0" w:after="283"/>
              <w:jc w:val="left"/>
              <w:rPr/>
            </w:pPr>
            <w:r>
              <w:rPr/>
              <w:t>  </w:t>
            </w:r>
          </w:p>
        </w:tc>
        <w:tc>
          <w:tcPr>
            <w:tcW w:w="8683"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99.1</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Press Release—Baidu Announces Upcoming Inclusion of Its Class A Ordinary Shares in the Shanghai-Hong Kong Stock Connect Program</w:t>
            </w:r>
          </w:p>
        </w:tc>
      </w:tr>
      <w:tr>
        <w:trPr>
          <w:trHeight w:val="120" w:hRule="atLeast"/>
        </w:trPr>
        <w:tc>
          <w:tcPr>
            <w:tcW w:w="857" w:type="dxa"/>
            <w:tcBorders/>
            <w:vAlign w:val="center"/>
          </w:tcPr>
          <w:p>
            <w:pPr>
              <w:pStyle w:val="TableContents"/>
              <w:bidi w:val="0"/>
              <w:spacing w:before="0" w:after="283"/>
              <w:jc w:val="left"/>
              <w:rPr>
                <w:sz w:val="4"/>
                <w:szCs w:val="4"/>
              </w:rPr>
            </w:pPr>
            <w:r>
              <w:rPr>
                <w:sz w:val="4"/>
                <w:szCs w:val="4"/>
              </w:rPr>
            </w:r>
          </w:p>
        </w:tc>
        <w:tc>
          <w:tcPr>
            <w:tcW w:w="9348" w:type="dxa"/>
            <w:gridSpan w:val="2"/>
            <w:tcBorders/>
            <w:vAlign w:val="center"/>
          </w:tcPr>
          <w:p>
            <w:pPr>
              <w:pStyle w:val="TableContents"/>
              <w:bidi w:val="0"/>
              <w:spacing w:before="0" w:after="283"/>
              <w:jc w:val="left"/>
              <w:rPr>
                <w:sz w:val="4"/>
                <w:szCs w:val="4"/>
              </w:rPr>
            </w:pPr>
            <w:r>
              <w:rPr>
                <w:sz w:val="4"/>
                <w:szCs w:val="4"/>
              </w:rPr>
            </w:r>
          </w:p>
        </w:tc>
      </w:tr>
      <w:tr>
        <w:trPr/>
        <w:tc>
          <w:tcPr>
            <w:tcW w:w="857" w:type="dxa"/>
            <w:tcBorders/>
          </w:tcPr>
          <w:p>
            <w:pPr>
              <w:pStyle w:val="TableContents"/>
              <w:bidi w:val="0"/>
              <w:spacing w:before="0" w:after="283"/>
              <w:jc w:val="left"/>
              <w:rPr/>
            </w:pPr>
            <w:r>
              <w:rPr/>
              <w:t>99.2</w:t>
            </w:r>
          </w:p>
        </w:tc>
        <w:tc>
          <w:tcPr>
            <w:tcW w:w="665" w:type="dxa"/>
            <w:tcBorders/>
            <w:vAlign w:val="bottom"/>
          </w:tcPr>
          <w:p>
            <w:pPr>
              <w:pStyle w:val="TableContents"/>
              <w:bidi w:val="0"/>
              <w:spacing w:before="0" w:after="283"/>
              <w:jc w:val="left"/>
              <w:rPr/>
            </w:pPr>
            <w:r>
              <w:rPr/>
              <w:t>  </w:t>
            </w:r>
          </w:p>
        </w:tc>
        <w:tc>
          <w:tcPr>
            <w:tcW w:w="8683" w:type="dxa"/>
            <w:tcBorders/>
          </w:tcPr>
          <w:p>
            <w:pPr>
              <w:pStyle w:val="TableContents"/>
              <w:bidi w:val="0"/>
              <w:spacing w:before="0" w:after="283"/>
              <w:jc w:val="left"/>
              <w:rPr/>
            </w:pPr>
            <w:r>
              <w:rPr/>
              <w:t>Voluntary Announcement—Baidu Announces Upcoming Inclusion of Its Class A Ordinary Shares in the Shanghai-Hong Kong Stock Connect</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sz w:val="20"/>
        </w:rPr>
      </w:pPr>
      <w:r>
        <w:rPr>
          <w:rFonts w:ascii="Times New Roman" w:hAnsi="Times New Roman"/>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99"/>
        <w:gridCol w:w="67"/>
        <w:gridCol w:w="80"/>
        <w:gridCol w:w="67"/>
        <w:gridCol w:w="3169"/>
      </w:tblGrid>
      <w:tr>
        <w:trPr/>
        <w:tc>
          <w:tcPr>
            <w:tcW w:w="699"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7" w:type="dxa"/>
            <w:tcBorders/>
            <w:vAlign w:val="bottom"/>
          </w:tcPr>
          <w:p>
            <w:pPr>
              <w:pStyle w:val="TableContents"/>
              <w:bidi w:val="0"/>
              <w:spacing w:before="0" w:after="283"/>
              <w:jc w:val="left"/>
              <w:rPr>
                <w:sz w:val="4"/>
                <w:szCs w:val="4"/>
              </w:rPr>
            </w:pPr>
            <w:r>
              <w:rPr>
                <w:sz w:val="4"/>
                <w:szCs w:val="4"/>
              </w:rPr>
            </w:r>
          </w:p>
        </w:tc>
        <w:tc>
          <w:tcPr>
            <w:tcW w:w="3169" w:type="dxa"/>
            <w:tcBorders/>
            <w:vAlign w:val="center"/>
          </w:tcPr>
          <w:p>
            <w:pPr>
              <w:pStyle w:val="TableContents"/>
              <w:bidi w:val="0"/>
              <w:spacing w:before="0" w:after="283"/>
              <w:jc w:val="left"/>
              <w:rPr>
                <w:sz w:val="4"/>
                <w:szCs w:val="4"/>
              </w:rPr>
            </w:pPr>
            <w:r>
              <w:rPr>
                <w:sz w:val="4"/>
                <w:szCs w:val="4"/>
              </w:rPr>
            </w:r>
          </w:p>
        </w:tc>
      </w:tr>
      <w:tr>
        <w:trPr/>
        <w:tc>
          <w:tcPr>
            <w:tcW w:w="4082" w:type="dxa"/>
            <w:gridSpan w:val="5"/>
            <w:tcBorders/>
          </w:tcPr>
          <w:p>
            <w:pPr>
              <w:pStyle w:val="TableContents"/>
              <w:bidi w:val="0"/>
              <w:spacing w:before="0" w:after="283"/>
              <w:jc w:val="left"/>
              <w:rPr/>
            </w:pPr>
            <w:r>
              <w:rPr/>
              <w:t>BAIDU, INC.</w:t>
            </w:r>
          </w:p>
        </w:tc>
      </w:tr>
      <w:tr>
        <w:trPr>
          <w:trHeight w:val="240" w:hRule="atLeast"/>
        </w:trPr>
        <w:tc>
          <w:tcPr>
            <w:tcW w:w="699" w:type="dxa"/>
            <w:tcBorders/>
            <w:vAlign w:val="center"/>
          </w:tcPr>
          <w:p>
            <w:pPr>
              <w:pStyle w:val="TableContents"/>
              <w:bidi w:val="0"/>
              <w:spacing w:before="0" w:after="283"/>
              <w:jc w:val="left"/>
              <w:rPr>
                <w:sz w:val="4"/>
                <w:szCs w:val="4"/>
              </w:rPr>
            </w:pPr>
            <w:r>
              <w:rPr>
                <w:sz w:val="4"/>
                <w:szCs w:val="4"/>
              </w:rPr>
            </w:r>
          </w:p>
        </w:tc>
        <w:tc>
          <w:tcPr>
            <w:tcW w:w="147" w:type="dxa"/>
            <w:gridSpan w:val="2"/>
            <w:tcBorders/>
            <w:vAlign w:val="center"/>
          </w:tcPr>
          <w:p>
            <w:pPr>
              <w:pStyle w:val="TableContents"/>
              <w:bidi w:val="0"/>
              <w:spacing w:before="0" w:after="283"/>
              <w:jc w:val="left"/>
              <w:rPr>
                <w:sz w:val="4"/>
                <w:szCs w:val="4"/>
              </w:rPr>
            </w:pPr>
            <w:r>
              <w:rPr>
                <w:sz w:val="4"/>
                <w:szCs w:val="4"/>
              </w:rPr>
            </w:r>
          </w:p>
        </w:tc>
        <w:tc>
          <w:tcPr>
            <w:tcW w:w="3236" w:type="dxa"/>
            <w:gridSpan w:val="2"/>
            <w:tcBorders/>
            <w:vAlign w:val="center"/>
          </w:tcPr>
          <w:p>
            <w:pPr>
              <w:pStyle w:val="TableContents"/>
              <w:bidi w:val="0"/>
              <w:spacing w:before="0" w:after="283"/>
              <w:jc w:val="left"/>
              <w:rPr>
                <w:sz w:val="4"/>
                <w:szCs w:val="4"/>
              </w:rPr>
            </w:pPr>
            <w:r>
              <w:rPr>
                <w:sz w:val="4"/>
                <w:szCs w:val="4"/>
              </w:rPr>
            </w:r>
          </w:p>
        </w:tc>
      </w:tr>
      <w:tr>
        <w:trPr/>
        <w:tc>
          <w:tcPr>
            <w:tcW w:w="699" w:type="dxa"/>
            <w:tcBorders/>
          </w:tcPr>
          <w:p>
            <w:pPr>
              <w:pStyle w:val="TableContents"/>
              <w:bidi w:val="0"/>
              <w:spacing w:before="0" w:after="283"/>
              <w:jc w:val="left"/>
              <w:rPr/>
            </w:pPr>
            <w:r>
              <w:rPr/>
              <w:t>By</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Haijian He</w:t>
            </w:r>
          </w:p>
        </w:tc>
      </w:tr>
      <w:tr>
        <w:trPr/>
        <w:tc>
          <w:tcPr>
            <w:tcW w:w="699" w:type="dxa"/>
            <w:tcBorders/>
          </w:tcPr>
          <w:p>
            <w:pPr>
              <w:pStyle w:val="TableContents"/>
              <w:bidi w:val="0"/>
              <w:spacing w:before="0" w:after="283"/>
              <w:jc w:val="left"/>
              <w:rPr/>
            </w:pPr>
            <w:r>
              <w:rPr/>
              <w:t>Name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Haijian He</w:t>
            </w:r>
          </w:p>
        </w:tc>
      </w:tr>
      <w:tr>
        <w:trPr/>
        <w:tc>
          <w:tcPr>
            <w:tcW w:w="699" w:type="dxa"/>
            <w:tcBorders/>
          </w:tcPr>
          <w:p>
            <w:pPr>
              <w:pStyle w:val="TableContents"/>
              <w:bidi w:val="0"/>
              <w:spacing w:before="0" w:after="283"/>
              <w:jc w:val="left"/>
              <w:rPr/>
            </w:pPr>
            <w:r>
              <w:rPr/>
              <w:t>Title</w:t>
            </w:r>
          </w:p>
        </w:tc>
        <w:tc>
          <w:tcPr>
            <w:tcW w:w="67" w:type="dxa"/>
            <w:tcBorders/>
            <w:vAlign w:val="bottom"/>
          </w:tcPr>
          <w:p>
            <w:pPr>
              <w:pStyle w:val="TableContents"/>
              <w:bidi w:val="0"/>
              <w:spacing w:before="0" w:after="283"/>
              <w:jc w:val="left"/>
              <w:rPr/>
            </w:pPr>
            <w:r>
              <w:rPr/>
              <w:t> </w:t>
            </w:r>
          </w:p>
        </w:tc>
        <w:tc>
          <w:tcPr>
            <w:tcW w:w="80" w:type="dxa"/>
            <w:tcBorders/>
          </w:tcPr>
          <w:p>
            <w:pPr>
              <w:pStyle w:val="TableContents"/>
              <w:bidi w:val="0"/>
              <w:spacing w:before="0" w:after="283"/>
              <w:jc w:val="left"/>
              <w:rPr/>
            </w:pPr>
            <w:r>
              <w:rPr/>
              <w:t>:</w:t>
            </w:r>
          </w:p>
        </w:tc>
        <w:tc>
          <w:tcPr>
            <w:tcW w:w="67" w:type="dxa"/>
            <w:tcBorders/>
            <w:vAlign w:val="bottom"/>
          </w:tcPr>
          <w:p>
            <w:pPr>
              <w:pStyle w:val="TableContents"/>
              <w:bidi w:val="0"/>
              <w:spacing w:before="0" w:after="283"/>
              <w:jc w:val="left"/>
              <w:rPr/>
            </w:pPr>
            <w:r>
              <w:rPr/>
              <w:t> </w:t>
            </w:r>
          </w:p>
        </w:tc>
        <w:tc>
          <w:tcPr>
            <w:tcW w:w="3169"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September 4, 2026 </w:t>
      </w:r>
    </w:p>
    <w:p>
      <w:pPr>
        <w:pStyle w:val="TextBody"/>
        <w:bidi w:val="0"/>
        <w:spacing w:before="0" w:after="0"/>
        <w:jc w:val="right"/>
        <w:rPr>
          <w:rFonts w:ascii="Times New Roman" w:hAnsi="Times New Roman"/>
          <w:b/>
          <w:sz w:val="20"/>
        </w:rPr>
      </w:pPr>
      <w:bookmarkStart w:id="2" w:name="d947999dex991.htm"/>
      <w:bookmarkStart w:id="3" w:name="ksd947999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Baidu Announces Upcoming Inclusion of Its Class A Ordinary Shares in the Shanghai-Hong Kong Stock Connect Program </w:t>
      </w:r>
    </w:p>
    <w:p>
      <w:pPr>
        <w:pStyle w:val="TextBody"/>
        <w:bidi w:val="0"/>
        <w:spacing w:before="240" w:after="0"/>
        <w:jc w:val="left"/>
        <w:rPr>
          <w:rFonts w:ascii="Times New Roman" w:hAnsi="Times New Roman"/>
          <w:sz w:val="20"/>
        </w:rPr>
      </w:pPr>
      <w:r>
        <w:rPr>
          <w:rFonts w:ascii="Times New Roman" w:hAnsi="Times New Roman"/>
          <w:sz w:val="20"/>
        </w:rPr>
        <w:t xml:space="preserve">BEIJING, China, September 4, 2026 – Baidu, Inc. (“Baidu” or the “Company”) (Nasdaq: BIDU; HKEX: 9888 (HKD Counter) and 89888 (RMB Counter)), a leading AI company with strong Internet foundation, today announced that the Company’s Class A ordinary shares traded on The Stock Exchange of Hong Kong Limited (the “Hong Kong Stock Exchange”) will be included in the Shanghai-Hong Kong Stock Connect program, effective September 7, 2026. </w:t>
      </w:r>
    </w:p>
    <w:p>
      <w:pPr>
        <w:pStyle w:val="TextBody"/>
        <w:bidi w:val="0"/>
        <w:spacing w:before="240" w:after="0"/>
        <w:jc w:val="left"/>
        <w:rPr>
          <w:rFonts w:ascii="Times New Roman" w:hAnsi="Times New Roman"/>
          <w:sz w:val="20"/>
        </w:rPr>
      </w:pPr>
      <w:r>
        <w:rPr>
          <w:rFonts w:ascii="Times New Roman" w:hAnsi="Times New Roman"/>
          <w:sz w:val="20"/>
        </w:rPr>
        <w:t xml:space="preserve">The inclusion is pursuant to the Notice of the Adjustment of the Eligible Stocks in Hong Kong Stock Connect under the Shanghai-Hong Kong Stock Connect issued by the Shanghai Stock Exchange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Following the inclusion, eligible investors in the Chinese Mainland will have direct access to the trading of Baidu’s Class A ordinary shares through the Shanghai-Hong Kong Stock Connect. The inclusion marks an important step toward expanding the Company’s reach among Chinese Mainland investors and is expected to further diversify its investor base and enhance the liquidity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Baidu appreciates the continued support of its shareholders and investors and remains committed to driving sustainable growth and creating long-term value for shareholders. </w:t>
      </w:r>
    </w:p>
    <w:p>
      <w:pPr>
        <w:pStyle w:val="TextBody"/>
        <w:bidi w:val="0"/>
        <w:spacing w:before="360" w:after="0"/>
        <w:jc w:val="left"/>
        <w:rPr>
          <w:rFonts w:ascii="Times New Roman" w:hAnsi="Times New Roman"/>
          <w:b/>
          <w:sz w:val="20"/>
        </w:rPr>
      </w:pPr>
      <w:r>
        <w:rPr>
          <w:rFonts w:ascii="Times New Roman" w:hAnsi="Times New Roman"/>
          <w:b/>
          <w:sz w:val="20"/>
        </w:rPr>
        <w:t xml:space="preserve">About the Shanghai-Hong Kong Stock Connect </w:t>
      </w:r>
    </w:p>
    <w:p>
      <w:pPr>
        <w:pStyle w:val="TextBody"/>
        <w:bidi w:val="0"/>
        <w:spacing w:before="120" w:after="0"/>
        <w:jc w:val="left"/>
        <w:rPr>
          <w:rFonts w:ascii="Times New Roman" w:hAnsi="Times New Roman"/>
          <w:sz w:val="20"/>
        </w:rPr>
      </w:pPr>
      <w:r>
        <w:rPr>
          <w:rFonts w:ascii="Times New Roman" w:hAnsi="Times New Roman"/>
          <w:sz w:val="20"/>
        </w:rPr>
        <w:t xml:space="preserve">The Shanghai-Hong Kong Stock Connect established a two-way trading link between the Shanghai Stock Exchange and the Hong Kong Stock Exchange. The stock connect allows qualified Chinese Mainland investors to access eligible Hong Kong shares (Southbound) as well as Hong Kong and overseas investors to trade eligible A-shares (Northbound), subject to a certain amount of daily quota. </w:t>
      </w:r>
    </w:p>
    <w:p>
      <w:pPr>
        <w:pStyle w:val="TextBody"/>
        <w:bidi w:val="0"/>
        <w:spacing w:before="360" w:after="0"/>
        <w:jc w:val="left"/>
        <w:rPr>
          <w:rFonts w:ascii="Times New Roman" w:hAnsi="Times New Roman"/>
          <w:b/>
          <w:sz w:val="20"/>
        </w:rPr>
      </w:pPr>
      <w:r>
        <w:rPr>
          <w:rFonts w:ascii="Times New Roman" w:hAnsi="Times New Roman"/>
          <w:b/>
          <w:sz w:val="20"/>
        </w:rPr>
        <w:t xml:space="preserve">About Baidu </w:t>
      </w:r>
    </w:p>
    <w:p>
      <w:pPr>
        <w:pStyle w:val="TextBody"/>
        <w:bidi w:val="0"/>
        <w:spacing w:before="120" w:after="0"/>
        <w:jc w:val="left"/>
        <w:rPr>
          <w:rFonts w:ascii="Times New Roman" w:hAnsi="Times New Roman"/>
          <w:sz w:val="20"/>
        </w:rPr>
      </w:pPr>
      <w:r>
        <w:rPr>
          <w:rFonts w:ascii="Times New Roman" w:hAnsi="Times New Roman"/>
          <w:sz w:val="20"/>
        </w:rPr>
        <w:t xml:space="preserve">Founded in 2000, Baidu’s mission is to make the complicated world simpler through technology. Baidu is a leading AI company with strong Internet foundation, trading on Nasdaq under “BIDU” and HKEX under “9888”. One Baidu ADS represents eight Class A ordinary shares.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“confident” and similar statements. Among other things, Baidu’s and other parties’ strategic and operational plans, contain forward-looking statements. Baidu may also make written or oral forward-looking statements in its periodic reports to the U.S. Securities and Exchange Commission, in announcements made on the website of the Hong Kong Stock Exchange, in its annual report to shareholders, in press releases and other written materials and in oral statements made by its officers, directors or employees to third parties. Statements that are not historical facts, including but not limited to statements about Baidu’s beliefs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Baidu’s growth strategies; its future business development, including development of new products and services; its ability to attract and retain users and customers; competition in the Chinese Internet search and newsfeed market; competition for online marketing customers; changes in the Company’s revenues and certain cost or expense items as a percentage of its revenues; the outcome of ongoing, or any future, litigation or arbitration, including those relating to intellectual property rights; the expected growth of the Chinese-language Internet search and newsfeed market and the number of Internet and broadband users in China; Chinese governmental policies relating to the Internet and Internet search providers, and general economic conditions in China and elsewhere. Further information regarding these and other risks is included in the Company’s annual report on Form 20-F and other documents filed with the Securities and Exchange Commission, and announcements on the website of the Hong Kong Stock Exchange. Baidu does not undertake any obligation to update any forward-looking statement, except as required under applicable law. All information provided in this press release and in the attachments is as of the date of the press release, and Baidu undertakes no duty to update such information, except as required under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SOURCE Baidu, Inc. </w:t>
      </w:r>
    </w:p>
    <w:p>
      <w:pPr>
        <w:pStyle w:val="TextBody"/>
        <w:bidi w:val="0"/>
        <w:spacing w:before="240" w:after="0"/>
        <w:jc w:val="left"/>
        <w:rPr>
          <w:rFonts w:ascii="Times New Roman" w:hAnsi="Times New Roman"/>
          <w:sz w:val="20"/>
        </w:rPr>
      </w:pPr>
      <w:r>
        <w:rPr>
          <w:rFonts w:ascii="Times New Roman" w:hAnsi="Times New Roman"/>
          <w:sz w:val="20"/>
        </w:rPr>
        <w:t xml:space="preserve">Investor Relations, Baidu, Inc., Tel: +86-10-5992-8888, Email: ir@baidu.com </w:t>
      </w:r>
    </w:p>
    <w:p>
      <w:pPr>
        <w:pStyle w:val="TextBody"/>
        <w:bidi w:val="0"/>
        <w:spacing w:before="0" w:after="0"/>
        <w:jc w:val="right"/>
        <w:rPr>
          <w:rFonts w:ascii="Times New Roman" w:hAnsi="Times New Roman"/>
          <w:b/>
          <w:sz w:val="20"/>
        </w:rPr>
      </w:pPr>
      <w:bookmarkStart w:id="4" w:name="d947999dex992.htm"/>
      <w:bookmarkStart w:id="5" w:name="ksd947999dex992"/>
      <w:bookmarkEnd w:id="4"/>
      <w:bookmarkEnd w:id="5"/>
      <w:r>
        <w:rPr>
          <w:rFonts w:ascii="Times New Roman" w:hAnsi="Times New Roman"/>
          <w:b/>
          <w:sz w:val="20"/>
        </w:rPr>
        <w:t xml:space="preserve">Exhibit 99.2 </w:t>
      </w:r>
      <w:r>
        <w:br w:type="page"/>
      </w:r>
    </w:p>
    <w:p>
      <w:pPr>
        <w:pStyle w:val="TextBody"/>
        <w:bidi w:val="0"/>
        <w:spacing w:before="240" w:after="0"/>
        <w:jc w:val="left"/>
        <w:rPr>
          <w:rFonts w:ascii="Times New Roman" w:hAnsi="Times New Roman"/>
          <w:i/>
          <w:sz w:val="20"/>
        </w:rPr>
      </w:pPr>
      <w:r>
        <w:rPr>
          <w:rFonts w:ascii="Times New Roman" w:hAnsi="Times New Roman"/>
          <w:i/>
          <w:sz w:val="20"/>
        </w:rPr>
        <w:t xml:space="preserve">Hong Kong Exchanges and Clearing Limited and The Stock Exchange of Hong Kong Limited take no responsibility for the contents of this announcement, make no representation as to its accuracy or completeness and expressly disclaim any liability whatsoever for any loss howsoever arising from or in reliance upon the whole or any part of the contents of this announcement. </w:t>
      </w:r>
    </w:p>
    <w:p>
      <w:pPr>
        <w:pStyle w:val="TextBody"/>
        <w:bidi w:val="0"/>
        <w:spacing w:before="240" w:after="0"/>
        <w:jc w:val="left"/>
        <w:rPr>
          <w:rFonts w:ascii="Times New Roman" w:hAnsi="Times New Roman"/>
          <w:i/>
          <w:sz w:val="20"/>
        </w:rPr>
      </w:pPr>
      <w:r>
        <w:rPr>
          <w:rFonts w:ascii="Times New Roman" w:hAnsi="Times New Roman"/>
          <w:i/>
          <w:sz w:val="20"/>
        </w:rPr>
        <w:t xml:space="preserve">Under our weighted voting rights structure, our share capital comprises Class A ordinary shares and Class B ordinary shares. Each Class A ordinary share entitles the holder to exercise one vote, and each Class B ordinary share entitles the holder to exercise 10 votes, respectively, on all matters subject to the vote at general meetings of the Company. Shareholders and prospective investors should be aware of the potential risks of investing in a company with a weighted voting rights structure. Our American depositary shares, each representing eight of our Class A ordinary shares, are listed on Nasdaq in the United States under the symbol BIDU. </w:t>
      </w:r>
    </w:p>
    <w:p>
      <w:pPr>
        <w:pStyle w:val="TextBody"/>
        <w:bidi w:val="0"/>
        <w:spacing w:before="0" w:after="0"/>
        <w:jc w:val="left"/>
        <w:rPr/>
      </w:pPr>
      <w:r>
        <w:rPr/>
        <w:t> </w:t>
      </w:r>
    </w:p>
    <w:p>
      <w:pPr>
        <w:pStyle w:val="TextBody"/>
        <w:bidi w:val="0"/>
        <w:spacing w:before="0" w:after="0"/>
        <w:jc w:val="center"/>
        <w:rPr/>
      </w:pPr>
      <w:r>
        <w:rPr/>
        <w:drawing>
          <wp:inline distT="0" distB="0" distL="0" distR="0">
            <wp:extent cx="2028825"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28825" cy="62865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0"/>
        </w:rPr>
      </w:pPr>
      <w:r>
        <w:rPr>
          <w:rFonts w:ascii="Times New Roman" w:hAnsi="Times New Roman"/>
          <w:b/>
          <w:sz w:val="20"/>
        </w:rPr>
        <w:t xml:space="preserve">Baidu, Inc. </w:t>
      </w:r>
    </w:p>
    <w:p>
      <w:pPr>
        <w:pStyle w:val="TextBody"/>
        <w:bidi w:val="0"/>
        <w:spacing w:before="120" w:after="0"/>
        <w:jc w:val="center"/>
        <w:rPr>
          <w:rFonts w:eastAsia="Times New Roman"/>
          <w:sz w:val="20"/>
        </w:rPr>
      </w:pPr>
      <w:r>
        <w:rPr>
          <w:rFonts w:eastAsia="PMingLiU"/>
          <w:sz w:val="18"/>
        </w:rPr>
        <w:t>百度集團股份有限公司</w:t>
      </w:r>
      <w:r>
        <w:rPr>
          <w:rFonts w:eastAsia="Times New Roman"/>
          <w:sz w:val="20"/>
        </w:rPr>
        <w:t xml:space="preserve"> </w:t>
      </w:r>
    </w:p>
    <w:p>
      <w:pPr>
        <w:pStyle w:val="TextBody"/>
        <w:bidi w:val="0"/>
        <w:spacing w:before="120" w:after="0"/>
        <w:jc w:val="center"/>
        <w:rPr>
          <w:rFonts w:ascii="Times New Roman" w:hAnsi="Times New Roman"/>
          <w:i/>
          <w:sz w:val="20"/>
        </w:rPr>
      </w:pPr>
      <w:r>
        <w:rPr>
          <w:rFonts w:ascii="Times New Roman" w:hAnsi="Times New Roman"/>
          <w:i/>
          <w:sz w:val="20"/>
        </w:rPr>
        <w:t xml:space="preserve">(A company controlled through weighted voting rights and incorporated in the Cayman Islands with limited liability) </w:t>
      </w:r>
    </w:p>
    <w:p>
      <w:pPr>
        <w:pStyle w:val="TextBody"/>
        <w:bidi w:val="0"/>
        <w:spacing w:before="0" w:after="0"/>
        <w:jc w:val="center"/>
        <w:rPr>
          <w:rFonts w:ascii="Times New Roman" w:hAnsi="Times New Roman"/>
          <w:b/>
          <w:sz w:val="20"/>
        </w:rPr>
      </w:pPr>
      <w:r>
        <w:rPr>
          <w:rFonts w:ascii="Times New Roman" w:hAnsi="Times New Roman"/>
          <w:b/>
          <w:sz w:val="20"/>
        </w:rPr>
        <w:t xml:space="preserve">(Stock Codes: 9888 (HKD counter) and 89888 (RMB counter)) </w:t>
      </w:r>
    </w:p>
    <w:p>
      <w:pPr>
        <w:pStyle w:val="TextBody"/>
        <w:bidi w:val="0"/>
        <w:spacing w:before="240" w:after="0"/>
        <w:jc w:val="center"/>
        <w:rPr>
          <w:rFonts w:ascii="Times New Roman" w:hAnsi="Times New Roman"/>
          <w:b/>
          <w:sz w:val="20"/>
        </w:rPr>
      </w:pPr>
      <w:r>
        <w:rPr>
          <w:rFonts w:ascii="Times New Roman" w:hAnsi="Times New Roman"/>
          <w:b/>
          <w:sz w:val="20"/>
        </w:rPr>
        <w:t xml:space="preserve">VOLUNTARY ANNOUNCEMENT </w:t>
      </w:r>
    </w:p>
    <w:p>
      <w:pPr>
        <w:pStyle w:val="TextBody"/>
        <w:bidi w:val="0"/>
        <w:spacing w:before="0" w:after="0"/>
        <w:jc w:val="center"/>
        <w:rPr>
          <w:rFonts w:ascii="Times New Roman" w:hAnsi="Times New Roman"/>
          <w:b/>
          <w:sz w:val="20"/>
        </w:rPr>
      </w:pPr>
      <w:r>
        <w:rPr>
          <w:rFonts w:ascii="Times New Roman" w:hAnsi="Times New Roman"/>
          <w:b/>
          <w:sz w:val="20"/>
        </w:rPr>
        <w:t xml:space="preserve">BAIDU ANNOUNCES UPCOMING INCLUSION OF </w:t>
      </w:r>
    </w:p>
    <w:p>
      <w:pPr>
        <w:pStyle w:val="TextBody"/>
        <w:bidi w:val="0"/>
        <w:spacing w:before="0" w:after="0"/>
        <w:jc w:val="center"/>
        <w:rPr>
          <w:rFonts w:ascii="Times New Roman" w:hAnsi="Times New Roman"/>
          <w:b/>
          <w:sz w:val="20"/>
        </w:rPr>
      </w:pPr>
      <w:r>
        <w:rPr>
          <w:rFonts w:ascii="Times New Roman" w:hAnsi="Times New Roman"/>
          <w:b/>
          <w:sz w:val="20"/>
        </w:rPr>
        <w:t xml:space="preserve">ITS CLASS A ORDINARY SHARES </w:t>
      </w:r>
    </w:p>
    <w:p>
      <w:pPr>
        <w:pStyle w:val="TextBody"/>
        <w:bidi w:val="0"/>
        <w:spacing w:before="0" w:after="0"/>
        <w:jc w:val="center"/>
        <w:rPr>
          <w:rFonts w:ascii="Times New Roman" w:hAnsi="Times New Roman"/>
          <w:b/>
          <w:sz w:val="20"/>
        </w:rPr>
      </w:pPr>
      <w:r>
        <w:rPr>
          <w:rFonts w:ascii="Times New Roman" w:hAnsi="Times New Roman"/>
          <w:b/>
          <w:sz w:val="20"/>
        </w:rPr>
        <w:t xml:space="preserve">IN THE SHANGHAI-HONG KONG STOCK CONNECT </w:t>
      </w:r>
    </w:p>
    <w:p>
      <w:pPr>
        <w:pStyle w:val="TextBody"/>
        <w:bidi w:val="0"/>
        <w:spacing w:before="240" w:after="0"/>
        <w:jc w:val="left"/>
        <w:rPr>
          <w:rFonts w:ascii="Times New Roman" w:hAnsi="Times New Roman"/>
          <w:sz w:val="20"/>
        </w:rPr>
      </w:pPr>
      <w:r>
        <w:rPr>
          <w:rFonts w:ascii="Times New Roman" w:hAnsi="Times New Roman"/>
          <w:sz w:val="20"/>
        </w:rPr>
        <w:t>This announcement is made by Baidu, Inc. (the “</w:t>
      </w:r>
      <w:r>
        <w:rPr>
          <w:rFonts w:ascii="Times New Roman" w:hAnsi="Times New Roman"/>
          <w:b/>
          <w:sz w:val="20"/>
        </w:rPr>
        <w:t>Company</w:t>
      </w:r>
      <w:r>
        <w:rPr>
          <w:rFonts w:ascii="Times New Roman" w:hAnsi="Times New Roman"/>
          <w:sz w:val="20"/>
        </w:rPr>
        <w:t xml:space="preserve">”) on a voluntary basis to provide its shareholders and potential investors with information in relation to the latest development of the Company. </w:t>
      </w:r>
    </w:p>
    <w:p>
      <w:pPr>
        <w:pStyle w:val="TextBody"/>
        <w:bidi w:val="0"/>
        <w:spacing w:before="240" w:after="0"/>
        <w:jc w:val="left"/>
        <w:rPr/>
      </w:pPr>
      <w:r>
        <w:rPr>
          <w:rFonts w:ascii="Times New Roman" w:hAnsi="Times New Roman"/>
          <w:sz w:val="20"/>
        </w:rPr>
        <w:t xml:space="preserve">The Company is pleased to announce that the Class A ordinary shares of the Company have been included as eligible stocks under the Shanghai-Hong Kong Stock Connect with effect from September 7, 2026, pursuant to </w:t>
      </w:r>
      <w:r>
        <w:rPr>
          <w:rFonts w:eastAsia="PMingLiU"/>
          <w:sz w:val="18"/>
        </w:rPr>
        <w:t>《關於滬港通下港股通標的調整的通知》</w:t>
      </w:r>
      <w:r>
        <w:rPr>
          <w:rFonts w:ascii="Times New Roman" w:hAnsi="Times New Roman"/>
          <w:sz w:val="20"/>
        </w:rPr>
        <w:t xml:space="preserve">(Notice of the Adjustment of the Eligible Stocks in Hong Kong Stock Connect under the Shanghai-Hong Kong Stock Connect*) issued by the Shanghai Stock Exchange on September 4, 2026.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its inclusion in the Shanghai-Hong Kong Stock Connect marks an important step toward expanding the Company’s reach among Chinese Mainland investors. The inclusion is expected to further diversify its investor base and enhance the liquidity of its shares. </w:t>
      </w:r>
    </w:p>
    <w:p>
      <w:pPr>
        <w:pStyle w:val="TextBody"/>
        <w:bidi w:val="0"/>
        <w:spacing w:before="240" w:after="0"/>
        <w:jc w:val="left"/>
        <w:rPr>
          <w:rFonts w:ascii="Times New Roman" w:hAnsi="Times New Roman"/>
          <w:sz w:val="20"/>
        </w:rPr>
      </w:pPr>
      <w:r>
        <w:rPr>
          <w:rFonts w:ascii="Times New Roman" w:hAnsi="Times New Roman"/>
          <w:sz w:val="20"/>
        </w:rPr>
        <w:t xml:space="preserve">The Company would like to thank the continued support of its shareholders and investors and remains committed to executing its long-term strategy, driving sustainable growth and creating long-term value for its shareholders.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Shareholders of the Company and potential investors are advised to exercise caution when dealing in the shares or other securities of the Company.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center"/>
              <w:rPr/>
            </w:pPr>
            <w:r>
              <w:rPr/>
              <w:t>By order of the Board</w:t>
            </w:r>
          </w:p>
        </w:tc>
      </w:tr>
      <w:tr>
        <w:trPr/>
        <w:tc>
          <w:tcPr>
            <w:tcW w:w="4082" w:type="dxa"/>
            <w:tcBorders/>
          </w:tcPr>
          <w:p>
            <w:pPr>
              <w:pStyle w:val="TableContents"/>
              <w:bidi w:val="0"/>
              <w:spacing w:before="0" w:after="283"/>
              <w:jc w:val="center"/>
              <w:rPr>
                <w:b/>
              </w:rPr>
            </w:pPr>
            <w:r>
              <w:rPr>
                <w:b/>
              </w:rPr>
              <w:t>Baidu, Inc.</w:t>
            </w:r>
          </w:p>
        </w:tc>
      </w:tr>
      <w:tr>
        <w:trPr/>
        <w:tc>
          <w:tcPr>
            <w:tcW w:w="4082" w:type="dxa"/>
            <w:tcBorders/>
          </w:tcPr>
          <w:p>
            <w:pPr>
              <w:pStyle w:val="TableContents"/>
              <w:bidi w:val="0"/>
              <w:spacing w:before="0" w:after="283"/>
              <w:jc w:val="center"/>
              <w:rPr>
                <w:b/>
              </w:rPr>
            </w:pPr>
            <w:r>
              <w:rPr>
                <w:b/>
              </w:rPr>
              <w:t>Mr. Robin Yanhong Li</w:t>
            </w:r>
          </w:p>
        </w:tc>
      </w:tr>
      <w:tr>
        <w:trPr/>
        <w:tc>
          <w:tcPr>
            <w:tcW w:w="4082" w:type="dxa"/>
            <w:tcBorders/>
          </w:tcPr>
          <w:p>
            <w:pPr>
              <w:pStyle w:val="TableContents"/>
              <w:bidi w:val="0"/>
              <w:spacing w:before="0" w:after="0"/>
              <w:jc w:val="center"/>
              <w:rPr>
                <w:rFonts w:ascii="Times New Roman" w:hAnsi="Times New Roman"/>
                <w:i/>
                <w:sz w:val="20"/>
              </w:rPr>
            </w:pPr>
            <w:r>
              <w:rPr>
                <w:rFonts w:ascii="Times New Roman" w:hAnsi="Times New Roman"/>
                <w:i/>
                <w:sz w:val="20"/>
              </w:rPr>
              <w:t>Chairman of the Board</w:t>
            </w:r>
          </w:p>
          <w:p>
            <w:pPr>
              <w:pStyle w:val="TableContents"/>
              <w:bidi w:val="0"/>
              <w:spacing w:before="0" w:after="20"/>
              <w:jc w:val="center"/>
              <w:rPr>
                <w:rFonts w:ascii="Times New Roman" w:hAnsi="Times New Roman"/>
                <w:i/>
                <w:sz w:val="20"/>
              </w:rPr>
            </w:pPr>
            <w:r>
              <w:rPr>
                <w:rFonts w:ascii="Times New Roman" w:hAnsi="Times New Roman"/>
                <w:i/>
                <w:sz w:val="20"/>
              </w:rPr>
              <w:t>and Chief Executive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Hong Kong, September 4, 2026 </w:t>
      </w:r>
    </w:p>
    <w:p>
      <w:pPr>
        <w:pStyle w:val="TextBody"/>
        <w:bidi w:val="0"/>
        <w:spacing w:before="240" w:after="0"/>
        <w:jc w:val="left"/>
        <w:rPr>
          <w:rFonts w:ascii="Times New Roman" w:hAnsi="Times New Roman"/>
          <w:i/>
          <w:sz w:val="20"/>
        </w:rPr>
      </w:pPr>
      <w:r>
        <w:rPr>
          <w:rFonts w:ascii="Times New Roman" w:hAnsi="Times New Roman"/>
          <w:i/>
          <w:sz w:val="20"/>
        </w:rPr>
        <w:t xml:space="preserve">As at the date of this announcement, the board of directors of the Company comprises Mr. Robin Yanhong Li as director, and Mr. Yuanqing Yang, Mr. Jixun Foo, Ms. Sandy Ran Xu and Ms. Xiaodan Liu as independent directors.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202"/>
        <w:gridCol w:w="10003"/>
      </w:tblGrid>
      <w:tr>
        <w:trPr/>
        <w:tc>
          <w:tcPr>
            <w:tcW w:w="202" w:type="dxa"/>
            <w:tcBorders/>
          </w:tcPr>
          <w:p>
            <w:pPr>
              <w:pStyle w:val="TableContents"/>
              <w:bidi w:val="0"/>
              <w:spacing w:before="0" w:after="283"/>
              <w:jc w:val="left"/>
              <w:rPr/>
            </w:pPr>
            <w:r>
              <w:rPr/>
              <w:t>*</w:t>
            </w:r>
          </w:p>
        </w:tc>
        <w:tc>
          <w:tcPr>
            <w:tcW w:w="10003" w:type="dxa"/>
            <w:tcBorders/>
          </w:tcPr>
          <w:p>
            <w:pPr>
              <w:pStyle w:val="TableContents"/>
              <w:bidi w:val="0"/>
              <w:spacing w:before="0" w:after="0"/>
              <w:jc w:val="left"/>
              <w:rPr>
                <w:rFonts w:ascii="Times New Roman" w:hAnsi="Times New Roman"/>
                <w:sz w:val="20"/>
              </w:rPr>
            </w:pPr>
            <w:r>
              <w:rPr>
                <w:rFonts w:ascii="Times New Roman" w:hAnsi="Times New Roman"/>
                <w:i/>
                <w:sz w:val="20"/>
              </w:rPr>
              <w:t>For identification purposes only</w:t>
            </w:r>
            <w:r>
              <w:rPr>
                <w:rFonts w:ascii="Times New Roman" w:hAnsi="Times New Roman"/>
                <w:sz w:val="20"/>
              </w:rPr>
              <w:t xml:space="preserv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1380</Words>
  <Characters>7598</Characters>
  <CharactersWithSpaces>8967</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