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585470</wp:posOffset>
            </wp:positionH>
            <wp:positionV relativeFrom="page">
              <wp:posOffset>159385</wp:posOffset>
            </wp:positionV>
            <wp:extent cx="63855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5560" cy="7620"/>
                    </a:xfrm>
                    <a:prstGeom prst="rect">
                      <a:avLst/>
                    </a:prstGeom>
                    <a:noFill/>
                  </pic:spPr>
                </pic:pic>
              </a:graphicData>
            </a:graphic>
          </wp:anchor>
        </w:drawing>
        <w:drawing>
          <wp:anchor simplePos="0" relativeHeight="251657728" behindDoc="1" locked="0" layoutInCell="0" allowOverlap="1">
            <wp:simplePos x="0" y="0"/>
            <wp:positionH relativeFrom="page">
              <wp:posOffset>585470</wp:posOffset>
            </wp:positionH>
            <wp:positionV relativeFrom="page">
              <wp:posOffset>198755</wp:posOffset>
            </wp:positionV>
            <wp:extent cx="63855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5560" cy="7620"/>
                    </a:xfrm>
                    <a:prstGeom prst="rect">
                      <a:avLst/>
                    </a:prstGeom>
                    <a:noFill/>
                  </pic:spPr>
                </pic:pic>
              </a:graphicData>
            </a:graphic>
          </wp:anchor>
        </w:drawing>
        <w:t>UNITED STATES</w:t>
      </w:r>
    </w:p>
    <w:p>
      <w:pPr>
        <w:spacing w:after="0" w:line="26"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2520950</wp:posOffset>
            </wp:positionH>
            <wp:positionV relativeFrom="paragraph">
              <wp:posOffset>200025</wp:posOffset>
            </wp:positionV>
            <wp:extent cx="13379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2520950</wp:posOffset>
            </wp:positionH>
            <wp:positionV relativeFrom="paragraph">
              <wp:posOffset>222885</wp:posOffset>
            </wp:positionV>
            <wp:extent cx="13379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left="2760" w:right="760"/>
        <w:spacing w:after="0" w:line="248"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58"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For the month of February 2026</w:t>
      </w:r>
    </w:p>
    <w:p>
      <w:pPr>
        <w:spacing w:after="0" w:line="21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Commission File Number: 000-51469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2520950</wp:posOffset>
            </wp:positionH>
            <wp:positionV relativeFrom="paragraph">
              <wp:posOffset>232410</wp:posOffset>
            </wp:positionV>
            <wp:extent cx="13379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39"/>
          <w:szCs w:val="39"/>
          <w:b w:val="1"/>
          <w:bCs w:val="1"/>
          <w:color w:val="auto"/>
        </w:rPr>
        <w:t>BAIDU,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2520950</wp:posOffset>
            </wp:positionH>
            <wp:positionV relativeFrom="paragraph">
              <wp:posOffset>237490</wp:posOffset>
            </wp:positionV>
            <wp:extent cx="13379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Baidu Campus</w:t>
      </w:r>
    </w:p>
    <w:p>
      <w:pPr>
        <w:spacing w:after="0" w:line="34"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No. 10 Shangdi 10th Street</w:t>
      </w:r>
    </w:p>
    <w:p>
      <w:pPr>
        <w:spacing w:after="0" w:line="1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Haidian District, Beijing 100085</w:t>
      </w:r>
    </w:p>
    <w:p>
      <w:pPr>
        <w:spacing w:after="0" w:line="1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The People’s Republic of China</w:t>
      </w:r>
    </w:p>
    <w:p>
      <w:pPr>
        <w:spacing w:after="0" w:line="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2520950</wp:posOffset>
            </wp:positionH>
            <wp:positionV relativeFrom="paragraph">
              <wp:posOffset>198755</wp:posOffset>
            </wp:positionV>
            <wp:extent cx="13379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74" w:lineRule="exact"/>
        <w:rPr>
          <w:sz w:val="24"/>
          <w:szCs w:val="24"/>
          <w:color w:val="auto"/>
        </w:rPr>
      </w:pPr>
    </w:p>
    <w:p>
      <w:pPr>
        <w:ind w:left="3760"/>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182880</wp:posOffset>
            </wp:positionV>
            <wp:extent cx="63855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556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221615</wp:posOffset>
            </wp:positionV>
            <wp:extent cx="63855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5560" cy="7620"/>
                    </a:xfrm>
                    <a:prstGeom prst="rect">
                      <a:avLst/>
                    </a:prstGeom>
                    <a:noFill/>
                  </pic:spPr>
                </pic:pic>
              </a:graphicData>
            </a:graphic>
          </wp:anchor>
        </w:drawing>
      </w:r>
    </w:p>
    <w:p>
      <w:pPr>
        <w:sectPr>
          <w:pgSz w:w="11900" w:h="16838" w:orient="portrait"/>
          <w:cols w:equalWidth="0" w:num="1">
            <w:col w:w="9539"/>
          </w:cols>
          <w:pgMar w:left="920" w:top="35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8"/>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40" w:type="dxa"/>
            <w:vAlign w:val="bottom"/>
          </w:tcPr>
          <w:p>
            <w:pPr>
              <w:ind w:left="240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57"/>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5960" w:type="dxa"/>
            <w:vAlign w:val="bottom"/>
            <w:gridSpan w:val="3"/>
          </w:tcPr>
          <w:p>
            <w:pPr>
              <w:ind w:left="66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89"/>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596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Press Release –– Baidu Announces Fourth Quarter and Fiscal Year 2025 Results</w:t>
            </w:r>
          </w:p>
        </w:tc>
      </w:tr>
    </w:tbl>
    <w:p>
      <w:pPr>
        <w:ind w:left="660"/>
        <w:spacing w:after="0"/>
        <w:rPr>
          <w:sz w:val="20"/>
          <w:szCs w:val="20"/>
          <w:color w:val="auto"/>
        </w:rPr>
        <w:sectPr>
          <w:pgSz w:w="11900" w:h="16838" w:orient="portrait"/>
          <w:cols w:equalWidth="0" w:num="1">
            <w:col w:w="9539"/>
          </w:cols>
          <w:pgMar w:left="920" w:top="255" w:right="1440" w:bottom="1440" w:gutter="0" w:footer="0" w:header="0"/>
        </w:sect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5025" cy="3619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5025" cy="36195"/>
                    </a:xfrm>
                    <a:prstGeom prst="rect">
                      <a:avLst/>
                    </a:prstGeom>
                    <a:noFill/>
                  </pic:spPr>
                </pic:pic>
              </a:graphicData>
            </a:graphic>
          </wp:anchor>
        </w:drawing>
        <w:t>SIGNATURES</w:t>
      </w:r>
    </w:p>
    <w:p>
      <w:pPr>
        <w:spacing w:after="0" w:line="210" w:lineRule="exact"/>
        <w:rPr>
          <w:sz w:val="20"/>
          <w:szCs w:val="20"/>
          <w:color w:val="auto"/>
        </w:rPr>
      </w:pPr>
    </w:p>
    <w:p>
      <w:pPr>
        <w:ind w:right="280" w:firstLine="402"/>
        <w:spacing w:after="0" w:line="29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color w:val="auto"/>
        </w:rPr>
        <w:t>BAIDU, INC.</w:t>
      </w:r>
    </w:p>
    <w:p>
      <w:pPr>
        <w:spacing w:after="0" w:line="210" w:lineRule="exact"/>
        <w:rPr>
          <w:sz w:val="20"/>
          <w:szCs w:val="20"/>
          <w:color w:val="auto"/>
        </w:rPr>
      </w:pPr>
    </w:p>
    <w:tbl>
      <w:tblPr>
        <w:tblLayout w:type="fixed"/>
        <w:tblInd w:w="6040" w:type="dxa"/>
        <w:tblCellMar>
          <w:top w:w="0" w:type="dxa"/>
          <w:left w:w="0" w:type="dxa"/>
          <w:bottom w:w="0" w:type="dxa"/>
          <w:right w:w="0" w:type="dxa"/>
        </w:tblCellMar>
      </w:tblPr>
      <w:tr>
        <w:trPr>
          <w:trHeight w:val="214"/>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  By:</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Haijian He</w:t>
            </w:r>
          </w:p>
        </w:tc>
      </w:tr>
      <w:tr>
        <w:trPr>
          <w:trHeight w:val="185"/>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  Name:</w:t>
            </w: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Haijian He</w:t>
            </w:r>
          </w:p>
        </w:tc>
      </w:tr>
      <w:tr>
        <w:trPr>
          <w:trHeight w:val="214"/>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  Title:</w:t>
            </w: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26, 2026</w:t>
      </w:r>
    </w:p>
    <w:p>
      <w:pPr>
        <w:sectPr>
          <w:pgSz w:w="11900" w:h="16838" w:orient="portrait"/>
          <w:cols w:equalWidth="0" w:num="1">
            <w:col w:w="10060"/>
          </w:cols>
          <w:pgMar w:left="920" w:top="259" w:right="9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Baidu Announces Fourth Quarter and Fiscal Year 2025 Results</w:t>
      </w:r>
    </w:p>
    <w:p>
      <w:pPr>
        <w:spacing w:after="0" w:line="214" w:lineRule="exact"/>
        <w:rPr>
          <w:sz w:val="20"/>
          <w:szCs w:val="20"/>
          <w:color w:val="auto"/>
        </w:rPr>
      </w:pPr>
    </w:p>
    <w:p>
      <w:pPr>
        <w:ind w:left="4" w:right="20"/>
        <w:spacing w:after="0" w:line="277" w:lineRule="auto"/>
        <w:rPr>
          <w:sz w:val="20"/>
          <w:szCs w:val="20"/>
          <w:color w:val="auto"/>
        </w:rPr>
      </w:pPr>
      <w:r>
        <w:rPr>
          <w:rFonts w:ascii="Times New Roman" w:cs="Times New Roman" w:eastAsia="Times New Roman" w:hAnsi="Times New Roman"/>
          <w:sz w:val="16"/>
          <w:szCs w:val="16"/>
          <w:color w:val="auto"/>
        </w:rPr>
        <w:t>BEIJING, China, Feb 26, 2026 – Baidu, Inc. (NASDAQ: BIDU and HKEX: 9888 (HKD Counter) and 89888 (RMB Counter)), (“Baidu” or the “Company”), a leading AI company with strong Internet foundation, today announced its unaudited financial results for the quarter and fiscal year ended December 31, 2025.</w:t>
      </w:r>
    </w:p>
    <w:p>
      <w:pPr>
        <w:spacing w:after="0" w:line="152"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6"/>
          <w:szCs w:val="16"/>
          <w:color w:val="auto"/>
        </w:rPr>
        <w:t>“2025 marked a pivotal year as AI became the new core of Baidu. AI Cloud Infra gained strong momentum, with our differentiated full-stack end-to-end AI capabilities earning growing enterprise recognition. Our portfolio of AI applications continued to scale, addressing diverse needs across enterprises and individuals. Apollo Go further reinforced its global leadership, operating at industry-leading scales while accelerating international expansion into new markets. Meanwhile, AI-native Marketing Services continued to grow, unlocking new possibilities for the long term,” said Robin Li, Co-founder and CEO of Baidu. “As our AI-first strategy takes clear shape, we’re confident in our ability to create lasting value in the AI era.”</w:t>
      </w:r>
    </w:p>
    <w:p>
      <w:pPr>
        <w:spacing w:after="0" w:line="160" w:lineRule="exact"/>
        <w:rPr>
          <w:sz w:val="20"/>
          <w:szCs w:val="20"/>
          <w:color w:val="auto"/>
        </w:rPr>
      </w:pPr>
    </w:p>
    <w:p>
      <w:pPr>
        <w:ind w:left="4" w:right="20"/>
        <w:spacing w:after="0" w:line="227" w:lineRule="auto"/>
        <w:rPr>
          <w:sz w:val="20"/>
          <w:szCs w:val="20"/>
          <w:color w:val="auto"/>
        </w:rPr>
      </w:pPr>
      <w:r>
        <w:rPr>
          <w:rFonts w:ascii="Times New Roman" w:cs="Times New Roman" w:eastAsia="Times New Roman" w:hAnsi="Times New Roman"/>
          <w:sz w:val="16"/>
          <w:szCs w:val="16"/>
          <w:color w:val="auto"/>
        </w:rPr>
        <w:t>“We delivered several key achievements this quarter. First, revenue from Baidu Core AI-powered Business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exceeded RMB 11 billion in Q4, accounting for 43% of Baidu General Business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6"/>
          <w:szCs w:val="16"/>
          <w:color w:val="auto"/>
        </w:rPr>
        <w:t xml:space="preserve"> revenue. Second, total revenue of Baidu General Business grew 6% sequentially and Non-GAAP operating income of Baidu General Business increased 28% quarter over quarter to RMB 2.8 billion. Third, operating cash flow for Baidu turned positive in the second half of 2025, generating RMB 3.9 billion combined, compared to negative cash flow in the first half. Fourth, the Kunlunxin spin-off and separate listing is progressing, which we believe will unlock significant value for shareholders. Finally, we announced a new share repurchase program with up to US$5 billion authorization and introduced our first-ever dividend policy, with the first payment potentially to be made by year-end 2026.” said Haijian He, CFO of Baidu.</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Operational Highlights</w:t>
      </w:r>
      <w:r>
        <w:rPr>
          <w:rFonts w:ascii="Times New Roman" w:cs="Times New Roman" w:eastAsia="Times New Roman" w:hAnsi="Times New Roman"/>
          <w:sz w:val="24"/>
          <w:szCs w:val="24"/>
          <w:b w:val="1"/>
          <w:bCs w:val="1"/>
          <w:color w:val="auto"/>
          <w:vertAlign w:val="superscript"/>
        </w:rPr>
        <w:t>1</w:t>
      </w:r>
    </w:p>
    <w:p>
      <w:pPr>
        <w:spacing w:after="0" w:line="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following table sets forth selected revenue highlights for our Baidu Core AI-powered Business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6965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595" cy="7620"/>
                    </a:xfrm>
                    <a:prstGeom prst="rect">
                      <a:avLst/>
                    </a:prstGeom>
                    <a:noFill/>
                  </pic:spPr>
                </pic:pic>
              </a:graphicData>
            </a:graphic>
          </wp:anchor>
        </w:drawing>
      </w:r>
    </w:p>
    <w:p>
      <w:pPr>
        <w:spacing w:after="0" w:line="148" w:lineRule="exact"/>
        <w:rPr>
          <w:sz w:val="20"/>
          <w:szCs w:val="20"/>
          <w:color w:val="auto"/>
        </w:rPr>
      </w:pPr>
    </w:p>
    <w:p>
      <w:pPr>
        <w:ind w:left="404" w:right="360" w:hanging="404"/>
        <w:spacing w:after="0" w:line="209" w:lineRule="auto"/>
        <w:tabs>
          <w:tab w:leader="none" w:pos="404" w:val="left"/>
        </w:tabs>
        <w:numPr>
          <w:ilvl w:val="0"/>
          <w:numId w:val="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revenue and operational data presented are derived from the Company’s internal management accounts and records, which have not been audited.</w:t>
      </w:r>
    </w:p>
    <w:p>
      <w:pPr>
        <w:spacing w:after="0" w:line="1" w:lineRule="exact"/>
        <w:rPr>
          <w:sz w:val="20"/>
          <w:szCs w:val="20"/>
          <w:color w:val="auto"/>
        </w:rPr>
      </w:pPr>
    </w:p>
    <w:p>
      <w:pPr>
        <w:ind w:left="404" w:right="60" w:hanging="404"/>
        <w:spacing w:after="0" w:line="225" w:lineRule="auto"/>
        <w:tabs>
          <w:tab w:leader="none" w:pos="404" w:val="left"/>
        </w:tabs>
        <w:numPr>
          <w:ilvl w:val="0"/>
          <w:numId w:val="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Starting this quarter, we redefined Baidu Core as Baidu General Business. Baidu General Business includes Baidu Core AI-powered Business, Legacy Business, and Others. Legacy Business mainly consists of traditional advertising services across Search, Feed and other properties. Fourth quarter 2025 revenues from Baidu Core AI-powered Business, Legacy Business, and Others were RMB 11.3 billion, RMB 12.3 billion, and RMB 2.5 billion, respectively, derived from the Company’s internal management accounts and records, which have not been audited.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064"/>
          </w:cols>
          <w:pgMar w:left="916" w:top="119" w:right="9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billions)</w:t>
            </w:r>
          </w:p>
        </w:tc>
        <w:tc>
          <w:tcPr>
            <w:tcW w:w="2320" w:type="dxa"/>
            <w:vAlign w:val="bottom"/>
          </w:tcPr>
          <w:p>
            <w:pPr>
              <w:spacing w:after="0"/>
              <w:rPr>
                <w:sz w:val="12"/>
                <w:szCs w:val="12"/>
                <w:color w:val="auto"/>
              </w:rPr>
            </w:pPr>
          </w:p>
        </w:tc>
        <w:tc>
          <w:tcPr>
            <w:tcW w:w="5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Q3</w:t>
            </w: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Q4</w:t>
            </w: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FY</w:t>
            </w:r>
          </w:p>
        </w:tc>
        <w:tc>
          <w:tcPr>
            <w:tcW w:w="6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FY</w:t>
            </w:r>
          </w:p>
        </w:tc>
        <w:tc>
          <w:tcPr>
            <w:tcW w:w="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i w:val="1"/>
                <w:iCs w:val="1"/>
                <w:color w:val="auto"/>
              </w:rPr>
              <w:t>YoY</w:t>
            </w:r>
          </w:p>
        </w:tc>
        <w:tc>
          <w:tcPr>
            <w:tcW w:w="0" w:type="dxa"/>
            <w:vAlign w:val="bottom"/>
          </w:tcPr>
          <w:p>
            <w:pPr>
              <w:spacing w:after="0"/>
              <w:rPr>
                <w:sz w:val="1"/>
                <w:szCs w:val="1"/>
                <w:color w:val="auto"/>
              </w:rPr>
            </w:pPr>
          </w:p>
        </w:tc>
      </w:tr>
      <w:tr>
        <w:trPr>
          <w:trHeight w:val="158"/>
        </w:trPr>
        <w:tc>
          <w:tcPr>
            <w:tcW w:w="4800" w:type="dxa"/>
            <w:vAlign w:val="bottom"/>
            <w:gridSpan w:val="2"/>
            <w:vMerge w:val="continue"/>
          </w:tcPr>
          <w:p>
            <w:pPr>
              <w:spacing w:after="0"/>
              <w:rPr>
                <w:sz w:val="13"/>
                <w:szCs w:val="13"/>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8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8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30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80" w:type="dxa"/>
            <w:vAlign w:val="bottom"/>
          </w:tcPr>
          <w:p>
            <w:pPr>
              <w:spacing w:after="0"/>
              <w:rPr>
                <w:sz w:val="11"/>
                <w:szCs w:val="11"/>
                <w:color w:val="auto"/>
              </w:rPr>
            </w:pPr>
          </w:p>
        </w:tc>
        <w:tc>
          <w:tcPr>
            <w:tcW w:w="34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80" w:type="dxa"/>
            <w:vAlign w:val="bottom"/>
          </w:tcPr>
          <w:p>
            <w:pPr>
              <w:spacing w:after="0"/>
              <w:rPr>
                <w:sz w:val="11"/>
                <w:szCs w:val="11"/>
                <w:color w:val="auto"/>
              </w:rPr>
            </w:pPr>
          </w:p>
        </w:tc>
        <w:tc>
          <w:tcPr>
            <w:tcW w:w="34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80" w:type="dxa"/>
            <w:vAlign w:val="bottom"/>
          </w:tcPr>
          <w:p>
            <w:pPr>
              <w:spacing w:after="0"/>
              <w:rPr>
                <w:sz w:val="11"/>
                <w:szCs w:val="11"/>
                <w:color w:val="auto"/>
              </w:rPr>
            </w:pPr>
          </w:p>
        </w:tc>
        <w:tc>
          <w:tcPr>
            <w:tcW w:w="3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Baidu Core AI-powered Business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27.0</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40.0</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 AI Cloud Infra</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 AI Applications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 AI-native Marketing Services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301%</w:t>
            </w: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47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of Baidu General Business</w:t>
            </w:r>
          </w:p>
        </w:tc>
        <w:tc>
          <w:tcPr>
            <w:tcW w:w="2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26%</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39%</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5025" cy="36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i w:val="1"/>
          <w:iCs w:val="1"/>
          <w:color w:val="auto"/>
        </w:rPr>
        <w:t>Corporate</w:t>
      </w:r>
    </w:p>
    <w:p>
      <w:pPr>
        <w:spacing w:after="0" w:line="126" w:lineRule="exact"/>
        <w:rPr>
          <w:sz w:val="20"/>
          <w:szCs w:val="20"/>
          <w:color w:val="auto"/>
        </w:rPr>
      </w:pPr>
    </w:p>
    <w:p>
      <w:pPr>
        <w:ind w:left="400" w:right="60" w:hanging="305"/>
        <w:spacing w:after="0" w:line="277" w:lineRule="auto"/>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Baidu’s Board of Directors has authorized a new share repurchase program in February 2026, under which the Company may repurchase up to US$5 billion of its shares, effective through December 31, 2028. The Board has also approved, for the first time, the adoption of a dividend policy for the Company’s ordinary shares, which may include regular and/or special distributions of dividends.</w:t>
      </w:r>
    </w:p>
    <w:p>
      <w:pPr>
        <w:spacing w:after="0" w:line="65" w:lineRule="exact"/>
        <w:rPr>
          <w:rFonts w:ascii="Times New Roman" w:cs="Times New Roman" w:eastAsia="Times New Roman" w:hAnsi="Times New Roman"/>
          <w:sz w:val="16"/>
          <w:szCs w:val="16"/>
          <w:color w:val="auto"/>
        </w:rPr>
      </w:pPr>
    </w:p>
    <w:p>
      <w:pPr>
        <w:ind w:left="400" w:hanging="30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Baidu announced its proposed spin-off and separate listing of Kunlunxin in January 2026.</w:t>
      </w:r>
    </w:p>
    <w:p>
      <w:pPr>
        <w:spacing w:after="0" w:line="124" w:lineRule="exact"/>
        <w:rPr>
          <w:rFonts w:ascii="Times New Roman" w:cs="Times New Roman" w:eastAsia="Times New Roman" w:hAnsi="Times New Roman"/>
          <w:sz w:val="16"/>
          <w:szCs w:val="16"/>
          <w:color w:val="auto"/>
        </w:rPr>
      </w:pPr>
    </w:p>
    <w:p>
      <w:pPr>
        <w:ind w:left="400" w:hanging="30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Baidu released an updated version of ERNIE 5.0, its native omni-modal foundation model in January 2026.</w:t>
      </w:r>
    </w:p>
    <w:p>
      <w:pPr>
        <w:spacing w:after="0" w:line="124" w:lineRule="exact"/>
        <w:rPr>
          <w:rFonts w:ascii="Times New Roman" w:cs="Times New Roman" w:eastAsia="Times New Roman" w:hAnsi="Times New Roman"/>
          <w:sz w:val="16"/>
          <w:szCs w:val="16"/>
          <w:color w:val="auto"/>
        </w:rPr>
      </w:pPr>
    </w:p>
    <w:p>
      <w:pPr>
        <w:ind w:left="400" w:right="380" w:hanging="305"/>
        <w:spacing w:after="0" w:line="277" w:lineRule="auto"/>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Baidu earned a position in the global edition of the S&amp;P Global Sustainability Yearbook 2026, demonstrating its further advancement in ESG performance. The selection stems from a comprehensive evaluation of 9,200 companies globally as part of the S&amp;P Global 2025 Corporate Sustainability Assessment, underscoring Baidu’s sustainability practices.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Baidu Core AI-powered Business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AI Cloud Infra</w:t>
      </w:r>
    </w:p>
    <w:p>
      <w:pPr>
        <w:spacing w:after="0" w:line="126" w:lineRule="exact"/>
        <w:rPr>
          <w:sz w:val="20"/>
          <w:szCs w:val="20"/>
          <w:color w:val="auto"/>
        </w:rPr>
      </w:pPr>
    </w:p>
    <w:p>
      <w:pPr>
        <w:ind w:left="880" w:right="360" w:hanging="391"/>
        <w:spacing w:after="0" w:line="296" w:lineRule="auto"/>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from AI Cloud Infra was RMB 5.8 billion in the fourth quarter of 2025, with subscription-based revenue from AI accelerator infrastructure increasing by 143% year over year.</w:t>
      </w:r>
    </w:p>
    <w:p>
      <w:pPr>
        <w:spacing w:after="0" w:line="51" w:lineRule="exact"/>
        <w:rPr>
          <w:rFonts w:ascii="Times New Roman" w:cs="Times New Roman" w:eastAsia="Times New Roman" w:hAnsi="Times New Roman"/>
          <w:sz w:val="16"/>
          <w:szCs w:val="16"/>
          <w:color w:val="auto"/>
        </w:rPr>
      </w:pPr>
    </w:p>
    <w:p>
      <w:pPr>
        <w:ind w:left="880" w:hanging="391"/>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from AI Cloud Infra was approximately RMB 20 billion for the full year 2025, up 34% year over year.</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AI Applications</w:t>
      </w:r>
    </w:p>
    <w:p>
      <w:pPr>
        <w:spacing w:after="0" w:line="126" w:lineRule="exact"/>
        <w:rPr>
          <w:sz w:val="20"/>
          <w:szCs w:val="20"/>
          <w:color w:val="auto"/>
        </w:rPr>
      </w:pPr>
    </w:p>
    <w:p>
      <w:pPr>
        <w:ind w:left="880" w:hanging="391"/>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from AI Applications was RMB 2.7 billion in the fourth quarter of 2025, with full year 2025 revenue exceeding RMB 10 billion.</w:t>
      </w:r>
    </w:p>
    <w:p>
      <w:pPr>
        <w:spacing w:after="0" w:line="124" w:lineRule="exact"/>
        <w:rPr>
          <w:rFonts w:ascii="Times New Roman" w:cs="Times New Roman" w:eastAsia="Times New Roman" w:hAnsi="Times New Roman"/>
          <w:sz w:val="16"/>
          <w:szCs w:val="16"/>
          <w:color w:val="auto"/>
        </w:rPr>
      </w:pPr>
    </w:p>
    <w:p>
      <w:pPr>
        <w:ind w:left="880" w:right="600" w:hanging="391"/>
        <w:spacing w:after="0" w:line="296"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Miaoda, Baidu’s vibe coding platform, demonstrates industry-leading performance in platform capabilities and application quality, according to IDC’s 2025 China No-Code Generative AI Application Development Platform Report, issued in November 2025.</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060"/>
          </w:cols>
          <w:pgMar w:left="920" w:top="239" w:right="919" w:bottom="1440" w:gutter="0" w:footer="0" w:header="0"/>
        </w:sectPr>
      </w:pPr>
    </w:p>
    <w:bookmarkStart w:id="5" w:name="page6"/>
    <w:bookmarkEnd w:id="5"/>
    <w:p>
      <w:pPr>
        <w:ind w:left="884" w:right="300" w:hanging="391"/>
        <w:spacing w:after="0" w:line="296" w:lineRule="auto"/>
        <w:tabs>
          <w:tab w:leader="none" w:pos="88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5025" cy="36195"/>
                    </a:xfrm>
                    <a:prstGeom prst="rect">
                      <a:avLst/>
                    </a:prstGeom>
                    <a:noFill/>
                  </pic:spPr>
                </pic:pic>
              </a:graphicData>
            </a:graphic>
          </wp:anchor>
        </w:drawing>
        <w:t>Baidu established the Personal Super Intelligence Business Group (PSIG), integrating Baidu Wenku and Baidu Drive to accelerate AI application innovation.</w:t>
      </w:r>
    </w:p>
    <w:p>
      <w:pPr>
        <w:spacing w:after="0" w:line="37" w:lineRule="exact"/>
        <w:rPr>
          <w:sz w:val="20"/>
          <w:szCs w:val="20"/>
          <w:color w:val="auto"/>
        </w:rPr>
      </w:pPr>
    </w:p>
    <w:p>
      <w:pPr>
        <w:ind w:left="204"/>
        <w:spacing w:after="0"/>
        <w:rPr>
          <w:sz w:val="20"/>
          <w:szCs w:val="20"/>
          <w:color w:val="auto"/>
        </w:rPr>
      </w:pPr>
      <w:r>
        <w:rPr>
          <w:rFonts w:ascii="Times New Roman" w:cs="Times New Roman" w:eastAsia="Times New Roman" w:hAnsi="Times New Roman"/>
          <w:sz w:val="16"/>
          <w:szCs w:val="16"/>
          <w:i w:val="1"/>
          <w:iCs w:val="1"/>
          <w:color w:val="auto"/>
        </w:rPr>
        <w:t>Robotaxi</w:t>
      </w:r>
    </w:p>
    <w:p>
      <w:pPr>
        <w:spacing w:after="0" w:line="126" w:lineRule="exact"/>
        <w:rPr>
          <w:sz w:val="20"/>
          <w:szCs w:val="20"/>
          <w:color w:val="auto"/>
        </w:rPr>
      </w:pPr>
    </w:p>
    <w:p>
      <w:pPr>
        <w:ind w:left="884" w:right="60" w:hanging="391"/>
        <w:spacing w:after="0" w:line="277" w:lineRule="auto"/>
        <w:tabs>
          <w:tab w:leader="none" w:pos="88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fourth quarter of 2025, Apollo Go, Baidu’s autonomous ride-hailing service, delivered 3.4 million fully driverless operational rides with weekly rides peaking at over 300,000 during the quarter. Total rides increased by over 200% year over year. As of February 2026, cumulative rides provided to the public by Apollo Go exceeded 20 million.</w:t>
      </w:r>
    </w:p>
    <w:p>
      <w:pPr>
        <w:spacing w:after="0" w:line="65" w:lineRule="exact"/>
        <w:rPr>
          <w:rFonts w:ascii="Times New Roman" w:cs="Times New Roman" w:eastAsia="Times New Roman" w:hAnsi="Times New Roman"/>
          <w:sz w:val="16"/>
          <w:szCs w:val="16"/>
          <w:color w:val="auto"/>
        </w:rPr>
      </w:pPr>
    </w:p>
    <w:p>
      <w:pPr>
        <w:ind w:left="884" w:hanging="391"/>
        <w:spacing w:after="0" w:line="267" w:lineRule="auto"/>
        <w:tabs>
          <w:tab w:leader="none" w:pos="88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Apollo Go accelerated its global footprint across multiple markets. In the UK, Apollo Go advanced partnerships with Uber and Lyft to pilot autonomous vehicles in London. In Switzerland, Apollo Go initiated testing in St. Gallen. In the Middle East, Apollo Go officially launched fully autonomous ride-hailing services in Abu Dhabi with AutoGo, secured Dubai’s first fully driverless testing permit, and partnered with Uber to bring Apollo Go to the Uber platform in Dubai. In Asia, Apollo Go entered the South Korean market, starting with the Seoul metropolitan area. Apollo Go also expanded its Hong Kong testing into new districts and initiated cross-district testing.</w:t>
      </w:r>
    </w:p>
    <w:p>
      <w:pPr>
        <w:spacing w:after="0" w:line="73" w:lineRule="exact"/>
        <w:rPr>
          <w:rFonts w:ascii="Times New Roman" w:cs="Times New Roman" w:eastAsia="Times New Roman" w:hAnsi="Times New Roman"/>
          <w:sz w:val="16"/>
          <w:szCs w:val="16"/>
          <w:color w:val="auto"/>
        </w:rPr>
      </w:pPr>
    </w:p>
    <w:p>
      <w:pPr>
        <w:ind w:left="884" w:right="500" w:hanging="391"/>
        <w:spacing w:after="0" w:line="296" w:lineRule="auto"/>
        <w:tabs>
          <w:tab w:leader="none" w:pos="88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February 2026, Apollo Go’s global footprint reached 26 cities. To date, Apollo Go fleets have accumulated over 300 million autonomous kilometers, including over 190 million fully driverless autonomous kilometers, with an outstanding safety record.</w:t>
      </w:r>
    </w:p>
    <w:p>
      <w:pPr>
        <w:spacing w:after="0" w:line="37" w:lineRule="exact"/>
        <w:rPr>
          <w:sz w:val="20"/>
          <w:szCs w:val="20"/>
          <w:color w:val="auto"/>
        </w:rPr>
      </w:pPr>
    </w:p>
    <w:p>
      <w:pPr>
        <w:ind w:left="204"/>
        <w:spacing w:after="0"/>
        <w:rPr>
          <w:sz w:val="20"/>
          <w:szCs w:val="20"/>
          <w:color w:val="auto"/>
        </w:rPr>
      </w:pPr>
      <w:r>
        <w:rPr>
          <w:rFonts w:ascii="Times New Roman" w:cs="Times New Roman" w:eastAsia="Times New Roman" w:hAnsi="Times New Roman"/>
          <w:sz w:val="16"/>
          <w:szCs w:val="16"/>
          <w:i w:val="1"/>
          <w:iCs w:val="1"/>
          <w:color w:val="auto"/>
        </w:rPr>
        <w:t>AI-native Marketing Services</w:t>
      </w:r>
    </w:p>
    <w:p>
      <w:pPr>
        <w:spacing w:after="0" w:line="126" w:lineRule="exact"/>
        <w:rPr>
          <w:sz w:val="20"/>
          <w:szCs w:val="20"/>
          <w:color w:val="auto"/>
        </w:rPr>
      </w:pPr>
    </w:p>
    <w:p>
      <w:pPr>
        <w:ind w:left="884" w:hanging="391"/>
        <w:spacing w:after="0"/>
        <w:tabs>
          <w:tab w:leader="none" w:pos="88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from AI-native marketing services reached RMB 2.7 billion in the fourth quarter of 2025, up 110% year over year.</w:t>
      </w:r>
    </w:p>
    <w:p>
      <w:pPr>
        <w:spacing w:after="0" w:line="124" w:lineRule="exact"/>
        <w:rPr>
          <w:rFonts w:ascii="Times New Roman" w:cs="Times New Roman" w:eastAsia="Times New Roman" w:hAnsi="Times New Roman"/>
          <w:sz w:val="16"/>
          <w:szCs w:val="16"/>
          <w:color w:val="auto"/>
        </w:rPr>
      </w:pPr>
    </w:p>
    <w:p>
      <w:pPr>
        <w:ind w:left="884" w:hanging="391"/>
        <w:spacing w:after="0"/>
        <w:tabs>
          <w:tab w:leader="none" w:pos="88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Baidu App’s MAUs reached 679 million in December 2025, remaining flat year over year.</w:t>
      </w:r>
    </w:p>
    <w:p>
      <w:pPr>
        <w:spacing w:after="0" w:line="124" w:lineRule="exact"/>
        <w:rPr>
          <w:rFonts w:ascii="Times New Roman" w:cs="Times New Roman" w:eastAsia="Times New Roman" w:hAnsi="Times New Roman"/>
          <w:sz w:val="16"/>
          <w:szCs w:val="16"/>
          <w:color w:val="auto"/>
        </w:rPr>
      </w:pPr>
    </w:p>
    <w:p>
      <w:pPr>
        <w:ind w:left="884" w:hanging="391"/>
        <w:spacing w:after="0"/>
        <w:tabs>
          <w:tab w:leader="none" w:pos="88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ERNIE Assistant’s MAU reached 202 million in December 2025.</w:t>
      </w:r>
    </w:p>
    <w:p>
      <w:pPr>
        <w:spacing w:after="0" w:line="3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Fourth Quarter 2025 Financial Results for Baidu</w:t>
      </w:r>
      <w:r>
        <w:rPr>
          <w:rFonts w:ascii="Times New Roman" w:cs="Times New Roman" w:eastAsia="Times New Roman" w:hAnsi="Times New Roman"/>
          <w:sz w:val="24"/>
          <w:szCs w:val="24"/>
          <w:b w:val="1"/>
          <w:bCs w:val="1"/>
          <w:color w:val="auto"/>
          <w:vertAlign w:val="superscript"/>
        </w:rPr>
        <w:t>3,4,5</w:t>
      </w:r>
    </w:p>
    <w:p>
      <w:pPr>
        <w:spacing w:after="0" w:line="42" w:lineRule="exact"/>
        <w:rPr>
          <w:sz w:val="20"/>
          <w:szCs w:val="20"/>
          <w:color w:val="auto"/>
        </w:rPr>
      </w:pPr>
    </w:p>
    <w:p>
      <w:pPr>
        <w:ind w:left="4" w:right="360"/>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Total revenues </w:t>
      </w:r>
      <w:r>
        <w:rPr>
          <w:rFonts w:ascii="Times New Roman" w:cs="Times New Roman" w:eastAsia="Times New Roman" w:hAnsi="Times New Roman"/>
          <w:sz w:val="16"/>
          <w:szCs w:val="16"/>
          <w:color w:val="auto"/>
        </w:rPr>
        <w:t>were RMB32.7 billion ($4.68 billion), increasing 5% quarter over quarter, primarily due to an increase in Baidu Core AI-powered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6965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595" cy="7620"/>
                    </a:xfrm>
                    <a:prstGeom prst="rect">
                      <a:avLst/>
                    </a:prstGeom>
                    <a:noFill/>
                  </pic:spPr>
                </pic:pic>
              </a:graphicData>
            </a:graphic>
          </wp:anchor>
        </w:drawing>
      </w:r>
    </w:p>
    <w:p>
      <w:pPr>
        <w:spacing w:after="0" w:line="110" w:lineRule="exact"/>
        <w:rPr>
          <w:sz w:val="20"/>
          <w:szCs w:val="20"/>
          <w:color w:val="auto"/>
        </w:rPr>
      </w:pPr>
    </w:p>
    <w:p>
      <w:pPr>
        <w:ind w:left="404" w:right="120" w:hanging="404"/>
        <w:spacing w:after="0" w:line="209" w:lineRule="auto"/>
        <w:tabs>
          <w:tab w:leader="none" w:pos="404"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Starting this quarter, we focused on the quarter-over-quarter fluctuation for the quarterly results to present a more meaningful perspective of our financial information.</w:t>
      </w:r>
    </w:p>
    <w:p>
      <w:pPr>
        <w:spacing w:after="0" w:line="1" w:lineRule="exact"/>
        <w:rPr>
          <w:sz w:val="20"/>
          <w:szCs w:val="20"/>
          <w:color w:val="auto"/>
        </w:rPr>
      </w:pPr>
    </w:p>
    <w:p>
      <w:pPr>
        <w:ind w:left="404" w:right="200" w:hanging="404"/>
        <w:spacing w:after="0" w:line="200" w:lineRule="auto"/>
        <w:tabs>
          <w:tab w:leader="none" w:pos="404"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Unless otherwise noted, RMB to USD was converted at an exchange rate of RMB6.9931 as of December 31, 2025, as set forth in the H.10 statistical release of the Board of Governors of the Federal Reserve System. Translations are provided solely for the convenience of the reader.</w:t>
      </w:r>
    </w:p>
    <w:p>
      <w:pPr>
        <w:spacing w:after="0" w:line="1" w:lineRule="exact"/>
        <w:rPr>
          <w:sz w:val="20"/>
          <w:szCs w:val="20"/>
          <w:color w:val="auto"/>
        </w:rPr>
      </w:pPr>
    </w:p>
    <w:p>
      <w:pPr>
        <w:ind w:left="404" w:right="60" w:hanging="404"/>
        <w:spacing w:after="0" w:line="200" w:lineRule="auto"/>
        <w:tabs>
          <w:tab w:leader="none" w:pos="404"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Non-GAAP measures are defined in the Non-GAAP Financial Measures section (see also “Reconciliations of Non-GAAP Financial Measures to the Nearest Comparable GAAP Measures” for more details).</w:t>
      </w:r>
    </w:p>
    <w:p>
      <w:pPr>
        <w:spacing w:after="0" w:line="12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964"/>
          </w:cols>
          <w:pgMar w:left="916" w:top="259"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5025" cy="36195"/>
                    </a:xfrm>
                    <a:prstGeom prst="rect">
                      <a:avLst/>
                    </a:prstGeom>
                    <a:noFill/>
                  </pic:spPr>
                </pic:pic>
              </a:graphicData>
            </a:graphic>
          </wp:anchor>
        </w:drawing>
        <w:t xml:space="preserve">Cost of revenues </w:t>
      </w:r>
      <w:r>
        <w:rPr>
          <w:rFonts w:ascii="Times New Roman" w:cs="Times New Roman" w:eastAsia="Times New Roman" w:hAnsi="Times New Roman"/>
          <w:sz w:val="16"/>
          <w:szCs w:val="16"/>
          <w:color w:val="auto"/>
        </w:rPr>
        <w:t>was RMB18.3 billion ($2.61 billion), which remained flat quarter over quarter.</w:t>
      </w:r>
    </w:p>
    <w:p>
      <w:pPr>
        <w:spacing w:after="0" w:line="210"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Selling, general and administrative expenses </w:t>
      </w:r>
      <w:r>
        <w:rPr>
          <w:rFonts w:ascii="Times New Roman" w:cs="Times New Roman" w:eastAsia="Times New Roman" w:hAnsi="Times New Roman"/>
          <w:sz w:val="16"/>
          <w:szCs w:val="16"/>
          <w:color w:val="auto"/>
        </w:rPr>
        <w:t>were RMB7.4 billion ($1.06 billion), increasing 12% quarter over quarter, primarily due to an increase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expected credit losses.</w:t>
      </w:r>
    </w:p>
    <w:p>
      <w:pPr>
        <w:spacing w:after="0" w:line="128"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Research and development expenses </w:t>
      </w:r>
      <w:r>
        <w:rPr>
          <w:rFonts w:ascii="Times New Roman" w:cs="Times New Roman" w:eastAsia="Times New Roman" w:hAnsi="Times New Roman"/>
          <w:sz w:val="16"/>
          <w:szCs w:val="16"/>
          <w:color w:val="auto"/>
        </w:rPr>
        <w:t>were RMB5.6 billion ($800 million), increasing 8% quarter over quarter, primarily due to one-time employee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severance costs to improve efficiency.</w:t>
      </w:r>
    </w:p>
    <w:p>
      <w:pPr>
        <w:spacing w:after="0" w:line="128"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Operating income </w:t>
      </w:r>
      <w:r>
        <w:rPr>
          <w:rFonts w:ascii="Times New Roman" w:cs="Times New Roman" w:eastAsia="Times New Roman" w:hAnsi="Times New Roman"/>
          <w:sz w:val="16"/>
          <w:szCs w:val="16"/>
          <w:color w:val="auto"/>
        </w:rPr>
        <w:t>was RMB1.5 billion ($212 million) and</w:t>
      </w:r>
      <w:r>
        <w:rPr>
          <w:rFonts w:ascii="Times New Roman" w:cs="Times New Roman" w:eastAsia="Times New Roman" w:hAnsi="Times New Roman"/>
          <w:sz w:val="16"/>
          <w:szCs w:val="16"/>
          <w:b w:val="1"/>
          <w:bCs w:val="1"/>
          <w:color w:val="auto"/>
        </w:rPr>
        <w:t xml:space="preserve"> operating margin </w:t>
      </w:r>
      <w:r>
        <w:rPr>
          <w:rFonts w:ascii="Times New Roman" w:cs="Times New Roman" w:eastAsia="Times New Roman" w:hAnsi="Times New Roman"/>
          <w:sz w:val="16"/>
          <w:szCs w:val="16"/>
          <w:color w:val="auto"/>
        </w:rPr>
        <w:t>was 5%.</w:t>
      </w:r>
      <w:r>
        <w:rPr>
          <w:rFonts w:ascii="Times New Roman" w:cs="Times New Roman" w:eastAsia="Times New Roman" w:hAnsi="Times New Roman"/>
          <w:sz w:val="16"/>
          <w:szCs w:val="16"/>
          <w:b w:val="1"/>
          <w:bCs w:val="1"/>
          <w:color w:val="auto"/>
        </w:rPr>
        <w:t xml:space="preserve"> Non-GAAP operating income </w:t>
      </w:r>
      <w:r>
        <w:rPr>
          <w:rFonts w:ascii="Times New Roman" w:cs="Times New Roman" w:eastAsia="Times New Roman" w:hAnsi="Times New Roman"/>
          <w:sz w:val="16"/>
          <w:szCs w:val="16"/>
          <w:color w:val="auto"/>
        </w:rPr>
        <w:t>was RMB3.0 billion ($424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million) and </w:t>
      </w:r>
      <w:r>
        <w:rPr>
          <w:rFonts w:ascii="Times New Roman" w:cs="Times New Roman" w:eastAsia="Times New Roman" w:hAnsi="Times New Roman"/>
          <w:sz w:val="16"/>
          <w:szCs w:val="16"/>
          <w:b w:val="1"/>
          <w:bCs w:val="1"/>
          <w:color w:val="auto"/>
        </w:rPr>
        <w:t>non-GAAP operating margin</w:t>
      </w:r>
      <w:r>
        <w:rPr>
          <w:rFonts w:ascii="Times New Roman" w:cs="Times New Roman" w:eastAsia="Times New Roman" w:hAnsi="Times New Roman"/>
          <w:sz w:val="16"/>
          <w:szCs w:val="16"/>
          <w:color w:val="auto"/>
        </w:rPr>
        <w:t xml:space="preserve"> was 9%.</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Total other income, net </w:t>
      </w:r>
      <w:r>
        <w:rPr>
          <w:rFonts w:ascii="Times New Roman" w:cs="Times New Roman" w:eastAsia="Times New Roman" w:hAnsi="Times New Roman"/>
          <w:sz w:val="16"/>
          <w:szCs w:val="16"/>
          <w:color w:val="auto"/>
        </w:rPr>
        <w:t>was RMB1.2 billion ($178 million), compared to RMB1.9 billion last quarter.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Income tax expense </w:t>
      </w:r>
      <w:r>
        <w:rPr>
          <w:rFonts w:ascii="Times New Roman" w:cs="Times New Roman" w:eastAsia="Times New Roman" w:hAnsi="Times New Roman"/>
          <w:sz w:val="16"/>
          <w:szCs w:val="16"/>
          <w:color w:val="auto"/>
        </w:rPr>
        <w:t>was RMB1.0 billion ($147 million), compared to income tax benefit of RMB1.8 billion last quarter.</w:t>
      </w:r>
    </w:p>
    <w:p>
      <w:pPr>
        <w:spacing w:after="0" w:line="210"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Net income attributable to Baidu </w:t>
      </w:r>
      <w:r>
        <w:rPr>
          <w:rFonts w:ascii="Times New Roman" w:cs="Times New Roman" w:eastAsia="Times New Roman" w:hAnsi="Times New Roman"/>
          <w:sz w:val="16"/>
          <w:szCs w:val="16"/>
          <w:color w:val="auto"/>
        </w:rPr>
        <w:t>was RMB1.8 billion ($255 million),</w:t>
      </w:r>
      <w:r>
        <w:rPr>
          <w:rFonts w:ascii="Times New Roman" w:cs="Times New Roman" w:eastAsia="Times New Roman" w:hAnsi="Times New Roman"/>
          <w:sz w:val="16"/>
          <w:szCs w:val="16"/>
          <w:b w:val="1"/>
          <w:bCs w:val="1"/>
          <w:color w:val="auto"/>
        </w:rPr>
        <w:t xml:space="preserve"> net margin for Baidu </w:t>
      </w:r>
      <w:r>
        <w:rPr>
          <w:rFonts w:ascii="Times New Roman" w:cs="Times New Roman" w:eastAsia="Times New Roman" w:hAnsi="Times New Roman"/>
          <w:sz w:val="16"/>
          <w:szCs w:val="16"/>
          <w:color w:val="auto"/>
        </w:rPr>
        <w:t>was 5% and</w:t>
      </w:r>
      <w:r>
        <w:rPr>
          <w:rFonts w:ascii="Times New Roman" w:cs="Times New Roman" w:eastAsia="Times New Roman" w:hAnsi="Times New Roman"/>
          <w:sz w:val="16"/>
          <w:szCs w:val="16"/>
          <w:b w:val="1"/>
          <w:bCs w:val="1"/>
          <w:color w:val="auto"/>
        </w:rPr>
        <w:t xml:space="preserve"> diluted earnings per ADS </w:t>
      </w:r>
      <w:r>
        <w:rPr>
          <w:rFonts w:ascii="Times New Roman" w:cs="Times New Roman" w:eastAsia="Times New Roman" w:hAnsi="Times New Roman"/>
          <w:sz w:val="16"/>
          <w:szCs w:val="16"/>
          <w:color w:val="auto"/>
        </w:rPr>
        <w:t>was RMB3.71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($0.53). </w:t>
      </w:r>
      <w:r>
        <w:rPr>
          <w:rFonts w:ascii="Times New Roman" w:cs="Times New Roman" w:eastAsia="Times New Roman" w:hAnsi="Times New Roman"/>
          <w:sz w:val="16"/>
          <w:szCs w:val="16"/>
          <w:b w:val="1"/>
          <w:bCs w:val="1"/>
          <w:color w:val="auto"/>
        </w:rPr>
        <w:t>Non-GAAP net income attributable to Baidu</w:t>
      </w:r>
      <w:r>
        <w:rPr>
          <w:rFonts w:ascii="Times New Roman" w:cs="Times New Roman" w:eastAsia="Times New Roman" w:hAnsi="Times New Roman"/>
          <w:sz w:val="16"/>
          <w:szCs w:val="16"/>
          <w:color w:val="auto"/>
        </w:rPr>
        <w:t xml:space="preserve"> was RMB3.9 billion ($559 million), </w:t>
      </w:r>
      <w:r>
        <w:rPr>
          <w:rFonts w:ascii="Times New Roman" w:cs="Times New Roman" w:eastAsia="Times New Roman" w:hAnsi="Times New Roman"/>
          <w:sz w:val="16"/>
          <w:szCs w:val="16"/>
          <w:b w:val="1"/>
          <w:bCs w:val="1"/>
          <w:color w:val="auto"/>
        </w:rPr>
        <w:t>non-GAAP net margin for Baidu</w:t>
      </w:r>
      <w:r>
        <w:rPr>
          <w:rFonts w:ascii="Times New Roman" w:cs="Times New Roman" w:eastAsia="Times New Roman" w:hAnsi="Times New Roman"/>
          <w:sz w:val="16"/>
          <w:szCs w:val="16"/>
          <w:color w:val="auto"/>
        </w:rPr>
        <w:t xml:space="preserve"> was 12% and </w:t>
      </w:r>
      <w:r>
        <w:rPr>
          <w:rFonts w:ascii="Times New Roman" w:cs="Times New Roman" w:eastAsia="Times New Roman" w:hAnsi="Times New Roman"/>
          <w:sz w:val="16"/>
          <w:szCs w:val="16"/>
          <w:b w:val="1"/>
          <w:bCs w:val="1"/>
          <w:color w:val="auto"/>
        </w:rPr>
        <w:t xml:space="preserve">non-GAAP diluted earnings per ADS </w:t>
      </w:r>
      <w:r>
        <w:rPr>
          <w:rFonts w:ascii="Times New Roman" w:cs="Times New Roman" w:eastAsia="Times New Roman" w:hAnsi="Times New Roman"/>
          <w:sz w:val="16"/>
          <w:szCs w:val="16"/>
          <w:color w:val="auto"/>
        </w:rPr>
        <w:t>was RMB10.62 ($1.52).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16"/>
          <w:szCs w:val="16"/>
          <w:color w:val="auto"/>
        </w:rPr>
        <w:t>was RMB4.7 billion ($676 million) and</w:t>
      </w:r>
      <w:r>
        <w:rPr>
          <w:rFonts w:ascii="Times New Roman" w:cs="Times New Roman" w:eastAsia="Times New Roman" w:hAnsi="Times New Roman"/>
          <w:sz w:val="16"/>
          <w:szCs w:val="16"/>
          <w:b w:val="1"/>
          <w:bCs w:val="1"/>
          <w:color w:val="auto"/>
        </w:rPr>
        <w:t xml:space="preserve"> adjusted EBITDA margin </w:t>
      </w:r>
      <w:r>
        <w:rPr>
          <w:rFonts w:ascii="Times New Roman" w:cs="Times New Roman" w:eastAsia="Times New Roman" w:hAnsi="Times New Roman"/>
          <w:sz w:val="16"/>
          <w:szCs w:val="16"/>
          <w:color w:val="auto"/>
        </w:rPr>
        <w:t>was 14%.</w:t>
      </w:r>
    </w:p>
    <w:p>
      <w:pPr>
        <w:spacing w:after="0" w:line="21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 xml:space="preserve">We define total cash and investments as cash, cash equivalents, restricted cash, short-term investments, net, long-term time deposits and held-to-maturity investments, and adjusted long-term investments. As of December 31, 2025, </w:t>
      </w:r>
      <w:r>
        <w:rPr>
          <w:rFonts w:ascii="Times New Roman" w:cs="Times New Roman" w:eastAsia="Times New Roman" w:hAnsi="Times New Roman"/>
          <w:sz w:val="16"/>
          <w:szCs w:val="16"/>
          <w:b w:val="1"/>
          <w:bCs w:val="1"/>
          <w:color w:val="auto"/>
        </w:rPr>
        <w:t>total cash and investments</w:t>
      </w:r>
      <w:r>
        <w:rPr>
          <w:rFonts w:ascii="Times New Roman" w:cs="Times New Roman" w:eastAsia="Times New Roman" w:hAnsi="Times New Roman"/>
          <w:sz w:val="16"/>
          <w:szCs w:val="16"/>
          <w:color w:val="auto"/>
        </w:rPr>
        <w:t xml:space="preserve"> were RMB294.1 billion ($42.06 billion). </w:t>
      </w:r>
      <w:r>
        <w:rPr>
          <w:rFonts w:ascii="Times New Roman" w:cs="Times New Roman" w:eastAsia="Times New Roman" w:hAnsi="Times New Roman"/>
          <w:sz w:val="16"/>
          <w:szCs w:val="16"/>
          <w:b w:val="1"/>
          <w:bCs w:val="1"/>
          <w:color w:val="auto"/>
        </w:rPr>
        <w:t xml:space="preserve">Operating cash flow </w:t>
      </w:r>
      <w:r>
        <w:rPr>
          <w:rFonts w:ascii="Times New Roman" w:cs="Times New Roman" w:eastAsia="Times New Roman" w:hAnsi="Times New Roman"/>
          <w:sz w:val="16"/>
          <w:szCs w:val="16"/>
          <w:color w:val="auto"/>
        </w:rPr>
        <w:t>was RMB2.6 billion ($373 million).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040"/>
          </w:cols>
          <w:pgMar w:left="920" w:top="255" w:right="9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5025" cy="36195"/>
                    </a:xfrm>
                    <a:prstGeom prst="rect">
                      <a:avLst/>
                    </a:prstGeom>
                    <a:noFill/>
                  </pic:spPr>
                </pic:pic>
              </a:graphicData>
            </a:graphic>
          </wp:anchor>
        </w:drawing>
        <w:t>Fiscal Year 2025 Results for Baidu</w:t>
      </w:r>
      <w:r>
        <w:rPr>
          <w:rFonts w:ascii="Times New Roman" w:cs="Times New Roman" w:eastAsia="Times New Roman" w:hAnsi="Times New Roman"/>
          <w:sz w:val="24"/>
          <w:szCs w:val="24"/>
          <w:b w:val="1"/>
          <w:bCs w:val="1"/>
          <w:color w:val="auto"/>
          <w:vertAlign w:val="superscript"/>
        </w:rPr>
        <w:t>4,5</w:t>
      </w:r>
    </w:p>
    <w:p>
      <w:pPr>
        <w:spacing w:after="0" w:line="42" w:lineRule="exact"/>
        <w:rPr>
          <w:sz w:val="20"/>
          <w:szCs w:val="20"/>
          <w:color w:val="auto"/>
        </w:rPr>
      </w:pPr>
    </w:p>
    <w:p>
      <w:pPr>
        <w:ind w:left="4" w:right="120"/>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Total revenues </w:t>
      </w:r>
      <w:r>
        <w:rPr>
          <w:rFonts w:ascii="Times New Roman" w:cs="Times New Roman" w:eastAsia="Times New Roman" w:hAnsi="Times New Roman"/>
          <w:sz w:val="16"/>
          <w:szCs w:val="16"/>
          <w:color w:val="auto"/>
        </w:rPr>
        <w:t>were RMB129.1 billion ($18.46 billion), decreasing 3% year over year, primarily due to a decrease in Legacy Business, partially offset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an increase in Baidu Core AI-powered Business.</w:t>
      </w:r>
    </w:p>
    <w:p>
      <w:pPr>
        <w:spacing w:after="0" w:line="151" w:lineRule="exact"/>
        <w:rPr>
          <w:sz w:val="20"/>
          <w:szCs w:val="20"/>
          <w:color w:val="auto"/>
        </w:rPr>
      </w:pPr>
    </w:p>
    <w:p>
      <w:pPr>
        <w:ind w:left="4" w:right="120"/>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Cost of revenues </w:t>
      </w:r>
      <w:r>
        <w:rPr>
          <w:rFonts w:ascii="Times New Roman" w:cs="Times New Roman" w:eastAsia="Times New Roman" w:hAnsi="Times New Roman"/>
          <w:sz w:val="16"/>
          <w:szCs w:val="16"/>
          <w:color w:val="auto"/>
        </w:rPr>
        <w:t>was RMB72.4 billion ($10.36 billion), increasing 10% year over year, primarily due to an increase in costs related to Baidu Core AI-powered business.</w:t>
      </w:r>
    </w:p>
    <w:p>
      <w:pPr>
        <w:spacing w:after="0" w:line="128" w:lineRule="exact"/>
        <w:rPr>
          <w:sz w:val="20"/>
          <w:szCs w:val="20"/>
          <w:color w:val="auto"/>
        </w:rPr>
      </w:pPr>
    </w:p>
    <w:p>
      <w:pPr>
        <w:ind w:left="4" w:right="360"/>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Selling, general and administrative expenses </w:t>
      </w:r>
      <w:r>
        <w:rPr>
          <w:rFonts w:ascii="Times New Roman" w:cs="Times New Roman" w:eastAsia="Times New Roman" w:hAnsi="Times New Roman"/>
          <w:sz w:val="16"/>
          <w:szCs w:val="16"/>
          <w:color w:val="auto"/>
        </w:rPr>
        <w:t>were RMB25.8 billion ($3.70 billion), increasing 9% year over year, primarily due to an increase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channel spending expenses and expected credit losses.</w:t>
      </w:r>
    </w:p>
    <w:p>
      <w:pPr>
        <w:spacing w:after="0" w:line="128" w:lineRule="exact"/>
        <w:rPr>
          <w:sz w:val="20"/>
          <w:szCs w:val="20"/>
          <w:color w:val="auto"/>
        </w:rPr>
      </w:pPr>
    </w:p>
    <w:p>
      <w:pPr>
        <w:ind w:left="4" w:right="220"/>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Research and development expenses </w:t>
      </w:r>
      <w:r>
        <w:rPr>
          <w:rFonts w:ascii="Times New Roman" w:cs="Times New Roman" w:eastAsia="Times New Roman" w:hAnsi="Times New Roman"/>
          <w:sz w:val="16"/>
          <w:szCs w:val="16"/>
          <w:color w:val="auto"/>
        </w:rPr>
        <w:t>were RMB20.4 billion ($2.92 billion), decreasing 8% year over year, primarily due to a decrease in personnel-related expenses.</w:t>
      </w:r>
    </w:p>
    <w:p>
      <w:pPr>
        <w:spacing w:after="0" w:line="1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 xml:space="preserve">Impairment of long-lived assets </w:t>
      </w:r>
      <w:r>
        <w:rPr>
          <w:rFonts w:ascii="Times New Roman" w:cs="Times New Roman" w:eastAsia="Times New Roman" w:hAnsi="Times New Roman"/>
          <w:sz w:val="16"/>
          <w:szCs w:val="16"/>
          <w:color w:val="auto"/>
        </w:rPr>
        <w:t>was RMB16.2 billion ($2.32 billion), attributable to an impairment loss of Core asset group.</w:t>
      </w:r>
    </w:p>
    <w:p>
      <w:pPr>
        <w:spacing w:after="0" w:line="210" w:lineRule="exact"/>
        <w:rPr>
          <w:sz w:val="20"/>
          <w:szCs w:val="20"/>
          <w:color w:val="auto"/>
        </w:rPr>
      </w:pPr>
    </w:p>
    <w:p>
      <w:pPr>
        <w:ind w:left="4" w:right="180"/>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Operating loss </w:t>
      </w:r>
      <w:r>
        <w:rPr>
          <w:rFonts w:ascii="Times New Roman" w:cs="Times New Roman" w:eastAsia="Times New Roman" w:hAnsi="Times New Roman"/>
          <w:sz w:val="16"/>
          <w:szCs w:val="16"/>
          <w:color w:val="auto"/>
        </w:rPr>
        <w:t>was RMB5.8 billion ($833 million) and operating loss margin was 5%. Excluding impairment of long-lived assets,</w:t>
      </w:r>
      <w:r>
        <w:rPr>
          <w:rFonts w:ascii="Times New Roman" w:cs="Times New Roman" w:eastAsia="Times New Roman" w:hAnsi="Times New Roman"/>
          <w:sz w:val="16"/>
          <w:szCs w:val="16"/>
          <w:b w:val="1"/>
          <w:bCs w:val="1"/>
          <w:color w:val="auto"/>
        </w:rPr>
        <w:t xml:space="preserve"> operating income </w:t>
      </w:r>
      <w:r>
        <w:rPr>
          <w:rFonts w:ascii="Times New Roman" w:cs="Times New Roman" w:eastAsia="Times New Roman" w:hAnsi="Times New Roman"/>
          <w:sz w:val="16"/>
          <w:szCs w:val="16"/>
          <w:color w:val="auto"/>
        </w:rPr>
        <w:t xml:space="preserve">was RMB10.4 billion ($1.48 billion). </w:t>
      </w:r>
      <w:r>
        <w:rPr>
          <w:rFonts w:ascii="Times New Roman" w:cs="Times New Roman" w:eastAsia="Times New Roman" w:hAnsi="Times New Roman"/>
          <w:sz w:val="16"/>
          <w:szCs w:val="16"/>
          <w:b w:val="1"/>
          <w:bCs w:val="1"/>
          <w:color w:val="auto"/>
        </w:rPr>
        <w:t>Non-GAAP operating income</w:t>
      </w:r>
      <w:r>
        <w:rPr>
          <w:rFonts w:ascii="Times New Roman" w:cs="Times New Roman" w:eastAsia="Times New Roman" w:hAnsi="Times New Roman"/>
          <w:sz w:val="16"/>
          <w:szCs w:val="16"/>
          <w:color w:val="auto"/>
        </w:rPr>
        <w:t xml:space="preserve"> was RMB15.0 billion ($2.14 billion) and operating margin was 12%.</w:t>
      </w:r>
    </w:p>
    <w:p>
      <w:pPr>
        <w:spacing w:after="0" w:line="1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 xml:space="preserve">Total other income, net </w:t>
      </w:r>
      <w:r>
        <w:rPr>
          <w:rFonts w:ascii="Times New Roman" w:cs="Times New Roman" w:eastAsia="Times New Roman" w:hAnsi="Times New Roman"/>
          <w:sz w:val="16"/>
          <w:szCs w:val="16"/>
          <w:color w:val="auto"/>
        </w:rPr>
        <w:t>was RMB12.5 billion ($1.79 billion), compared to RMB7.4 billion in the same period last year.</w:t>
      </w: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 xml:space="preserve">Income tax expense </w:t>
      </w:r>
      <w:r>
        <w:rPr>
          <w:rFonts w:ascii="Times New Roman" w:cs="Times New Roman" w:eastAsia="Times New Roman" w:hAnsi="Times New Roman"/>
          <w:sz w:val="16"/>
          <w:szCs w:val="16"/>
          <w:color w:val="auto"/>
        </w:rPr>
        <w:t>was RMB1.3 billion ($180 million), compared to RMB4.4 billion in the same period last year.</w:t>
      </w:r>
    </w:p>
    <w:p>
      <w:pPr>
        <w:spacing w:after="0" w:line="210" w:lineRule="exact"/>
        <w:rPr>
          <w:sz w:val="20"/>
          <w:szCs w:val="20"/>
          <w:color w:val="auto"/>
        </w:rPr>
      </w:pPr>
    </w:p>
    <w:p>
      <w:pPr>
        <w:jc w:val="both"/>
        <w:ind w:left="4"/>
        <w:spacing w:after="0" w:line="272" w:lineRule="auto"/>
        <w:rPr>
          <w:sz w:val="20"/>
          <w:szCs w:val="20"/>
          <w:color w:val="auto"/>
        </w:rPr>
      </w:pPr>
      <w:r>
        <w:rPr>
          <w:rFonts w:ascii="Times New Roman" w:cs="Times New Roman" w:eastAsia="Times New Roman" w:hAnsi="Times New Roman"/>
          <w:sz w:val="16"/>
          <w:szCs w:val="16"/>
          <w:b w:val="1"/>
          <w:bCs w:val="1"/>
          <w:color w:val="auto"/>
        </w:rPr>
        <w:t xml:space="preserve">Net income attributable to Baidu </w:t>
      </w:r>
      <w:r>
        <w:rPr>
          <w:rFonts w:ascii="Times New Roman" w:cs="Times New Roman" w:eastAsia="Times New Roman" w:hAnsi="Times New Roman"/>
          <w:sz w:val="16"/>
          <w:szCs w:val="16"/>
          <w:color w:val="auto"/>
        </w:rPr>
        <w:t>was RMB5.6 billion ($799 million),</w:t>
      </w:r>
      <w:r>
        <w:rPr>
          <w:rFonts w:ascii="Times New Roman" w:cs="Times New Roman" w:eastAsia="Times New Roman" w:hAnsi="Times New Roman"/>
          <w:sz w:val="16"/>
          <w:szCs w:val="16"/>
          <w:b w:val="1"/>
          <w:bCs w:val="1"/>
          <w:color w:val="auto"/>
        </w:rPr>
        <w:t xml:space="preserve"> net margin for Baidu </w:t>
      </w:r>
      <w:r>
        <w:rPr>
          <w:rFonts w:ascii="Times New Roman" w:cs="Times New Roman" w:eastAsia="Times New Roman" w:hAnsi="Times New Roman"/>
          <w:sz w:val="16"/>
          <w:szCs w:val="16"/>
          <w:color w:val="auto"/>
        </w:rPr>
        <w:t>was 4% and</w:t>
      </w:r>
      <w:r>
        <w:rPr>
          <w:rFonts w:ascii="Times New Roman" w:cs="Times New Roman" w:eastAsia="Times New Roman" w:hAnsi="Times New Roman"/>
          <w:sz w:val="16"/>
          <w:szCs w:val="16"/>
          <w:b w:val="1"/>
          <w:bCs w:val="1"/>
          <w:color w:val="auto"/>
        </w:rPr>
        <w:t xml:space="preserve"> diluted earnings per ADS </w:t>
      </w:r>
      <w:r>
        <w:rPr>
          <w:rFonts w:ascii="Times New Roman" w:cs="Times New Roman" w:eastAsia="Times New Roman" w:hAnsi="Times New Roman"/>
          <w:sz w:val="16"/>
          <w:szCs w:val="16"/>
          <w:color w:val="auto"/>
        </w:rPr>
        <w:t>was RMB11.78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($1.68). Excluding the impact of impairment of long-lived assets, </w:t>
      </w:r>
      <w:r>
        <w:rPr>
          <w:rFonts w:ascii="Times New Roman" w:cs="Times New Roman" w:eastAsia="Times New Roman" w:hAnsi="Times New Roman"/>
          <w:sz w:val="16"/>
          <w:szCs w:val="16"/>
          <w:b w:val="1"/>
          <w:bCs w:val="1"/>
          <w:color w:val="auto"/>
        </w:rPr>
        <w:t>net income attributable to Baidu</w:t>
      </w:r>
      <w:r>
        <w:rPr>
          <w:rFonts w:ascii="Times New Roman" w:cs="Times New Roman" w:eastAsia="Times New Roman" w:hAnsi="Times New Roman"/>
          <w:sz w:val="16"/>
          <w:szCs w:val="16"/>
          <w:color w:val="auto"/>
        </w:rPr>
        <w:t xml:space="preserve"> was RMB19.4 billion ($2.77 billion). </w:t>
      </w:r>
      <w:r>
        <w:rPr>
          <w:rFonts w:ascii="Times New Roman" w:cs="Times New Roman" w:eastAsia="Times New Roman" w:hAnsi="Times New Roman"/>
          <w:sz w:val="16"/>
          <w:szCs w:val="16"/>
          <w:b w:val="1"/>
          <w:bCs w:val="1"/>
          <w:color w:val="auto"/>
        </w:rPr>
        <w:t>Non-GAAP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net income attributable to Baidu </w:t>
      </w:r>
      <w:r>
        <w:rPr>
          <w:rFonts w:ascii="Times New Roman" w:cs="Times New Roman" w:eastAsia="Times New Roman" w:hAnsi="Times New Roman"/>
          <w:sz w:val="16"/>
          <w:szCs w:val="16"/>
          <w:color w:val="auto"/>
        </w:rPr>
        <w:t>was RMB18.9 billion ($2.71 billion),</w:t>
      </w:r>
      <w:r>
        <w:rPr>
          <w:rFonts w:ascii="Times New Roman" w:cs="Times New Roman" w:eastAsia="Times New Roman" w:hAnsi="Times New Roman"/>
          <w:sz w:val="16"/>
          <w:szCs w:val="16"/>
          <w:b w:val="1"/>
          <w:bCs w:val="1"/>
          <w:color w:val="auto"/>
        </w:rPr>
        <w:t xml:space="preserve"> non-GAAP net margin for Baidu </w:t>
      </w:r>
      <w:r>
        <w:rPr>
          <w:rFonts w:ascii="Times New Roman" w:cs="Times New Roman" w:eastAsia="Times New Roman" w:hAnsi="Times New Roman"/>
          <w:sz w:val="16"/>
          <w:szCs w:val="16"/>
          <w:color w:val="auto"/>
        </w:rPr>
        <w:t>was 15% and</w:t>
      </w:r>
      <w:r>
        <w:rPr>
          <w:rFonts w:ascii="Times New Roman" w:cs="Times New Roman" w:eastAsia="Times New Roman" w:hAnsi="Times New Roman"/>
          <w:sz w:val="16"/>
          <w:szCs w:val="16"/>
          <w:b w:val="1"/>
          <w:bCs w:val="1"/>
          <w:color w:val="auto"/>
        </w:rPr>
        <w:t xml:space="preserve"> non-GAAP diluted earnings per ADS </w:t>
      </w:r>
      <w:r>
        <w:rPr>
          <w:rFonts w:ascii="Times New Roman" w:cs="Times New Roman" w:eastAsia="Times New Roman" w:hAnsi="Times New Roman"/>
          <w:sz w:val="16"/>
          <w:szCs w:val="16"/>
          <w:color w:val="auto"/>
        </w:rPr>
        <w:t>was RMB53.41 ($7.64).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965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595" cy="7620"/>
                    </a:xfrm>
                    <a:prstGeom prst="rect">
                      <a:avLst/>
                    </a:prstGeom>
                    <a:noFill/>
                  </pic:spPr>
                </pic:pic>
              </a:graphicData>
            </a:graphic>
          </wp:anchor>
        </w:drawing>
      </w:r>
    </w:p>
    <w:p>
      <w:pPr>
        <w:spacing w:after="0" w:line="333" w:lineRule="exact"/>
        <w:rPr>
          <w:sz w:val="20"/>
          <w:szCs w:val="20"/>
          <w:color w:val="auto"/>
        </w:rPr>
      </w:pPr>
    </w:p>
    <w:p>
      <w:pPr>
        <w:ind w:left="204" w:right="80" w:hanging="204"/>
        <w:spacing w:after="0" w:line="209" w:lineRule="auto"/>
        <w:tabs>
          <w:tab w:leader="none" w:pos="204"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Unless otherwise noted, RMB to USD was converted at an exchange rate of RMB6.9931 as of December 31, 2025, as set forth in the H.10 statistical release of the Board of Governors of the Federal Reserve System. Translations are provided solely for the convenience of the reader.</w:t>
      </w:r>
    </w:p>
    <w:p>
      <w:pPr>
        <w:spacing w:after="0" w:line="1" w:lineRule="exact"/>
        <w:rPr>
          <w:sz w:val="20"/>
          <w:szCs w:val="20"/>
          <w:color w:val="auto"/>
        </w:rPr>
      </w:pPr>
    </w:p>
    <w:p>
      <w:pPr>
        <w:ind w:left="204" w:right="80" w:hanging="204"/>
        <w:spacing w:after="0" w:line="200" w:lineRule="auto"/>
        <w:tabs>
          <w:tab w:leader="none" w:pos="204"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Non-GAAP measures are defined in the Non-GAAP Financial Measures section (see also “Reconciliations of Non-GAAP Financial Measures to the Nearest Comparable GAAP Measures” for more details).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044"/>
          </w:cols>
          <w:pgMar w:left="916" w:top="255" w:right="9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5025" cy="36195"/>
                    </a:xfrm>
                    <a:prstGeom prst="rect">
                      <a:avLst/>
                    </a:prstGeom>
                    <a:noFill/>
                  </pic:spPr>
                </pic:pic>
              </a:graphicData>
            </a:graphic>
          </wp:anchor>
        </w:drawing>
        <w:t xml:space="preserve">Adjusted EBITDA </w:t>
      </w:r>
      <w:r>
        <w:rPr>
          <w:rFonts w:ascii="Times New Roman" w:cs="Times New Roman" w:eastAsia="Times New Roman" w:hAnsi="Times New Roman"/>
          <w:sz w:val="16"/>
          <w:szCs w:val="16"/>
          <w:color w:val="auto"/>
        </w:rPr>
        <w:t>was RMB22.9 billion ($3.27 billion) and</w:t>
      </w:r>
      <w:r>
        <w:rPr>
          <w:rFonts w:ascii="Times New Roman" w:cs="Times New Roman" w:eastAsia="Times New Roman" w:hAnsi="Times New Roman"/>
          <w:sz w:val="16"/>
          <w:szCs w:val="16"/>
          <w:b w:val="1"/>
          <w:bCs w:val="1"/>
          <w:color w:val="auto"/>
        </w:rPr>
        <w:t xml:space="preserve"> adjusted EBITDA margin </w:t>
      </w:r>
      <w:r>
        <w:rPr>
          <w:rFonts w:ascii="Times New Roman" w:cs="Times New Roman" w:eastAsia="Times New Roman" w:hAnsi="Times New Roman"/>
          <w:sz w:val="16"/>
          <w:szCs w:val="16"/>
          <w:color w:val="auto"/>
        </w:rPr>
        <w:t>was 18%.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Operating cash flow </w:t>
      </w:r>
      <w:r>
        <w:rPr>
          <w:rFonts w:ascii="Times New Roman" w:cs="Times New Roman" w:eastAsia="Times New Roman" w:hAnsi="Times New Roman"/>
          <w:sz w:val="16"/>
          <w:szCs w:val="16"/>
          <w:color w:val="auto"/>
        </w:rPr>
        <w:t>was negative RMB3.0 billion (negative $431 million), which remained positive for the past two consecutive quarters.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detailed financial information of Baidu General Business and iQIYI, please see the appended financial tables.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Baidu’s management will hold an earnings conference call at 7:30 AM on Feb 26, 2026, U.S. Eastern Time (8:30 PM on Feb 26, 2026, Beijing Time).</w:t>
      </w:r>
    </w:p>
    <w:p>
      <w:pPr>
        <w:spacing w:after="0" w:line="21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Please register in advance of the conference call using the link provided below. It will automatically direct you to the registration page of “Baidu Inc. Q4 2025 Earnings Conference Call”. Please follow the steps to enter your registration details, then click “Register”. Upon registering, you will then be provided with the dial-in number, the passcode, and your unique access PIN. This information will also be emailed to you as a calendar invite.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pre-registration, please click: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https://s1.c-conf.com/diamondpass/10052617-fv4jhm.html</w:t>
      </w:r>
    </w:p>
    <w:p>
      <w:pPr>
        <w:spacing w:after="0" w:line="193" w:lineRule="exact"/>
        <w:rPr>
          <w:sz w:val="20"/>
          <w:szCs w:val="20"/>
          <w:color w:val="auto"/>
        </w:rPr>
      </w:pPr>
    </w:p>
    <w:p>
      <w:pPr>
        <w:ind w:right="420"/>
        <w:spacing w:after="0" w:line="296" w:lineRule="auto"/>
        <w:rPr>
          <w:sz w:val="20"/>
          <w:szCs w:val="20"/>
          <w:color w:val="auto"/>
        </w:rPr>
      </w:pPr>
      <w:r>
        <w:rPr>
          <w:rFonts w:ascii="Times New Roman" w:cs="Times New Roman" w:eastAsia="Times New Roman" w:hAnsi="Times New Roman"/>
          <w:sz w:val="16"/>
          <w:szCs w:val="16"/>
          <w:color w:val="auto"/>
        </w:rPr>
        <w:t>In the 10 minutes prior to the call start time, you may use the conference access information (including dial-in number(s), the passcode and unique access PIN) provided in the calendar invite that you have received following your pre-registration.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Additionally, a live and archived webcast of this conference call will be available at </w:t>
      </w:r>
      <w:r>
        <w:rPr>
          <w:rFonts w:ascii="Times New Roman" w:cs="Times New Roman" w:eastAsia="Times New Roman" w:hAnsi="Times New Roman"/>
          <w:sz w:val="16"/>
          <w:szCs w:val="16"/>
          <w:u w:val="single" w:color="auto"/>
          <w:color w:val="auto"/>
        </w:rPr>
        <w:t>https://ir.baidu.com</w:t>
      </w:r>
      <w:r>
        <w:rPr>
          <w:rFonts w:ascii="Times New Roman" w:cs="Times New Roman" w:eastAsia="Times New Roman" w:hAnsi="Times New Roman"/>
          <w:sz w:val="16"/>
          <w:szCs w:val="16"/>
          <w:color w:val="auto"/>
        </w:rPr>
        <w: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Baidu</w:t>
      </w:r>
    </w:p>
    <w:p>
      <w:pPr>
        <w:spacing w:after="0" w:line="116"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6"/>
          <w:szCs w:val="16"/>
          <w:color w:val="auto"/>
        </w:rPr>
        <w:t>Founded in 2000, Baidu’s mission is to make the complicated world simpler through technology. Baidu is a leading AI company with strong Internet foundation, trading on NASDAQ under “BIDU” and HKEX under “9888”. One Baidu ADS represents eight Class A ordinary shares.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 Relations, Baidu,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 +86-10-5992-8888</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ir@baidu.com</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040"/>
          </w:cols>
          <w:pgMar w:left="920" w:top="255" w:right="9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5025" cy="36195"/>
                    </a:xfrm>
                    <a:prstGeom prst="rect">
                      <a:avLst/>
                    </a:prstGeom>
                    <a:noFill/>
                  </pic:spPr>
                </pic:pic>
              </a:graphicData>
            </a:graphic>
          </wp:anchor>
        </w:drawing>
        <w:t>Safe Harbor Statement</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Baidu’s and other parties’ strategic and operational plans, contain forward-looking statements. Baidu may also make written or oral forward-looking statements in its periodic reports to the U.S. Securities and Exchange Commission, in announcements made on the website of The Stock Exchange of Hong Kong Limited (the “Hong Kong Stock Exchange”), in its annual report to shareholders, in press releases and other written materials and in oral statements made by its officers, directors or employees to third parties. Statements that are not historical facts, including but not limited to statements about Baidu’s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Baidu’s growth strategies; its future business development, including development of new products and services; its ability to attract and retain users and customers; competition in the Chinese Internet search and newsfeed market; competition for online marketing customers; changes in the Company’s revenues and certain cost or expense items as a percentage of its revenues; the outcome of ongoing, or any future, litigation or arbitration, including those relating to intellectual property rights; the expected growth of the Chinese-language Internet search and newsfeed market and the number of Internet and broadband users in China; Chinese governmental policies relating to the Internet and Internet search providers, and general economic conditions in China and elsewhere. Further information regarding these and other risks is included in the Company’s annual report on Form 20-F and other documents filed with the Securities and Exchange Commission, and announcements on the website of the Hong Kong Stock Exchange. Baidu does not undertake any obligation to update any forward-looking statement, except as required under applicable law. All information provided in this press release and in the attachments is as of the date of the press release, and Baidu undertakes no duty to update such information, except as required under applicable law.</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16"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6"/>
          <w:szCs w:val="16"/>
          <w:color w:val="auto"/>
        </w:rPr>
        <w:t>To supplement Baidu’s consolidated financial results presented in accordance with GAAP, Baidu uses the following non-GAAP financial measures: non-GAAP operating income, non-GAAP operating margin, non-GAAP net income attributable to Baidu, non-GAAP net margin, non-GAAP diluted earnings per ADS, adjusted EBITDA, adjusted EBITDA margin, adjusted long-term investments and free cash flow. The presentation of these non-GAAP financial measures is not intended to be considered in isolation or as a substitute for the financial information prepared and presented in accordance with GAAP.</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040"/>
          </w:cols>
          <w:pgMar w:left="920" w:top="255" w:right="939" w:bottom="1440" w:gutter="0" w:footer="0" w:header="0"/>
        </w:sectPr>
      </w:pPr>
    </w:p>
    <w:bookmarkStart w:id="10" w:name="page11"/>
    <w:bookmarkEnd w:id="10"/>
    <w:p>
      <w:pPr>
        <w:ind w:right="10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5025" cy="36195"/>
                    </a:xfrm>
                    <a:prstGeom prst="rect">
                      <a:avLst/>
                    </a:prstGeom>
                    <a:noFill/>
                  </pic:spPr>
                </pic:pic>
              </a:graphicData>
            </a:graphic>
          </wp:anchor>
        </w:drawing>
        <w:t>Baidu believes that these non-GAAP financial measures provide meaningful supplemental information regarding its performance and liquidity by excluding certain items that may not be indicative of its recurring core business operating results, such as operating performance excluding non-cash charges or non-operating in nature. The Company believes that both management and investors benefit from referring to these non-GAAP financial measures in assessing its performance and when planning and forecasting future periods. These non-GAAP financial measures also facilitate management’s internal comparisons to Baidu’s historical performance and liquidity. The Company believes these non-GAAP financial measures are useful to investors in allowing for greater transparency with respect to supplemental information used by management in its financial and operational decision making. A limitation of using these non-GAAP financial measures is that these non-GAAP measures exclude certain items that have been and will continue to be for the foreseeable future a significant component in the Company’s results of operations. These non-GAAP financial measures presented here may not be comparable to similarly titled measures presented by other companies. Other companies may calculate similarly titled measures differently, limiting their usefulness as comparative measures to the Company’s data.</w:t>
      </w:r>
    </w:p>
    <w:p>
      <w:pPr>
        <w:spacing w:after="0" w:line="168"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6"/>
          <w:szCs w:val="16"/>
          <w:color w:val="auto"/>
        </w:rPr>
        <w:t>Non-GAAP operating income represents operating income excluding share-based compensation expenses, amortization and impairment of intangible assets resulting from business combinations, impairment of long-lived assets, and one-time employee severance costs.</w:t>
      </w:r>
    </w:p>
    <w:p>
      <w:pPr>
        <w:spacing w:after="0" w:line="13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Non-GAAP net income attributable to Baidu represents net income attributable to Baidu excluding share-based compensation expenses, amortization and impairment of intangible assets resulting from business combinations, impairment of long-lived assets, one-time employee severance costs, disposal gain or loss, impairment of long-term investments, and fair value gain or loss of long-term investments and exchangeable bonds, adjusted for related income tax effects. Baidu’s share of equity method investments for these non-GAAP reconciling items, amortization and impairment of intangible assets not on the investees’ books, accretion of their redeemable non-controlling interests, and the gain or loss associated with the issuance of shares by the investees at a price higher or lower than the carrying value per share, adjusted for related income tax effects, are also excluded.</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020"/>
          </w:cols>
          <w:pgMar w:left="920" w:top="259" w:right="959" w:bottom="1440" w:gutter="0" w:footer="0" w:header="0"/>
        </w:sectPr>
      </w:pPr>
    </w:p>
    <w:bookmarkStart w:id="11" w:name="page12"/>
    <w:bookmarkEnd w:id="11"/>
    <w:p>
      <w:pPr>
        <w:spacing w:after="0" w:line="27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5025" cy="36195"/>
                    </a:xfrm>
                    <a:prstGeom prst="rect">
                      <a:avLst/>
                    </a:prstGeom>
                    <a:noFill/>
                  </pic:spPr>
                </pic:pic>
              </a:graphicData>
            </a:graphic>
          </wp:anchor>
        </w:drawing>
        <w:t>Non-GAAP diluted earnings per ADS represents diluted earnings per ADS calculated by dividing non-GAAP net income attributable to Baidu, by the weighted average number of ordinary shares expressed in ADS. Adjusted EBITDA represents non-GAAP operating income excluding depreciation of fixed assets, and amortization of intangible assets excluding those resulting from business combinations. Adjusted long-term investments represent long-term investments, net, with publicly listed equity method investments adjusted to fair value based on quoted market prices.</w:t>
      </w:r>
    </w:p>
    <w:p>
      <w:pPr>
        <w:spacing w:after="0" w:line="158" w:lineRule="exact"/>
        <w:rPr>
          <w:sz w:val="20"/>
          <w:szCs w:val="20"/>
          <w:color w:val="auto"/>
        </w:rPr>
      </w:pPr>
    </w:p>
    <w:p>
      <w:pPr>
        <w:ind w:right="480"/>
        <w:spacing w:after="0" w:line="296" w:lineRule="auto"/>
        <w:rPr>
          <w:sz w:val="20"/>
          <w:szCs w:val="20"/>
          <w:color w:val="auto"/>
        </w:rPr>
      </w:pPr>
      <w:r>
        <w:rPr>
          <w:rFonts w:ascii="Times New Roman" w:cs="Times New Roman" w:eastAsia="Times New Roman" w:hAnsi="Times New Roman"/>
          <w:sz w:val="16"/>
          <w:szCs w:val="16"/>
          <w:color w:val="auto"/>
        </w:rPr>
        <w:t>For more information on non-GAAP financial measures, please see the tables captioned “Reconciliations of non-GAAP financial measures to the nearest comparable GAAP measure.”</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040"/>
          </w:cols>
          <w:pgMar w:left="920" w:top="259" w:right="93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5025" cy="36195"/>
                    </a:xfrm>
                    <a:prstGeom prst="rect">
                      <a:avLst/>
                    </a:prstGeom>
                    <a:noFill/>
                  </pic:spPr>
                </pic:pic>
              </a:graphicData>
            </a:graphic>
          </wp:anchor>
        </w:drawing>
        <w:t>Baidu, Inc.</w:t>
      </w:r>
    </w:p>
    <w:p>
      <w:pPr>
        <w:spacing w:after="0" w:line="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 millions except for per share (or ADS) information, unaudited)</w:t>
      </w:r>
    </w:p>
    <w:p>
      <w:pPr>
        <w:spacing w:after="0" w:line="212" w:lineRule="exact"/>
        <w:rPr>
          <w:sz w:val="20"/>
          <w:szCs w:val="20"/>
          <w:color w:val="auto"/>
        </w:rPr>
      </w:pPr>
    </w:p>
    <w:tbl>
      <w:tblPr>
        <w:tblLayout w:type="fixed"/>
        <w:tblInd w:w="4"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gridSpan w:val="8"/>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Twelve Months Ended</w:t>
            </w:r>
          </w:p>
        </w:tc>
      </w:tr>
      <w:tr>
        <w:trPr>
          <w:trHeight w:val="106"/>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top w:val="single" w:sz="8" w:color="auto"/>
            </w:tcBorders>
            <w:gridSpan w:val="2"/>
          </w:tcPr>
          <w:p>
            <w:pPr>
              <w:jc w:val="center"/>
              <w:ind w:right="120"/>
              <w:spacing w:after="0" w:line="106"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20" w:type="dxa"/>
            <w:vAlign w:val="bottom"/>
            <w:tcBorders>
              <w:top w:val="single" w:sz="8" w:color="auto"/>
            </w:tcBorders>
            <w:gridSpan w:val="3"/>
          </w:tcPr>
          <w:p>
            <w:pPr>
              <w:jc w:val="center"/>
              <w:ind w:right="20"/>
              <w:spacing w:after="0" w:line="106"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000" w:type="dxa"/>
            <w:vAlign w:val="bottom"/>
            <w:tcBorders>
              <w:top w:val="single" w:sz="8" w:color="auto"/>
            </w:tcBorders>
            <w:gridSpan w:val="3"/>
          </w:tcPr>
          <w:p>
            <w:pPr>
              <w:jc w:val="center"/>
              <w:ind w:right="40"/>
              <w:spacing w:after="0" w:line="106"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860" w:type="dxa"/>
            <w:vAlign w:val="bottom"/>
            <w:tcBorders>
              <w:top w:val="single" w:sz="8" w:color="auto"/>
            </w:tcBorders>
            <w:gridSpan w:val="2"/>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top w:val="single" w:sz="8" w:color="auto"/>
            </w:tcBorders>
            <w:gridSpan w:val="2"/>
          </w:tcPr>
          <w:p>
            <w:pPr>
              <w:jc w:val="center"/>
              <w:ind w:right="120"/>
              <w:spacing w:after="0" w:line="106"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00" w:type="dxa"/>
            <w:vAlign w:val="bottom"/>
            <w:tcBorders>
              <w:top w:val="single" w:sz="8" w:color="auto"/>
            </w:tcBorders>
            <w:gridSpan w:val="3"/>
          </w:tcPr>
          <w:p>
            <w:pPr>
              <w:jc w:val="center"/>
              <w:ind w:right="40"/>
              <w:spacing w:after="0" w:line="106"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860" w:type="dxa"/>
            <w:vAlign w:val="bottom"/>
            <w:tcBorders>
              <w:top w:val="single" w:sz="8" w:color="auto"/>
            </w:tcBorders>
            <w:gridSpan w:val="2"/>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80" w:type="dxa"/>
            <w:vAlign w:val="bottom"/>
          </w:tcPr>
          <w:p>
            <w:pPr>
              <w:spacing w:after="0"/>
              <w:rPr>
                <w:sz w:val="9"/>
                <w:szCs w:val="9"/>
                <w:color w:val="auto"/>
              </w:rPr>
            </w:pPr>
          </w:p>
        </w:tc>
      </w:tr>
      <w:tr>
        <w:trPr>
          <w:trHeight w:val="158"/>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60" w:type="dxa"/>
            <w:vAlign w:val="bottom"/>
            <w:gridSpan w:val="2"/>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Pr>
          <w:p>
            <w:pPr>
              <w:spacing w:after="0"/>
              <w:rPr>
                <w:sz w:val="13"/>
                <w:szCs w:val="13"/>
                <w:color w:val="auto"/>
              </w:rPr>
            </w:pPr>
          </w:p>
        </w:tc>
        <w:tc>
          <w:tcPr>
            <w:tcW w:w="900" w:type="dxa"/>
            <w:vAlign w:val="bottom"/>
            <w:gridSpan w:val="2"/>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Pr>
          <w:p>
            <w:pPr>
              <w:spacing w:after="0"/>
              <w:rPr>
                <w:sz w:val="13"/>
                <w:szCs w:val="13"/>
                <w:color w:val="auto"/>
              </w:rPr>
            </w:pPr>
          </w:p>
        </w:tc>
        <w:tc>
          <w:tcPr>
            <w:tcW w:w="86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860" w:type="dxa"/>
            <w:vAlign w:val="bottom"/>
            <w:gridSpan w:val="2"/>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Pr>
          <w:p>
            <w:pPr>
              <w:spacing w:after="0"/>
              <w:rPr>
                <w:sz w:val="13"/>
                <w:szCs w:val="13"/>
                <w:color w:val="auto"/>
              </w:rPr>
            </w:pPr>
          </w:p>
        </w:tc>
        <w:tc>
          <w:tcPr>
            <w:tcW w:w="860" w:type="dxa"/>
            <w:vAlign w:val="bottom"/>
            <w:gridSpan w:val="2"/>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Pr>
          <w:p>
            <w:pPr>
              <w:spacing w:after="0"/>
              <w:rPr>
                <w:sz w:val="13"/>
                <w:szCs w:val="13"/>
                <w:color w:val="auto"/>
              </w:rPr>
            </w:pPr>
          </w:p>
        </w:tc>
        <w:tc>
          <w:tcPr>
            <w:tcW w:w="860" w:type="dxa"/>
            <w:vAlign w:val="bottom"/>
            <w:gridSpan w:val="2"/>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40" w:type="dxa"/>
            <w:vAlign w:val="bottom"/>
          </w:tcPr>
          <w:p>
            <w:pPr>
              <w:spacing w:after="0"/>
              <w:rPr>
                <w:sz w:val="13"/>
                <w:szCs w:val="13"/>
                <w:color w:val="auto"/>
              </w:rPr>
            </w:pPr>
          </w:p>
        </w:tc>
        <w:tc>
          <w:tcPr>
            <w:tcW w:w="860" w:type="dxa"/>
            <w:vAlign w:val="bottom"/>
            <w:gridSpan w:val="2"/>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Pr>
          <w:p>
            <w:pPr>
              <w:spacing w:after="0"/>
              <w:rPr>
                <w:sz w:val="13"/>
                <w:szCs w:val="13"/>
                <w:color w:val="auto"/>
              </w:rPr>
            </w:pPr>
          </w:p>
        </w:tc>
      </w:tr>
      <w:tr>
        <w:trPr>
          <w:trHeight w:val="128"/>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US$</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US$</w:t>
            </w:r>
            <w:r>
              <w:rPr>
                <w:rFonts w:ascii="Times New Roman" w:cs="Times New Roman" w:eastAsia="Times New Roman" w:hAnsi="Times New Roman"/>
                <w:sz w:val="9"/>
                <w:szCs w:val="9"/>
                <w:b w:val="1"/>
                <w:bCs w:val="1"/>
                <w:color w:val="auto"/>
              </w:rPr>
              <w:t>(2)</w:t>
            </w:r>
          </w:p>
        </w:tc>
        <w:tc>
          <w:tcPr>
            <w:tcW w:w="8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Revenue</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34,124</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31,174</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32,740</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4,682</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133,125</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129,079</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18,458</w:t>
            </w:r>
          </w:p>
        </w:tc>
        <w:tc>
          <w:tcPr>
            <w:tcW w:w="80" w:type="dxa"/>
            <w:vAlign w:val="bottom"/>
            <w:shd w:val="clear" w:color="auto" w:fill="CCEEFF"/>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Costs and expenses:</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Cost of revenue</w:t>
            </w:r>
            <w:r>
              <w:rPr>
                <w:rFonts w:ascii="Times New Roman" w:cs="Times New Roman" w:eastAsia="Times New Roman" w:hAnsi="Times New Roman"/>
                <w:sz w:val="9"/>
                <w:szCs w:val="9"/>
                <w:color w:val="auto"/>
              </w:rPr>
              <w:t>(1)</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18,014</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18,315</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18,277</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2,614</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66,102</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72,436</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10,358</w:t>
            </w:r>
          </w:p>
        </w:tc>
        <w:tc>
          <w:tcPr>
            <w:tcW w:w="80" w:type="dxa"/>
            <w:vAlign w:val="bottom"/>
            <w:shd w:val="clear" w:color="auto" w:fill="CCEEFF"/>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Selling, general and administrative</w:t>
            </w:r>
            <w:r>
              <w:rPr>
                <w:rFonts w:ascii="Times New Roman" w:cs="Times New Roman" w:eastAsia="Times New Roman" w:hAnsi="Times New Roman"/>
                <w:sz w:val="9"/>
                <w:szCs w:val="9"/>
                <w:color w:val="auto"/>
              </w:rPr>
              <w:t>(1)</w:t>
            </w: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6,678</w:t>
            </w:r>
          </w:p>
        </w:tc>
        <w:tc>
          <w:tcPr>
            <w:tcW w:w="120" w:type="dxa"/>
            <w:vAlign w:val="bottom"/>
          </w:tcPr>
          <w:p>
            <w:pPr>
              <w:spacing w:after="0"/>
              <w:rPr>
                <w:sz w:val="11"/>
                <w:szCs w:val="11"/>
                <w:color w:val="auto"/>
              </w:rPr>
            </w:pPr>
          </w:p>
        </w:tc>
        <w:tc>
          <w:tcPr>
            <w:tcW w:w="9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6,581</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7,389</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1,056</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23,620</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25,843</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3,696</w:t>
            </w:r>
          </w:p>
        </w:tc>
        <w:tc>
          <w:tcPr>
            <w:tcW w:w="8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Research and development</w:t>
            </w:r>
            <w:r>
              <w:rPr>
                <w:rFonts w:ascii="Times New Roman" w:cs="Times New Roman" w:eastAsia="Times New Roman" w:hAnsi="Times New Roman"/>
                <w:sz w:val="9"/>
                <w:szCs w:val="9"/>
                <w:color w:val="auto"/>
              </w:rPr>
              <w:t>(1)</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5,515</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5,179</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5,591</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800</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22,133</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20,433</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2,922</w:t>
            </w:r>
          </w:p>
        </w:tc>
        <w:tc>
          <w:tcPr>
            <w:tcW w:w="80" w:type="dxa"/>
            <w:vAlign w:val="bottom"/>
            <w:shd w:val="clear" w:color="auto" w:fill="CCEEFF"/>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31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Impairment of long-lived assets</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16,190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16,190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2,315</w:t>
            </w:r>
          </w:p>
        </w:tc>
        <w:tc>
          <w:tcPr>
            <w:tcW w:w="8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 costs and expenses</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30,207</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46,265</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31,257</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4,470</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111,855</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134,902</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19,291</w:t>
            </w:r>
          </w:p>
        </w:tc>
        <w:tc>
          <w:tcPr>
            <w:tcW w:w="80" w:type="dxa"/>
            <w:vAlign w:val="bottom"/>
            <w:shd w:val="clear" w:color="auto" w:fill="CCEEFF"/>
          </w:tcPr>
          <w:p>
            <w:pPr>
              <w:spacing w:after="0"/>
              <w:rPr>
                <w:sz w:val="11"/>
                <w:szCs w:val="11"/>
                <w:color w:val="auto"/>
              </w:rPr>
            </w:pPr>
          </w:p>
        </w:tc>
      </w:tr>
      <w:tr>
        <w:trPr>
          <w:trHeight w:val="140"/>
        </w:trPr>
        <w:tc>
          <w:tcPr>
            <w:tcW w:w="31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Operating income (loss)</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3,917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(15,091)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1,483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21,270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(5,823)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(833)</w:t>
            </w:r>
          </w:p>
        </w:tc>
        <w:tc>
          <w:tcPr>
            <w:tcW w:w="8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Other income:</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Interest income</w:t>
            </w: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2,001</w:t>
            </w:r>
          </w:p>
        </w:tc>
        <w:tc>
          <w:tcPr>
            <w:tcW w:w="120" w:type="dxa"/>
            <w:vAlign w:val="bottom"/>
          </w:tcPr>
          <w:p>
            <w:pPr>
              <w:spacing w:after="0"/>
              <w:rPr>
                <w:sz w:val="11"/>
                <w:szCs w:val="11"/>
                <w:color w:val="auto"/>
              </w:rPr>
            </w:pPr>
          </w:p>
        </w:tc>
        <w:tc>
          <w:tcPr>
            <w:tcW w:w="9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1,930</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2,051</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293</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7,962</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8,602</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1,230</w:t>
            </w:r>
          </w:p>
        </w:tc>
        <w:tc>
          <w:tcPr>
            <w:tcW w:w="8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Interest expense</w:t>
            </w:r>
          </w:p>
        </w:tc>
        <w:tc>
          <w:tcPr>
            <w:tcW w:w="980" w:type="dxa"/>
            <w:vAlign w:val="bottom"/>
            <w:gridSpan w:val="3"/>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(643)</w:t>
            </w:r>
          </w:p>
        </w:tc>
        <w:tc>
          <w:tcPr>
            <w:tcW w:w="1020" w:type="dxa"/>
            <w:vAlign w:val="bottom"/>
            <w:gridSpan w:val="3"/>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(631)</w:t>
            </w:r>
          </w:p>
        </w:tc>
        <w:tc>
          <w:tcPr>
            <w:tcW w:w="1000" w:type="dxa"/>
            <w:vAlign w:val="bottom"/>
            <w:gridSpan w:val="3"/>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(651)</w:t>
            </w:r>
          </w:p>
        </w:tc>
        <w:tc>
          <w:tcPr>
            <w:tcW w:w="980" w:type="dxa"/>
            <w:vAlign w:val="bottom"/>
            <w:gridSpan w:val="3"/>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(93)</w:t>
            </w:r>
          </w:p>
        </w:tc>
        <w:tc>
          <w:tcPr>
            <w:tcW w:w="980" w:type="dxa"/>
            <w:vAlign w:val="bottom"/>
            <w:gridSpan w:val="3"/>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(2,824)</w:t>
            </w:r>
          </w:p>
        </w:tc>
        <w:tc>
          <w:tcPr>
            <w:tcW w:w="1000" w:type="dxa"/>
            <w:vAlign w:val="bottom"/>
            <w:gridSpan w:val="3"/>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(2,784)</w:t>
            </w:r>
          </w:p>
        </w:tc>
        <w:tc>
          <w:tcPr>
            <w:tcW w:w="940" w:type="dxa"/>
            <w:vAlign w:val="bottom"/>
            <w:gridSpan w:val="3"/>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(398)</w:t>
            </w:r>
          </w:p>
        </w:tc>
      </w:tr>
      <w:tr>
        <w:trPr>
          <w:trHeight w:val="136"/>
        </w:trPr>
        <w:tc>
          <w:tcPr>
            <w:tcW w:w="20" w:type="dxa"/>
            <w:vAlign w:val="bottom"/>
          </w:tcPr>
          <w:p>
            <w:pPr>
              <w:spacing w:after="0"/>
              <w:rPr>
                <w:sz w:val="11"/>
                <w:szCs w:val="11"/>
                <w:color w:val="auto"/>
              </w:rPr>
            </w:pPr>
          </w:p>
        </w:tc>
        <w:tc>
          <w:tcPr>
            <w:tcW w:w="31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Foreign exchange gain (loss), net</w:t>
            </w: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1,678</w:t>
            </w:r>
          </w:p>
        </w:tc>
        <w:tc>
          <w:tcPr>
            <w:tcW w:w="120" w:type="dxa"/>
            <w:vAlign w:val="bottom"/>
          </w:tcPr>
          <w:p>
            <w:pPr>
              <w:spacing w:after="0"/>
              <w:rPr>
                <w:sz w:val="11"/>
                <w:szCs w:val="11"/>
                <w:color w:val="auto"/>
              </w:rPr>
            </w:pPr>
          </w:p>
        </w:tc>
        <w:tc>
          <w:tcPr>
            <w:tcW w:w="102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(357)</w:t>
            </w:r>
          </w:p>
        </w:tc>
        <w:tc>
          <w:tcPr>
            <w:tcW w:w="1000" w:type="dxa"/>
            <w:vAlign w:val="bottom"/>
            <w:gridSpan w:val="3"/>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(1,054)</w:t>
            </w:r>
          </w:p>
        </w:tc>
        <w:tc>
          <w:tcPr>
            <w:tcW w:w="9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(151)</w:t>
            </w: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1,076</w:t>
            </w:r>
          </w:p>
        </w:tc>
        <w:tc>
          <w:tcPr>
            <w:tcW w:w="120" w:type="dxa"/>
            <w:vAlign w:val="bottom"/>
          </w:tcPr>
          <w:p>
            <w:pPr>
              <w:spacing w:after="0"/>
              <w:rPr>
                <w:sz w:val="11"/>
                <w:szCs w:val="11"/>
                <w:color w:val="auto"/>
              </w:rPr>
            </w:pPr>
          </w:p>
        </w:tc>
        <w:tc>
          <w:tcPr>
            <w:tcW w:w="1000" w:type="dxa"/>
            <w:vAlign w:val="bottom"/>
            <w:gridSpan w:val="3"/>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(2,242)</w:t>
            </w:r>
          </w:p>
        </w:tc>
        <w:tc>
          <w:tcPr>
            <w:tcW w:w="94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(321)</w:t>
            </w: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Share of earnings (losses) from equity method investments</w:t>
            </w:r>
          </w:p>
        </w:tc>
        <w:tc>
          <w:tcPr>
            <w:tcW w:w="980" w:type="dxa"/>
            <w:vAlign w:val="bottom"/>
            <w:gridSpan w:val="3"/>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(399)</w:t>
            </w:r>
          </w:p>
        </w:tc>
        <w:tc>
          <w:tcPr>
            <w:tcW w:w="9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735</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1,193</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171</w:t>
            </w:r>
          </w:p>
        </w:tc>
        <w:tc>
          <w:tcPr>
            <w:tcW w:w="1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(691)</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3,196</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457</w:t>
            </w:r>
          </w:p>
        </w:tc>
        <w:tc>
          <w:tcPr>
            <w:tcW w:w="80" w:type="dxa"/>
            <w:vAlign w:val="bottom"/>
            <w:shd w:val="clear" w:color="auto" w:fill="CCEEFF"/>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31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Others, net</w:t>
            </w:r>
          </w:p>
        </w:tc>
        <w:tc>
          <w:tcPr>
            <w:tcW w:w="100" w:type="dxa"/>
            <w:vAlign w:val="bottom"/>
          </w:tcPr>
          <w:p>
            <w:pPr>
              <w:spacing w:after="0"/>
              <w:rPr>
                <w:sz w:val="12"/>
                <w:szCs w:val="12"/>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(296)</w:t>
            </w:r>
          </w:p>
        </w:tc>
        <w:tc>
          <w:tcPr>
            <w:tcW w:w="9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(42)</w:t>
            </w: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1,829</w:t>
            </w:r>
          </w:p>
        </w:tc>
        <w:tc>
          <w:tcPr>
            <w:tcW w:w="120" w:type="dxa"/>
            <w:vAlign w:val="bottom"/>
          </w:tcPr>
          <w:p>
            <w:pPr>
              <w:spacing w:after="0"/>
              <w:rPr>
                <w:sz w:val="12"/>
                <w:szCs w:val="12"/>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5,767</w:t>
            </w:r>
          </w:p>
        </w:tc>
        <w:tc>
          <w:tcPr>
            <w:tcW w:w="140" w:type="dxa"/>
            <w:vAlign w:val="bottom"/>
          </w:tcPr>
          <w:p>
            <w:pPr>
              <w:spacing w:after="0"/>
              <w:rPr>
                <w:sz w:val="12"/>
                <w:szCs w:val="12"/>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825</w:t>
            </w:r>
          </w:p>
        </w:tc>
        <w:tc>
          <w:tcPr>
            <w:tcW w:w="8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 other income, net</w:t>
            </w:r>
          </w:p>
        </w:tc>
        <w:tc>
          <w:tcPr>
            <w:tcW w:w="10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2,660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1,946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1,243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178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7,352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12,539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1,793</w:t>
            </w:r>
          </w:p>
        </w:tc>
        <w:tc>
          <w:tcPr>
            <w:tcW w:w="80" w:type="dxa"/>
            <w:vAlign w:val="bottom"/>
            <w:shd w:val="clear" w:color="auto" w:fill="CCEEFF"/>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6,577</w:t>
            </w:r>
          </w:p>
        </w:tc>
        <w:tc>
          <w:tcPr>
            <w:tcW w:w="120" w:type="dxa"/>
            <w:vAlign w:val="bottom"/>
          </w:tcPr>
          <w:p>
            <w:pPr>
              <w:spacing w:after="0"/>
              <w:rPr>
                <w:sz w:val="11"/>
                <w:szCs w:val="11"/>
                <w:color w:val="auto"/>
              </w:rPr>
            </w:pPr>
          </w:p>
        </w:tc>
        <w:tc>
          <w:tcPr>
            <w:tcW w:w="102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b w:val="1"/>
                <w:bCs w:val="1"/>
                <w:color w:val="auto"/>
              </w:rPr>
              <w:t>(13,145)</w:t>
            </w: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2,726</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390</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28,622</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6,716</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960</w:t>
            </w:r>
          </w:p>
        </w:tc>
        <w:tc>
          <w:tcPr>
            <w:tcW w:w="8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Income tax expense (benefit)</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1,619</w:t>
            </w:r>
          </w:p>
        </w:tc>
        <w:tc>
          <w:tcPr>
            <w:tcW w:w="12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(1,828)</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1,029</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147</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4,447</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1,259</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180</w:t>
            </w:r>
          </w:p>
        </w:tc>
        <w:tc>
          <w:tcPr>
            <w:tcW w:w="80" w:type="dxa"/>
            <w:vAlign w:val="bottom"/>
            <w:shd w:val="clear" w:color="auto" w:fill="CCEEFF"/>
          </w:tcPr>
          <w:p>
            <w:pPr>
              <w:spacing w:after="0"/>
              <w:rPr>
                <w:sz w:val="11"/>
                <w:szCs w:val="11"/>
                <w:color w:val="auto"/>
              </w:rPr>
            </w:pPr>
          </w:p>
        </w:tc>
      </w:tr>
      <w:tr>
        <w:trPr>
          <w:trHeight w:val="140"/>
        </w:trPr>
        <w:tc>
          <w:tcPr>
            <w:tcW w:w="31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4,958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(11,317)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1,697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243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24,175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5,457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780</w:t>
            </w:r>
          </w:p>
        </w:tc>
        <w:tc>
          <w:tcPr>
            <w:tcW w:w="8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980" w:type="dxa"/>
            <w:vAlign w:val="bottom"/>
            <w:gridSpan w:val="3"/>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(234)</w:t>
            </w:r>
          </w:p>
        </w:tc>
        <w:tc>
          <w:tcPr>
            <w:tcW w:w="1020" w:type="dxa"/>
            <w:vAlign w:val="bottom"/>
            <w:gridSpan w:val="3"/>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(85)</w:t>
            </w:r>
          </w:p>
        </w:tc>
        <w:tc>
          <w:tcPr>
            <w:tcW w:w="1000" w:type="dxa"/>
            <w:vAlign w:val="bottom"/>
            <w:gridSpan w:val="3"/>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(85)</w:t>
            </w:r>
          </w:p>
        </w:tc>
        <w:tc>
          <w:tcPr>
            <w:tcW w:w="980" w:type="dxa"/>
            <w:vAlign w:val="bottom"/>
            <w:gridSpan w:val="3"/>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415</w:t>
            </w:r>
          </w:p>
        </w:tc>
        <w:tc>
          <w:tcPr>
            <w:tcW w:w="12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(132)</w:t>
            </w:r>
          </w:p>
        </w:tc>
        <w:tc>
          <w:tcPr>
            <w:tcW w:w="940" w:type="dxa"/>
            <w:vAlign w:val="bottom"/>
            <w:gridSpan w:val="3"/>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(19)</w:t>
            </w:r>
          </w:p>
        </w:tc>
      </w:tr>
      <w:tr>
        <w:trPr>
          <w:trHeight w:val="140"/>
        </w:trPr>
        <w:tc>
          <w:tcPr>
            <w:tcW w:w="31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income (loss) attributable to Baidu</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5,192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(11,232)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1,782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255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23,760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5,589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799</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2"/>
                <w:szCs w:val="12"/>
                <w:color w:val="auto"/>
              </w:rPr>
              <w:t>Earnings (loss) per ADS (1 ADS representing 8 Class A</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ordinary shares):</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6"/>
        </w:trPr>
        <w:tc>
          <w:tcPr>
            <w:tcW w:w="20" w:type="dxa"/>
            <w:vAlign w:val="bottom"/>
          </w:tcPr>
          <w:p>
            <w:pPr>
              <w:spacing w:after="0"/>
              <w:rPr>
                <w:sz w:val="11"/>
                <w:szCs w:val="11"/>
                <w:color w:val="auto"/>
              </w:rPr>
            </w:pPr>
          </w:p>
        </w:tc>
        <w:tc>
          <w:tcPr>
            <w:tcW w:w="314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-Basic</w:t>
            </w: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14.41</w:t>
            </w:r>
          </w:p>
        </w:tc>
        <w:tc>
          <w:tcPr>
            <w:tcW w:w="120" w:type="dxa"/>
            <w:vAlign w:val="bottom"/>
          </w:tcPr>
          <w:p>
            <w:pPr>
              <w:spacing w:after="0"/>
              <w:rPr>
                <w:sz w:val="11"/>
                <w:szCs w:val="11"/>
                <w:color w:val="auto"/>
              </w:rPr>
            </w:pPr>
          </w:p>
        </w:tc>
        <w:tc>
          <w:tcPr>
            <w:tcW w:w="102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(33.88)</w:t>
            </w: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4.48</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0.64</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66.40</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13.67</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1.95</w:t>
            </w:r>
          </w:p>
        </w:tc>
        <w:tc>
          <w:tcPr>
            <w:tcW w:w="8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color w:val="auto"/>
              </w:rPr>
              <w:t>-Diluted</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14.26</w:t>
            </w:r>
          </w:p>
        </w:tc>
        <w:tc>
          <w:tcPr>
            <w:tcW w:w="12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(33.88)</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3.71</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0.53</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65.91</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11.78</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1.68</w:t>
            </w:r>
          </w:p>
        </w:tc>
        <w:tc>
          <w:tcPr>
            <w:tcW w:w="80" w:type="dxa"/>
            <w:vAlign w:val="bottom"/>
            <w:shd w:val="clear" w:color="auto" w:fill="CCEEFF"/>
          </w:tcPr>
          <w:p>
            <w:pPr>
              <w:spacing w:after="0"/>
              <w:rPr>
                <w:sz w:val="11"/>
                <w:szCs w:val="11"/>
                <w:color w:val="auto"/>
              </w:rPr>
            </w:pPr>
          </w:p>
        </w:tc>
      </w:tr>
      <w:tr>
        <w:trPr>
          <w:trHeight w:val="115"/>
        </w:trPr>
        <w:tc>
          <w:tcPr>
            <w:tcW w:w="20" w:type="dxa"/>
            <w:vAlign w:val="bottom"/>
          </w:tcPr>
          <w:p>
            <w:pPr>
              <w:spacing w:after="0"/>
              <w:rPr>
                <w:sz w:val="10"/>
                <w:szCs w:val="10"/>
                <w:color w:val="auto"/>
              </w:rPr>
            </w:pPr>
          </w:p>
        </w:tc>
        <w:tc>
          <w:tcPr>
            <w:tcW w:w="314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Earnings (loss) per share for Class A and Class B ordinary</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6"/>
        </w:trPr>
        <w:tc>
          <w:tcPr>
            <w:tcW w:w="20" w:type="dxa"/>
            <w:vAlign w:val="bottom"/>
          </w:tcPr>
          <w:p>
            <w:pPr>
              <w:spacing w:after="0"/>
              <w:rPr>
                <w:sz w:val="13"/>
                <w:szCs w:val="13"/>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color w:val="auto"/>
              </w:rPr>
              <w:t>-Basic</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1.80</w:t>
            </w:r>
          </w:p>
        </w:tc>
        <w:tc>
          <w:tcPr>
            <w:tcW w:w="12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(4.23)</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0.56</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0.08</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8.31</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1.71</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0.24</w:t>
            </w:r>
          </w:p>
        </w:tc>
        <w:tc>
          <w:tcPr>
            <w:tcW w:w="80" w:type="dxa"/>
            <w:vAlign w:val="bottom"/>
            <w:shd w:val="clear" w:color="auto" w:fill="CCEEFF"/>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-Diluted</w:t>
            </w: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1.78</w:t>
            </w:r>
          </w:p>
        </w:tc>
        <w:tc>
          <w:tcPr>
            <w:tcW w:w="120" w:type="dxa"/>
            <w:vAlign w:val="bottom"/>
          </w:tcPr>
          <w:p>
            <w:pPr>
              <w:spacing w:after="0"/>
              <w:rPr>
                <w:sz w:val="11"/>
                <w:szCs w:val="11"/>
                <w:color w:val="auto"/>
              </w:rPr>
            </w:pPr>
          </w:p>
        </w:tc>
        <w:tc>
          <w:tcPr>
            <w:tcW w:w="102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(4.23)</w:t>
            </w: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0.46</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0.07</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8.24</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1.47</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0.21</w:t>
            </w:r>
          </w:p>
        </w:tc>
        <w:tc>
          <w:tcPr>
            <w:tcW w:w="80" w:type="dxa"/>
            <w:vAlign w:val="bottom"/>
          </w:tcPr>
          <w:p>
            <w:pPr>
              <w:spacing w:after="0"/>
              <w:rPr>
                <w:sz w:val="11"/>
                <w:szCs w:val="11"/>
                <w:color w:val="auto"/>
              </w:rPr>
            </w:pPr>
          </w:p>
        </w:tc>
      </w:tr>
      <w:tr>
        <w:trPr>
          <w:trHeight w:val="115"/>
        </w:trPr>
        <w:tc>
          <w:tcPr>
            <w:tcW w:w="20" w:type="dxa"/>
            <w:vAlign w:val="bottom"/>
          </w:tcPr>
          <w:p>
            <w:pPr>
              <w:spacing w:after="0"/>
              <w:rPr>
                <w:sz w:val="10"/>
                <w:szCs w:val="10"/>
                <w:color w:val="auto"/>
              </w:rPr>
            </w:pPr>
          </w:p>
        </w:tc>
        <w:tc>
          <w:tcPr>
            <w:tcW w:w="31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Weighted average number of Class A and Class B ordinary</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56"/>
        </w:trPr>
        <w:tc>
          <w:tcPr>
            <w:tcW w:w="20" w:type="dxa"/>
            <w:vAlign w:val="bottom"/>
          </w:tcPr>
          <w:p>
            <w:pPr>
              <w:spacing w:after="0"/>
              <w:rPr>
                <w:sz w:val="13"/>
                <w:szCs w:val="13"/>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shares outstanding (in millions):</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6"/>
        </w:trPr>
        <w:tc>
          <w:tcPr>
            <w:tcW w:w="20" w:type="dxa"/>
            <w:vAlign w:val="bottom"/>
          </w:tcPr>
          <w:p>
            <w:pPr>
              <w:spacing w:after="0"/>
              <w:rPr>
                <w:sz w:val="11"/>
                <w:szCs w:val="11"/>
                <w:color w:val="auto"/>
              </w:rPr>
            </w:pPr>
          </w:p>
        </w:tc>
        <w:tc>
          <w:tcPr>
            <w:tcW w:w="314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-Basic</w:t>
            </w: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2,775</w:t>
            </w:r>
          </w:p>
        </w:tc>
        <w:tc>
          <w:tcPr>
            <w:tcW w:w="120" w:type="dxa"/>
            <w:vAlign w:val="bottom"/>
          </w:tcPr>
          <w:p>
            <w:pPr>
              <w:spacing w:after="0"/>
              <w:rPr>
                <w:sz w:val="11"/>
                <w:szCs w:val="11"/>
                <w:color w:val="auto"/>
              </w:rPr>
            </w:pPr>
          </w:p>
        </w:tc>
        <w:tc>
          <w:tcPr>
            <w:tcW w:w="9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2,713</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2,721</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2,721</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2,790</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2,726</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2,726</w:t>
            </w:r>
          </w:p>
        </w:tc>
        <w:tc>
          <w:tcPr>
            <w:tcW w:w="8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color w:val="auto"/>
              </w:rPr>
              <w:t>-Diluted</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2,783</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2,713</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2,758</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2,758</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2,798</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2,744</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2,744</w:t>
            </w:r>
          </w:p>
        </w:tc>
        <w:tc>
          <w:tcPr>
            <w:tcW w:w="80" w:type="dxa"/>
            <w:vAlign w:val="bottom"/>
            <w:shd w:val="clear" w:color="auto" w:fill="CCEEFF"/>
          </w:tcPr>
          <w:p>
            <w:pPr>
              <w:spacing w:after="0"/>
              <w:rPr>
                <w:sz w:val="11"/>
                <w:szCs w:val="11"/>
                <w:color w:val="auto"/>
              </w:rPr>
            </w:pPr>
          </w:p>
        </w:tc>
      </w:tr>
      <w:tr>
        <w:trPr>
          <w:trHeight w:val="115"/>
        </w:trPr>
        <w:tc>
          <w:tcPr>
            <w:tcW w:w="20" w:type="dxa"/>
            <w:vAlign w:val="bottom"/>
          </w:tcPr>
          <w:p>
            <w:pPr>
              <w:spacing w:after="0"/>
              <w:rPr>
                <w:sz w:val="10"/>
                <w:szCs w:val="10"/>
                <w:color w:val="auto"/>
              </w:rPr>
            </w:pPr>
          </w:p>
        </w:tc>
        <w:tc>
          <w:tcPr>
            <w:tcW w:w="314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(1) Includes share-based compensation expenses as</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6"/>
        </w:trPr>
        <w:tc>
          <w:tcPr>
            <w:tcW w:w="20" w:type="dxa"/>
            <w:vAlign w:val="bottom"/>
          </w:tcPr>
          <w:p>
            <w:pPr>
              <w:spacing w:after="0"/>
              <w:rPr>
                <w:sz w:val="13"/>
                <w:szCs w:val="13"/>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follows: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color w:val="auto"/>
              </w:rPr>
              <w:t>Cost of revenue</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103</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113</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79</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461</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389</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297</w:t>
            </w:r>
          </w:p>
        </w:tc>
        <w:tc>
          <w:tcPr>
            <w:tcW w:w="120" w:type="dxa"/>
            <w:vAlign w:val="bottom"/>
          </w:tcPr>
          <w:p>
            <w:pPr>
              <w:spacing w:after="0"/>
              <w:rPr>
                <w:sz w:val="11"/>
                <w:szCs w:val="11"/>
                <w:color w:val="auto"/>
              </w:rPr>
            </w:pPr>
          </w:p>
        </w:tc>
        <w:tc>
          <w:tcPr>
            <w:tcW w:w="9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340</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252</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1,427</w:t>
            </w:r>
          </w:p>
        </w:tc>
        <w:tc>
          <w:tcPr>
            <w:tcW w:w="12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1,181</w:t>
            </w:r>
          </w:p>
        </w:tc>
        <w:tc>
          <w:tcPr>
            <w:tcW w:w="14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169</w:t>
            </w:r>
          </w:p>
        </w:tc>
        <w:tc>
          <w:tcPr>
            <w:tcW w:w="8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color w:val="auto"/>
              </w:rPr>
              <w:t>Research and development</w:t>
            </w: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685</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591</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398</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58</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2,896</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2,035</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292</w:t>
            </w:r>
          </w:p>
        </w:tc>
        <w:tc>
          <w:tcPr>
            <w:tcW w:w="80" w:type="dxa"/>
            <w:vAlign w:val="bottom"/>
            <w:shd w:val="clear" w:color="auto" w:fill="CCEEFF"/>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share-based compensation expenses</w:t>
            </w: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0" w:type="dxa"/>
            <w:vAlign w:val="bottom"/>
          </w:tcPr>
          <w:p>
            <w:pPr>
              <w:spacing w:after="0"/>
              <w:rPr>
                <w:sz w:val="14"/>
                <w:szCs w:val="14"/>
                <w:color w:val="auto"/>
              </w:rPr>
            </w:pPr>
          </w:p>
        </w:tc>
      </w:tr>
    </w:tbl>
    <w:p>
      <w:pPr>
        <w:spacing w:after="0" w:line="182" w:lineRule="exact"/>
        <w:rPr>
          <w:sz w:val="20"/>
          <w:szCs w:val="20"/>
          <w:color w:val="auto"/>
        </w:rPr>
      </w:pPr>
    </w:p>
    <w:p>
      <w:pPr>
        <w:ind w:left="404" w:right="200" w:hanging="404"/>
        <w:spacing w:after="0" w:line="296" w:lineRule="auto"/>
        <w:tabs>
          <w:tab w:leader="none" w:pos="40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translations from RMB to U.S. dollars are made at a rate of RMB6.9931 to US$1.00, the exchange rate in effect as of December 31, 2025 as set forth in the H.10 statistical release of The Board of Governors of the Federal Reserve System.</w:t>
      </w:r>
    </w:p>
    <w:p>
      <w:pPr>
        <w:spacing w:after="0" w:line="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064"/>
          </w:cols>
          <w:pgMar w:left="916" w:top="255" w:right="9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5025" cy="36195"/>
                    </a:xfrm>
                    <a:prstGeom prst="rect">
                      <a:avLst/>
                    </a:prstGeom>
                    <a:noFill/>
                  </pic:spPr>
                </pic:pic>
              </a:graphicData>
            </a:graphic>
          </wp:anchor>
        </w:drawing>
        <w:t>Baidu,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millions,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800" w:type="dxa"/>
            <w:vAlign w:val="bottom"/>
            <w:gridSpan w:val="2"/>
          </w:tcPr>
          <w:p>
            <w:pPr>
              <w:jc w:val="center"/>
              <w:ind w:left="96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gridSpan w:val="2"/>
          </w:tcPr>
          <w:p>
            <w:pPr>
              <w:jc w:val="center"/>
              <w:ind w:left="6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gridSpan w:val="3"/>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800" w:type="dxa"/>
            <w:vAlign w:val="bottom"/>
            <w:gridSpan w:val="2"/>
          </w:tcPr>
          <w:p>
            <w:pPr>
              <w:jc w:val="center"/>
              <w:ind w:left="94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900" w:type="dxa"/>
            <w:vAlign w:val="bottom"/>
            <w:gridSpan w:val="2"/>
          </w:tcPr>
          <w:p>
            <w:pPr>
              <w:jc w:val="center"/>
              <w:ind w:left="4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900" w:type="dxa"/>
            <w:vAlign w:val="bottom"/>
            <w:gridSpan w:val="2"/>
          </w:tcPr>
          <w:p>
            <w:pPr>
              <w:jc w:val="center"/>
              <w:ind w:left="4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0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24,832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24,606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11,697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Short-term investments, net</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102,608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90,661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12,964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 net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10,104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12,972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Amounts due from related parties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Other current assets, net</w:t>
            </w:r>
          </w:p>
        </w:tc>
        <w:tc>
          <w:tcPr>
            <w:tcW w:w="10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18,818</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22,745</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168,849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151,970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21,732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Non-current assets:</w:t>
            </w:r>
          </w:p>
        </w:tc>
        <w:tc>
          <w:tcPr>
            <w:tcW w:w="10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Fixed assets, net</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26,281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Licensed copyrights, net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5,963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Produced content, net</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14,695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14,575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22,586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36,783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Long-term investments, net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41,721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44,918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time deposits and held-to-maturity investments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98,535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123,862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17,712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Amounts due from related parties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assets, net</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10,898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8,610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Receivables related to the proposed acquisition of YY Live, net</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13,547</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10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16,815</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27,555</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non-current assets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258,931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297,187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42,497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0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427,780</w:t>
            </w:r>
          </w:p>
        </w:tc>
        <w:tc>
          <w:tcPr>
            <w:tcW w:w="1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449,157</w:t>
            </w:r>
          </w:p>
        </w:tc>
        <w:tc>
          <w:tcPr>
            <w:tcW w:w="1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64,229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REDEEMABLE NONCONTROLLING INTERESTS AND EQUITY</w:t>
            </w:r>
          </w:p>
        </w:tc>
        <w:tc>
          <w:tcPr>
            <w:tcW w:w="1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Short-term loans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10,669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41,443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38,891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deposits and deferred revenue</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13,051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Deferred income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loans, current portion</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14,765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Convertible senior notes, current portion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1,459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Notes payable, current portion</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Amounts due to related parties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1,794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1,988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0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80,953</w:t>
            </w:r>
          </w:p>
        </w:tc>
        <w:tc>
          <w:tcPr>
            <w:tcW w:w="1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86,328</w:t>
            </w:r>
          </w:p>
        </w:tc>
        <w:tc>
          <w:tcPr>
            <w:tcW w:w="1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12,344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Non-current liabilities:</w:t>
            </w:r>
          </w:p>
        </w:tc>
        <w:tc>
          <w:tcPr>
            <w:tcW w:w="10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Deferred income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revenue</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Amounts due to related parties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loans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15,596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Notes payable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27,996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51,021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7,296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senior notes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4,985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0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1,557</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1,951</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non-current liabilities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63,215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73,103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10,454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0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144,168</w:t>
            </w:r>
          </w:p>
        </w:tc>
        <w:tc>
          <w:tcPr>
            <w:tcW w:w="1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159,431</w:t>
            </w:r>
          </w:p>
        </w:tc>
        <w:tc>
          <w:tcPr>
            <w:tcW w:w="1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22,798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Redeemable noncontrolling interests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9,870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13,166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1,883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Baidu shareholders’ equity</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263,620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266,330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38,085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10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10,122</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10,230</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273,742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276,560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39,548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liabilities, redeemable noncontrolling interests, and equity</w:t>
            </w:r>
          </w:p>
        </w:tc>
        <w:tc>
          <w:tcPr>
            <w:tcW w:w="10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427,780</w:t>
            </w:r>
          </w:p>
        </w:tc>
        <w:tc>
          <w:tcPr>
            <w:tcW w:w="1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449,157</w:t>
            </w:r>
          </w:p>
        </w:tc>
        <w:tc>
          <w:tcPr>
            <w:tcW w:w="1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64,229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ind w:left="4940"/>
              <w:spacing w:after="0"/>
              <w:rPr>
                <w:sz w:val="20"/>
                <w:szCs w:val="20"/>
                <w:color w:val="auto"/>
              </w:rPr>
            </w:pPr>
            <w:r>
              <w:rPr>
                <w:rFonts w:ascii="Times New Roman" w:cs="Times New Roman" w:eastAsia="Times New Roman" w:hAnsi="Times New Roman"/>
                <w:sz w:val="16"/>
                <w:szCs w:val="16"/>
                <w:color w:val="auto"/>
              </w:rPr>
              <w:t>11</w:t>
            </w:r>
          </w:p>
        </w:tc>
        <w:tc>
          <w:tcPr>
            <w:tcW w:w="1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42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255" w:right="91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5025" cy="36195"/>
                    </a:xfrm>
                    <a:prstGeom prst="rect">
                      <a:avLst/>
                    </a:prstGeom>
                    <a:noFill/>
                  </pic:spPr>
                </pic:pic>
              </a:graphicData>
            </a:graphic>
          </wp:anchor>
        </w:drawing>
        <w:t>Baidu, Inc.</w:t>
      </w:r>
    </w:p>
    <w:p>
      <w:pPr>
        <w:spacing w:after="0" w:line="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Selected Information</w:t>
      </w:r>
    </w:p>
    <w:p>
      <w:pPr>
        <w:spacing w:after="0" w:line="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 millions, unaudited)</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7"/>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gridSpan w:val="7"/>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7"/>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gridSpan w:val="8"/>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December 31, 2024 (RMB)</w:t>
            </w:r>
          </w:p>
        </w:tc>
        <w:tc>
          <w:tcPr>
            <w:tcW w:w="4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8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September 30, 2025 (RMB)</w:t>
            </w: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6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December 31, 2025 (RMB)</w:t>
            </w: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6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December 31, 2025 (US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tcPr>
          <w:p>
            <w:pPr>
              <w:jc w:val="center"/>
              <w:ind w:right="74"/>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3"/>
                <w:szCs w:val="13"/>
                <w:color w:val="auto"/>
              </w:rPr>
              <w:t>Elim &amp;</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Baidu,</w:t>
            </w:r>
          </w:p>
        </w:tc>
        <w:tc>
          <w:tcPr>
            <w:tcW w:w="40" w:type="dxa"/>
            <w:vAlign w:val="bottom"/>
          </w:tcPr>
          <w:p>
            <w:pPr>
              <w:spacing w:after="0"/>
              <w:rPr>
                <w:sz w:val="9"/>
                <w:szCs w:val="9"/>
                <w:color w:val="auto"/>
              </w:rPr>
            </w:pPr>
          </w:p>
        </w:tc>
        <w:tc>
          <w:tcPr>
            <w:tcW w:w="680" w:type="dxa"/>
            <w:vAlign w:val="bottom"/>
            <w:gridSpan w:val="2"/>
          </w:tcPr>
          <w:p>
            <w:pPr>
              <w:jc w:val="center"/>
              <w:ind w:right="114"/>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3"/>
                <w:szCs w:val="13"/>
                <w:color w:val="auto"/>
              </w:rPr>
              <w:t>Elim &amp;</w:t>
            </w: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60" w:type="dxa"/>
            <w:vAlign w:val="bottom"/>
          </w:tcPr>
          <w:p>
            <w:pPr>
              <w:spacing w:after="0"/>
              <w:rPr>
                <w:sz w:val="9"/>
                <w:szCs w:val="9"/>
                <w:color w:val="auto"/>
              </w:rPr>
            </w:pPr>
          </w:p>
        </w:tc>
        <w:tc>
          <w:tcPr>
            <w:tcW w:w="680" w:type="dxa"/>
            <w:vAlign w:val="bottom"/>
            <w:gridSpan w:val="2"/>
          </w:tcPr>
          <w:p>
            <w:pPr>
              <w:jc w:val="center"/>
              <w:ind w:right="154"/>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3"/>
                <w:szCs w:val="13"/>
                <w:color w:val="auto"/>
              </w:rPr>
              <w:t>Elim &amp;</w:t>
            </w: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8"/>
              </w:rPr>
              <w:t>Baidu,</w:t>
            </w:r>
          </w:p>
        </w:tc>
        <w:tc>
          <w:tcPr>
            <w:tcW w:w="40" w:type="dxa"/>
            <w:vAlign w:val="bottom"/>
          </w:tcPr>
          <w:p>
            <w:pPr>
              <w:spacing w:after="0"/>
              <w:rPr>
                <w:sz w:val="9"/>
                <w:szCs w:val="9"/>
                <w:color w:val="auto"/>
              </w:rPr>
            </w:pPr>
          </w:p>
        </w:tc>
        <w:tc>
          <w:tcPr>
            <w:tcW w:w="58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Elim &amp;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center"/>
              <w:ind w:right="74"/>
              <w:spacing w:after="0" w:line="136" w:lineRule="exact"/>
              <w:rPr>
                <w:sz w:val="20"/>
                <w:szCs w:val="20"/>
                <w:color w:val="auto"/>
              </w:rPr>
            </w:pPr>
            <w:r>
              <w:rPr>
                <w:rFonts w:ascii="Times New Roman" w:cs="Times New Roman" w:eastAsia="Times New Roman" w:hAnsi="Times New Roman"/>
                <w:sz w:val="13"/>
                <w:szCs w:val="13"/>
                <w:b w:val="1"/>
                <w:bCs w:val="1"/>
                <w:color w:val="auto"/>
              </w:rPr>
              <w:t>General</w:t>
            </w:r>
          </w:p>
        </w:tc>
        <w:tc>
          <w:tcPr>
            <w:tcW w:w="5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720" w:type="dxa"/>
            <w:vAlign w:val="bottom"/>
            <w:gridSpan w:val="3"/>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134"/>
              <w:spacing w:after="0" w:line="136" w:lineRule="exact"/>
              <w:rPr>
                <w:sz w:val="20"/>
                <w:szCs w:val="20"/>
                <w:color w:val="auto"/>
              </w:rPr>
            </w:pPr>
            <w:r>
              <w:rPr>
                <w:rFonts w:ascii="Times New Roman" w:cs="Times New Roman" w:eastAsia="Times New Roman" w:hAnsi="Times New Roman"/>
                <w:sz w:val="13"/>
                <w:szCs w:val="13"/>
                <w:b w:val="1"/>
                <w:bCs w:val="1"/>
                <w:color w:val="auto"/>
                <w:w w:val="98"/>
              </w:rPr>
              <w:t>General</w:t>
            </w:r>
          </w:p>
        </w:tc>
        <w:tc>
          <w:tcPr>
            <w:tcW w:w="5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720" w:type="dxa"/>
            <w:vAlign w:val="bottom"/>
            <w:gridSpan w:val="3"/>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54"/>
              <w:spacing w:after="0" w:line="136" w:lineRule="exact"/>
              <w:rPr>
                <w:sz w:val="20"/>
                <w:szCs w:val="20"/>
                <w:color w:val="auto"/>
              </w:rPr>
            </w:pPr>
            <w:r>
              <w:rPr>
                <w:rFonts w:ascii="Times New Roman" w:cs="Times New Roman" w:eastAsia="Times New Roman" w:hAnsi="Times New Roman"/>
                <w:sz w:val="13"/>
                <w:szCs w:val="13"/>
                <w:b w:val="1"/>
                <w:bCs w:val="1"/>
                <w:color w:val="auto"/>
              </w:rPr>
              <w:t>General</w:t>
            </w:r>
          </w:p>
        </w:tc>
        <w:tc>
          <w:tcPr>
            <w:tcW w:w="5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700" w:type="dxa"/>
            <w:vAlign w:val="bottom"/>
            <w:gridSpan w:val="3"/>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center"/>
              <w:ind w:right="80"/>
              <w:spacing w:after="0" w:line="136" w:lineRule="exact"/>
              <w:rPr>
                <w:sz w:val="20"/>
                <w:szCs w:val="20"/>
                <w:color w:val="auto"/>
              </w:rPr>
            </w:pPr>
            <w:r>
              <w:rPr>
                <w:rFonts w:ascii="Times New Roman" w:cs="Times New Roman" w:eastAsia="Times New Roman" w:hAnsi="Times New Roman"/>
                <w:sz w:val="13"/>
                <w:szCs w:val="13"/>
                <w:b w:val="1"/>
                <w:bCs w:val="1"/>
                <w:color w:val="auto"/>
              </w:rPr>
              <w:t>General</w:t>
            </w:r>
          </w:p>
        </w:tc>
        <w:tc>
          <w:tcPr>
            <w:tcW w:w="4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6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gridSpan w:val="3"/>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5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adj</w:t>
            </w:r>
            <w:r>
              <w:rPr>
                <w:rFonts w:ascii="Times New Roman" w:cs="Times New Roman" w:eastAsia="Times New Roman" w:hAnsi="Times New Roman"/>
                <w:sz w:val="9"/>
                <w:szCs w:val="9"/>
                <w:color w:val="auto"/>
              </w:rPr>
              <w:t>(2)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Inc.</w:t>
            </w:r>
          </w:p>
        </w:tc>
        <w:tc>
          <w:tcPr>
            <w:tcW w:w="720" w:type="dxa"/>
            <w:vAlign w:val="bottom"/>
            <w:gridSpan w:val="3"/>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5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adj</w:t>
            </w:r>
            <w:r>
              <w:rPr>
                <w:rFonts w:ascii="Times New Roman" w:cs="Times New Roman" w:eastAsia="Times New Roman" w:hAnsi="Times New Roman"/>
                <w:sz w:val="9"/>
                <w:szCs w:val="9"/>
                <w:color w:val="auto"/>
              </w:rPr>
              <w:t>(2)</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Inc.</w:t>
            </w:r>
          </w:p>
        </w:tc>
        <w:tc>
          <w:tcPr>
            <w:tcW w:w="740" w:type="dxa"/>
            <w:vAlign w:val="bottom"/>
            <w:gridSpan w:val="3"/>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5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adj</w:t>
            </w:r>
            <w:r>
              <w:rPr>
                <w:rFonts w:ascii="Times New Roman" w:cs="Times New Roman" w:eastAsia="Times New Roman" w:hAnsi="Times New Roman"/>
                <w:sz w:val="9"/>
                <w:szCs w:val="9"/>
                <w:color w:val="auto"/>
              </w:rPr>
              <w:t>(2)</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Inc.</w:t>
            </w: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4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adj</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Revenue</w:t>
            </w:r>
          </w:p>
        </w:tc>
        <w:tc>
          <w:tcPr>
            <w:tcW w:w="5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27,698</w:t>
            </w: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6,613</w:t>
            </w:r>
          </w:p>
        </w:tc>
        <w:tc>
          <w:tcPr>
            <w:tcW w:w="1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(187)</w:t>
            </w:r>
          </w:p>
        </w:tc>
        <w:tc>
          <w:tcPr>
            <w:tcW w:w="4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34,124</w:t>
            </w:r>
          </w:p>
        </w:tc>
        <w:tc>
          <w:tcPr>
            <w:tcW w:w="1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24,659</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6,682</w:t>
            </w:r>
          </w:p>
        </w:tc>
        <w:tc>
          <w:tcPr>
            <w:tcW w:w="1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(167)</w:t>
            </w: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31,174</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26,112</w:t>
            </w: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6,794</w:t>
            </w:r>
          </w:p>
        </w:tc>
        <w:tc>
          <w:tcPr>
            <w:tcW w:w="20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(166)</w:t>
            </w: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32,740</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3,734</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972</w:t>
            </w: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YOY</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(6%)</w:t>
            </w:r>
          </w:p>
        </w:tc>
        <w:tc>
          <w:tcPr>
            <w:tcW w:w="580" w:type="dxa"/>
            <w:vAlign w:val="bottom"/>
            <w:gridSpan w:val="3"/>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3%</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(4%)</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QOQ</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34"/>
              <w:spacing w:after="0" w:line="136" w:lineRule="exact"/>
              <w:rPr>
                <w:sz w:val="20"/>
                <w:szCs w:val="20"/>
                <w:color w:val="auto"/>
              </w:rPr>
            </w:pPr>
            <w:r>
              <w:rPr>
                <w:rFonts w:ascii="Times New Roman" w:cs="Times New Roman" w:eastAsia="Times New Roman" w:hAnsi="Times New Roman"/>
                <w:sz w:val="13"/>
                <w:szCs w:val="13"/>
                <w:i w:val="1"/>
                <w:iCs w:val="1"/>
                <w:color w:val="auto"/>
              </w:rPr>
              <w:t>6%</w:t>
            </w:r>
          </w:p>
        </w:tc>
        <w:tc>
          <w:tcPr>
            <w:tcW w:w="580" w:type="dxa"/>
            <w:vAlign w:val="bottom"/>
            <w:gridSpan w:val="3"/>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2%</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i w:val="1"/>
                <w:iCs w:val="1"/>
                <w:color w:val="auto"/>
              </w:rPr>
              <w:t>5%</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Costs and expenses:</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color w:val="auto"/>
              </w:rPr>
              <w:t>Cost of revenue</w:t>
            </w:r>
            <w:r>
              <w:rPr>
                <w:rFonts w:ascii="Times New Roman" w:cs="Times New Roman" w:eastAsia="Times New Roman" w:hAnsi="Times New Roman"/>
                <w:sz w:val="9"/>
                <w:szCs w:val="9"/>
                <w:color w:val="auto"/>
              </w:rPr>
              <w:t>(1)</w:t>
            </w:r>
          </w:p>
        </w:tc>
        <w:tc>
          <w:tcPr>
            <w:tcW w:w="5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13,180</w:t>
            </w: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4,995</w:t>
            </w:r>
          </w:p>
        </w:tc>
        <w:tc>
          <w:tcPr>
            <w:tcW w:w="1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(161)</w:t>
            </w:r>
          </w:p>
        </w:tc>
        <w:tc>
          <w:tcPr>
            <w:tcW w:w="4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18,014</w:t>
            </w:r>
          </w:p>
        </w:tc>
        <w:tc>
          <w:tcPr>
            <w:tcW w:w="1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12,996</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5,467</w:t>
            </w:r>
          </w:p>
        </w:tc>
        <w:tc>
          <w:tcPr>
            <w:tcW w:w="1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(148)</w:t>
            </w: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18,315</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13,042</w:t>
            </w: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5,376</w:t>
            </w:r>
          </w:p>
        </w:tc>
        <w:tc>
          <w:tcPr>
            <w:tcW w:w="20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(141)</w:t>
            </w: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18,277</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1,865</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769</w:t>
            </w: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Pr>
          <w:p>
            <w:pPr>
              <w:ind w:left="240"/>
              <w:spacing w:after="0" w:line="116" w:lineRule="exact"/>
              <w:rPr>
                <w:sz w:val="20"/>
                <w:szCs w:val="20"/>
                <w:color w:val="auto"/>
              </w:rPr>
            </w:pPr>
            <w:r>
              <w:rPr>
                <w:rFonts w:ascii="Times New Roman" w:cs="Times New Roman" w:eastAsia="Times New Roman" w:hAnsi="Times New Roman"/>
                <w:sz w:val="13"/>
                <w:szCs w:val="13"/>
                <w:color w:val="auto"/>
              </w:rPr>
              <w:t>Selling, general</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380"/>
              <w:spacing w:after="0" w:line="136" w:lineRule="exact"/>
              <w:rPr>
                <w:sz w:val="20"/>
                <w:szCs w:val="20"/>
                <w:color w:val="auto"/>
              </w:rPr>
            </w:pPr>
            <w:r>
              <w:rPr>
                <w:rFonts w:ascii="Times New Roman" w:cs="Times New Roman" w:eastAsia="Times New Roman" w:hAnsi="Times New Roman"/>
                <w:sz w:val="13"/>
                <w:szCs w:val="13"/>
                <w:color w:val="auto"/>
              </w:rPr>
              <w:t>and</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5,816</w:t>
            </w:r>
          </w:p>
        </w:tc>
        <w:tc>
          <w:tcPr>
            <w:tcW w:w="140" w:type="dxa"/>
            <w:vAlign w:val="bottom"/>
          </w:tcPr>
          <w:p>
            <w:pPr>
              <w:spacing w:after="0"/>
              <w:rPr>
                <w:sz w:val="11"/>
                <w:szCs w:val="11"/>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80" w:type="dxa"/>
            <w:vAlign w:val="bottom"/>
          </w:tcPr>
          <w:p>
            <w:pPr>
              <w:spacing w:after="0"/>
              <w:rPr>
                <w:sz w:val="11"/>
                <w:szCs w:val="11"/>
                <w:color w:val="auto"/>
              </w:rPr>
            </w:pPr>
          </w:p>
        </w:tc>
        <w:tc>
          <w:tcPr>
            <w:tcW w:w="7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(20)</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6,678</w:t>
            </w:r>
          </w:p>
        </w:tc>
        <w:tc>
          <w:tcPr>
            <w:tcW w:w="14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5,677</w:t>
            </w:r>
          </w:p>
        </w:tc>
        <w:tc>
          <w:tcPr>
            <w:tcW w:w="180" w:type="dxa"/>
            <w:vAlign w:val="bottom"/>
          </w:tcPr>
          <w:p>
            <w:pPr>
              <w:spacing w:after="0"/>
              <w:rPr>
                <w:sz w:val="11"/>
                <w:szCs w:val="11"/>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80" w:type="dxa"/>
            <w:vAlign w:val="bottom"/>
          </w:tcPr>
          <w:p>
            <w:pPr>
              <w:spacing w:after="0"/>
              <w:rPr>
                <w:sz w:val="11"/>
                <w:szCs w:val="11"/>
                <w:color w:val="auto"/>
              </w:rPr>
            </w:pPr>
          </w:p>
        </w:tc>
        <w:tc>
          <w:tcPr>
            <w:tcW w:w="7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(21)</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6,581</w:t>
            </w:r>
          </w:p>
        </w:tc>
        <w:tc>
          <w:tcPr>
            <w:tcW w:w="18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6,455</w:t>
            </w:r>
          </w:p>
        </w:tc>
        <w:tc>
          <w:tcPr>
            <w:tcW w:w="200" w:type="dxa"/>
            <w:vAlign w:val="bottom"/>
          </w:tcPr>
          <w:p>
            <w:pPr>
              <w:spacing w:after="0"/>
              <w:rPr>
                <w:sz w:val="11"/>
                <w:szCs w:val="11"/>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200" w:type="dxa"/>
            <w:vAlign w:val="bottom"/>
          </w:tcPr>
          <w:p>
            <w:pPr>
              <w:spacing w:after="0"/>
              <w:rPr>
                <w:sz w:val="11"/>
                <w:szCs w:val="11"/>
                <w:color w:val="auto"/>
              </w:rPr>
            </w:pPr>
          </w:p>
        </w:tc>
        <w:tc>
          <w:tcPr>
            <w:tcW w:w="7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(12)</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7,389</w:t>
            </w:r>
          </w:p>
        </w:tc>
        <w:tc>
          <w:tcPr>
            <w:tcW w:w="18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80" w:type="dxa"/>
            <w:vAlign w:val="bottom"/>
          </w:tcPr>
          <w:p>
            <w:pPr>
              <w:spacing w:after="0"/>
              <w:rPr>
                <w:sz w:val="11"/>
                <w:szCs w:val="11"/>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Pr>
          <w:p>
            <w:pPr>
              <w:spacing w:after="0"/>
              <w:rPr>
                <w:sz w:val="11"/>
                <w:szCs w:val="11"/>
                <w:color w:val="auto"/>
              </w:rPr>
            </w:pPr>
          </w:p>
        </w:tc>
        <w:tc>
          <w:tcPr>
            <w:tcW w:w="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administrative</w:t>
            </w:r>
            <w:r>
              <w:rPr>
                <w:rFonts w:ascii="Times New Roman" w:cs="Times New Roman" w:eastAsia="Times New Roman" w:hAnsi="Times New Roman"/>
                <w:sz w:val="9"/>
                <w:szCs w:val="9"/>
                <w:color w:val="auto"/>
              </w:rPr>
              <w:t>(1)</w:t>
            </w:r>
          </w:p>
        </w:tc>
        <w:tc>
          <w:tcPr>
            <w:tcW w:w="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3"/>
                <w:szCs w:val="13"/>
                <w:color w:val="auto"/>
              </w:rPr>
              <w:t>Research and</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5,064</w:t>
            </w:r>
          </w:p>
        </w:tc>
        <w:tc>
          <w:tcPr>
            <w:tcW w:w="1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5,515</w:t>
            </w:r>
          </w:p>
        </w:tc>
        <w:tc>
          <w:tcPr>
            <w:tcW w:w="1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4,767</w:t>
            </w:r>
          </w:p>
        </w:tc>
        <w:tc>
          <w:tcPr>
            <w:tcW w:w="1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1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5,174</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5,591</w:t>
            </w:r>
          </w:p>
        </w:tc>
        <w:tc>
          <w:tcPr>
            <w:tcW w:w="1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development</w:t>
            </w:r>
            <w:r>
              <w:rPr>
                <w:rFonts w:ascii="Times New Roman" w:cs="Times New Roman" w:eastAsia="Times New Roman" w:hAnsi="Times New Roman"/>
                <w:sz w:val="9"/>
                <w:szCs w:val="9"/>
                <w:color w:val="auto"/>
              </w:rPr>
              <w:t>(1)</w:t>
            </w:r>
          </w:p>
        </w:tc>
        <w:tc>
          <w:tcPr>
            <w:tcW w:w="5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Pr>
          <w:p>
            <w:pPr>
              <w:ind w:left="240"/>
              <w:spacing w:after="0" w:line="116" w:lineRule="exact"/>
              <w:rPr>
                <w:sz w:val="20"/>
                <w:szCs w:val="20"/>
                <w:color w:val="auto"/>
              </w:rPr>
            </w:pPr>
            <w:r>
              <w:rPr>
                <w:rFonts w:ascii="Times New Roman" w:cs="Times New Roman" w:eastAsia="Times New Roman" w:hAnsi="Times New Roman"/>
                <w:sz w:val="13"/>
                <w:szCs w:val="13"/>
                <w:color w:val="auto"/>
              </w:rPr>
              <w:t>Impairment of</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380"/>
              <w:spacing w:after="0" w:line="136" w:lineRule="exact"/>
              <w:rPr>
                <w:sz w:val="20"/>
                <w:szCs w:val="20"/>
                <w:color w:val="auto"/>
              </w:rPr>
            </w:pPr>
            <w:r>
              <w:rPr>
                <w:rFonts w:ascii="Times New Roman" w:cs="Times New Roman" w:eastAsia="Times New Roman" w:hAnsi="Times New Roman"/>
                <w:sz w:val="13"/>
                <w:szCs w:val="13"/>
                <w:color w:val="auto"/>
              </w:rPr>
              <w:t>long-lived</w:t>
            </w:r>
          </w:p>
        </w:tc>
        <w:tc>
          <w:tcPr>
            <w:tcW w:w="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280" w:type="dxa"/>
            <w:vAlign w:val="bottom"/>
            <w:vMerge w:val="restart"/>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16,190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280" w:type="dxa"/>
            <w:vAlign w:val="bottom"/>
            <w:vMerge w:val="restart"/>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16,190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20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260" w:type="dxa"/>
            <w:vAlign w:val="bottom"/>
            <w:vMerge w:val="restart"/>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assets</w:t>
            </w:r>
          </w:p>
        </w:tc>
        <w:tc>
          <w:tcPr>
            <w:tcW w:w="20" w:type="dxa"/>
            <w:vAlign w:val="bottom"/>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Total costs and</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24,060</w:t>
            </w:r>
          </w:p>
        </w:tc>
        <w:tc>
          <w:tcPr>
            <w:tcW w:w="14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6,328</w:t>
            </w:r>
          </w:p>
        </w:tc>
        <w:tc>
          <w:tcPr>
            <w:tcW w:w="18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(181)</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30,207</w:t>
            </w:r>
          </w:p>
        </w:tc>
        <w:tc>
          <w:tcPr>
            <w:tcW w:w="14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39,630</w:t>
            </w:r>
          </w:p>
        </w:tc>
        <w:tc>
          <w:tcPr>
            <w:tcW w:w="18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6,804</w:t>
            </w:r>
          </w:p>
        </w:tc>
        <w:tc>
          <w:tcPr>
            <w:tcW w:w="18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(169)</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46,265</w:t>
            </w:r>
          </w:p>
        </w:tc>
        <w:tc>
          <w:tcPr>
            <w:tcW w:w="1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24,671</w:t>
            </w:r>
          </w:p>
        </w:tc>
        <w:tc>
          <w:tcPr>
            <w:tcW w:w="20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6,739</w:t>
            </w:r>
          </w:p>
        </w:tc>
        <w:tc>
          <w:tcPr>
            <w:tcW w:w="200" w:type="dxa"/>
            <w:vAlign w:val="bottom"/>
            <w:shd w:val="clear" w:color="auto" w:fill="CCEEFF"/>
          </w:tcPr>
          <w:p>
            <w:pPr>
              <w:spacing w:after="0"/>
              <w:rPr>
                <w:sz w:val="9"/>
                <w:szCs w:val="9"/>
                <w:color w:val="auto"/>
              </w:rPr>
            </w:pPr>
          </w:p>
        </w:tc>
        <w:tc>
          <w:tcPr>
            <w:tcW w:w="7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(153)</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31,257</w:t>
            </w:r>
          </w:p>
        </w:tc>
        <w:tc>
          <w:tcPr>
            <w:tcW w:w="1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3,528</w:t>
            </w:r>
          </w:p>
        </w:tc>
        <w:tc>
          <w:tcPr>
            <w:tcW w:w="8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964</w:t>
            </w:r>
          </w:p>
        </w:tc>
        <w:tc>
          <w:tcPr>
            <w:tcW w:w="8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5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6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i w:val="1"/>
                <w:iCs w:val="1"/>
                <w:color w:val="auto"/>
              </w:rPr>
              <w:t>YOY</w:t>
            </w: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Cost of revenue</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(1%)</w:t>
            </w:r>
          </w:p>
        </w:tc>
        <w:tc>
          <w:tcPr>
            <w:tcW w:w="580" w:type="dxa"/>
            <w:vAlign w:val="bottom"/>
            <w:gridSpan w:val="3"/>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8%</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i w:val="1"/>
                <w:iCs w:val="1"/>
                <w:color w:val="auto"/>
              </w:rPr>
              <w:t>1%</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ind w:left="240"/>
              <w:spacing w:after="0" w:line="114" w:lineRule="exact"/>
              <w:rPr>
                <w:sz w:val="20"/>
                <w:szCs w:val="20"/>
                <w:color w:val="auto"/>
              </w:rPr>
            </w:pPr>
            <w:r>
              <w:rPr>
                <w:rFonts w:ascii="Times New Roman" w:cs="Times New Roman" w:eastAsia="Times New Roman" w:hAnsi="Times New Roman"/>
                <w:sz w:val="13"/>
                <w:szCs w:val="13"/>
                <w:i w:val="1"/>
                <w:iCs w:val="1"/>
                <w:color w:val="auto"/>
              </w:rPr>
              <w:t>Selling, general</w:t>
            </w: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380"/>
              <w:spacing w:after="0" w:line="136" w:lineRule="exact"/>
              <w:rPr>
                <w:sz w:val="20"/>
                <w:szCs w:val="20"/>
                <w:color w:val="auto"/>
              </w:rPr>
            </w:pPr>
            <w:r>
              <w:rPr>
                <w:rFonts w:ascii="Times New Roman" w:cs="Times New Roman" w:eastAsia="Times New Roman" w:hAnsi="Times New Roman"/>
                <w:sz w:val="13"/>
                <w:szCs w:val="13"/>
                <w:i w:val="1"/>
                <w:iCs w:val="1"/>
                <w:color w:val="auto"/>
              </w:rPr>
              <w:t>and</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vMerge w:val="restart"/>
          </w:tcPr>
          <w:p>
            <w:pPr>
              <w:jc w:val="right"/>
              <w:ind w:right="34"/>
              <w:spacing w:after="0"/>
              <w:rPr>
                <w:sz w:val="20"/>
                <w:szCs w:val="20"/>
                <w:color w:val="auto"/>
              </w:rPr>
            </w:pPr>
            <w:r>
              <w:rPr>
                <w:rFonts w:ascii="Times New Roman" w:cs="Times New Roman" w:eastAsia="Times New Roman" w:hAnsi="Times New Roman"/>
                <w:sz w:val="13"/>
                <w:szCs w:val="13"/>
                <w:i w:val="1"/>
                <w:iCs w:val="1"/>
                <w:color w:val="auto"/>
              </w:rPr>
              <w:t>11%</w:t>
            </w:r>
          </w:p>
        </w:tc>
        <w:tc>
          <w:tcPr>
            <w:tcW w:w="5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7%</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11%</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3"/>
                <w:szCs w:val="13"/>
                <w:i w:val="1"/>
                <w:iCs w:val="1"/>
                <w:color w:val="auto"/>
              </w:rPr>
              <w:t>administrative</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shd w:val="clear" w:color="auto" w:fill="CCEEFF"/>
          </w:tcPr>
          <w:p>
            <w:pPr>
              <w:ind w:left="240"/>
              <w:spacing w:after="0" w:line="114" w:lineRule="exact"/>
              <w:rPr>
                <w:sz w:val="20"/>
                <w:szCs w:val="20"/>
                <w:color w:val="auto"/>
              </w:rPr>
            </w:pPr>
            <w:r>
              <w:rPr>
                <w:rFonts w:ascii="Times New Roman" w:cs="Times New Roman" w:eastAsia="Times New Roman" w:hAnsi="Times New Roman"/>
                <w:sz w:val="13"/>
                <w:szCs w:val="13"/>
                <w:i w:val="1"/>
                <w:iCs w:val="1"/>
                <w:color w:val="auto"/>
              </w:rPr>
              <w:t>Research and</w:t>
            </w: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i w:val="1"/>
                <w:iCs w:val="1"/>
                <w:color w:val="auto"/>
              </w:rPr>
              <w:t>2%</w:t>
            </w:r>
          </w:p>
        </w:tc>
        <w:tc>
          <w:tcPr>
            <w:tcW w:w="5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i w:val="1"/>
                <w:iCs w:val="1"/>
                <w:color w:val="auto"/>
              </w:rPr>
              <w:t>(8%)</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1%</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i w:val="1"/>
                <w:iCs w:val="1"/>
                <w:color w:val="auto"/>
              </w:rPr>
              <w:t>development</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ind w:left="240"/>
              <w:spacing w:after="0" w:line="114" w:lineRule="exact"/>
              <w:rPr>
                <w:sz w:val="20"/>
                <w:szCs w:val="20"/>
                <w:color w:val="auto"/>
              </w:rPr>
            </w:pPr>
            <w:r>
              <w:rPr>
                <w:rFonts w:ascii="Times New Roman" w:cs="Times New Roman" w:eastAsia="Times New Roman" w:hAnsi="Times New Roman"/>
                <w:sz w:val="13"/>
                <w:szCs w:val="13"/>
                <w:i w:val="1"/>
                <w:iCs w:val="1"/>
                <w:color w:val="auto"/>
              </w:rPr>
              <w:t>Impairment of</w:t>
            </w: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380"/>
              <w:spacing w:after="0" w:line="136" w:lineRule="exact"/>
              <w:rPr>
                <w:sz w:val="20"/>
                <w:szCs w:val="20"/>
                <w:color w:val="auto"/>
              </w:rPr>
            </w:pPr>
            <w:r>
              <w:rPr>
                <w:rFonts w:ascii="Times New Roman" w:cs="Times New Roman" w:eastAsia="Times New Roman" w:hAnsi="Times New Roman"/>
                <w:sz w:val="13"/>
                <w:szCs w:val="13"/>
                <w:i w:val="1"/>
                <w:iCs w:val="1"/>
                <w:color w:val="auto"/>
              </w:rPr>
              <w:t>long-lived</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jc w:val="right"/>
              <w:ind w:right="174"/>
              <w:spacing w:after="0"/>
              <w:rPr>
                <w:sz w:val="20"/>
                <w:szCs w:val="20"/>
                <w:color w:val="auto"/>
              </w:rPr>
            </w:pPr>
            <w:r>
              <w:rPr>
                <w:rFonts w:ascii="Times New Roman" w:cs="Times New Roman" w:eastAsia="Times New Roman" w:hAnsi="Times New Roman"/>
                <w:sz w:val="13"/>
                <w:szCs w:val="13"/>
                <w:i w:val="1"/>
                <w:iCs w:val="1"/>
                <w:color w:val="auto"/>
              </w:rPr>
              <w:t>— </w:t>
            </w:r>
          </w:p>
        </w:tc>
        <w:tc>
          <w:tcPr>
            <w:tcW w:w="40" w:type="dxa"/>
            <w:vAlign w:val="bottom"/>
          </w:tcPr>
          <w:p>
            <w:pPr>
              <w:spacing w:after="0"/>
              <w:rPr>
                <w:sz w:val="11"/>
                <w:szCs w:val="11"/>
                <w:color w:val="auto"/>
              </w:rPr>
            </w:pPr>
          </w:p>
        </w:tc>
        <w:tc>
          <w:tcPr>
            <w:tcW w:w="5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i w:val="1"/>
                <w:iCs w:val="1"/>
                <w:color w:val="auto"/>
              </w:rPr>
              <w:t>— </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i w:val="1"/>
                <w:iCs w:val="1"/>
                <w:color w:val="auto"/>
              </w:rPr>
              <w:t>— </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3"/>
                <w:szCs w:val="13"/>
                <w:i w:val="1"/>
                <w:iCs w:val="1"/>
                <w:color w:val="auto"/>
              </w:rPr>
              <w:t>assets</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shd w:val="clear" w:color="auto" w:fill="CCEEFF"/>
          </w:tcPr>
          <w:p>
            <w:pPr>
              <w:ind w:left="240"/>
              <w:spacing w:after="0" w:line="114" w:lineRule="exact"/>
              <w:rPr>
                <w:sz w:val="20"/>
                <w:szCs w:val="20"/>
                <w:color w:val="auto"/>
              </w:rPr>
            </w:pPr>
            <w:r>
              <w:rPr>
                <w:rFonts w:ascii="Times New Roman" w:cs="Times New Roman" w:eastAsia="Times New Roman" w:hAnsi="Times New Roman"/>
                <w:sz w:val="13"/>
                <w:szCs w:val="13"/>
                <w:i w:val="1"/>
                <w:iCs w:val="1"/>
                <w:color w:val="auto"/>
              </w:rPr>
              <w:t>Costs and</w:t>
            </w: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i w:val="1"/>
                <w:iCs w:val="1"/>
                <w:color w:val="auto"/>
              </w:rPr>
              <w:t>3%</w:t>
            </w:r>
          </w:p>
        </w:tc>
        <w:tc>
          <w:tcPr>
            <w:tcW w:w="5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6%</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3%</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i w:val="1"/>
                <w:iCs w:val="1"/>
                <w:color w:val="auto"/>
              </w:rPr>
              <w:t>expenses</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QOQ</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Cost of revenue</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34"/>
              <w:spacing w:after="0" w:line="136" w:lineRule="exact"/>
              <w:rPr>
                <w:sz w:val="20"/>
                <w:szCs w:val="20"/>
                <w:color w:val="auto"/>
              </w:rPr>
            </w:pPr>
            <w:r>
              <w:rPr>
                <w:rFonts w:ascii="Times New Roman" w:cs="Times New Roman" w:eastAsia="Times New Roman" w:hAnsi="Times New Roman"/>
                <w:sz w:val="13"/>
                <w:szCs w:val="13"/>
                <w:i w:val="1"/>
                <w:iCs w:val="1"/>
                <w:color w:val="auto"/>
              </w:rPr>
              <w:t>0%</w:t>
            </w:r>
          </w:p>
        </w:tc>
        <w:tc>
          <w:tcPr>
            <w:tcW w:w="580" w:type="dxa"/>
            <w:vAlign w:val="bottom"/>
            <w:gridSpan w:val="3"/>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(2%)</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(0%)</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ind w:left="240"/>
              <w:spacing w:after="0" w:line="114" w:lineRule="exact"/>
              <w:rPr>
                <w:sz w:val="20"/>
                <w:szCs w:val="20"/>
                <w:color w:val="auto"/>
              </w:rPr>
            </w:pPr>
            <w:r>
              <w:rPr>
                <w:rFonts w:ascii="Times New Roman" w:cs="Times New Roman" w:eastAsia="Times New Roman" w:hAnsi="Times New Roman"/>
                <w:sz w:val="13"/>
                <w:szCs w:val="13"/>
                <w:i w:val="1"/>
                <w:iCs w:val="1"/>
                <w:color w:val="auto"/>
              </w:rPr>
              <w:t>Selling, general</w:t>
            </w: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380"/>
              <w:spacing w:after="0" w:line="136" w:lineRule="exact"/>
              <w:rPr>
                <w:sz w:val="20"/>
                <w:szCs w:val="20"/>
                <w:color w:val="auto"/>
              </w:rPr>
            </w:pPr>
            <w:r>
              <w:rPr>
                <w:rFonts w:ascii="Times New Roman" w:cs="Times New Roman" w:eastAsia="Times New Roman" w:hAnsi="Times New Roman"/>
                <w:sz w:val="13"/>
                <w:szCs w:val="13"/>
                <w:i w:val="1"/>
                <w:iCs w:val="1"/>
                <w:color w:val="auto"/>
              </w:rPr>
              <w:t>and</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vMerge w:val="restart"/>
          </w:tcPr>
          <w:p>
            <w:pPr>
              <w:jc w:val="right"/>
              <w:ind w:right="34"/>
              <w:spacing w:after="0"/>
              <w:rPr>
                <w:sz w:val="20"/>
                <w:szCs w:val="20"/>
                <w:color w:val="auto"/>
              </w:rPr>
            </w:pPr>
            <w:r>
              <w:rPr>
                <w:rFonts w:ascii="Times New Roman" w:cs="Times New Roman" w:eastAsia="Times New Roman" w:hAnsi="Times New Roman"/>
                <w:sz w:val="13"/>
                <w:szCs w:val="13"/>
                <w:i w:val="1"/>
                <w:iCs w:val="1"/>
                <w:color w:val="auto"/>
              </w:rPr>
              <w:t>14%</w:t>
            </w:r>
          </w:p>
        </w:tc>
        <w:tc>
          <w:tcPr>
            <w:tcW w:w="5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2%</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12%</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3"/>
                <w:szCs w:val="13"/>
                <w:i w:val="1"/>
                <w:iCs w:val="1"/>
                <w:color w:val="auto"/>
              </w:rPr>
              <w:t>administrative</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shd w:val="clear" w:color="auto" w:fill="CCEEFF"/>
          </w:tcPr>
          <w:p>
            <w:pPr>
              <w:ind w:left="240"/>
              <w:spacing w:after="0" w:line="114" w:lineRule="exact"/>
              <w:rPr>
                <w:sz w:val="20"/>
                <w:szCs w:val="20"/>
                <w:color w:val="auto"/>
              </w:rPr>
            </w:pPr>
            <w:r>
              <w:rPr>
                <w:rFonts w:ascii="Times New Roman" w:cs="Times New Roman" w:eastAsia="Times New Roman" w:hAnsi="Times New Roman"/>
                <w:sz w:val="13"/>
                <w:szCs w:val="13"/>
                <w:i w:val="1"/>
                <w:iCs w:val="1"/>
                <w:color w:val="auto"/>
              </w:rPr>
              <w:t>Research and</w:t>
            </w: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i w:val="1"/>
                <w:iCs w:val="1"/>
                <w:color w:val="auto"/>
              </w:rPr>
              <w:t>9%</w:t>
            </w:r>
          </w:p>
        </w:tc>
        <w:tc>
          <w:tcPr>
            <w:tcW w:w="5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1%</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8%</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i w:val="1"/>
                <w:iCs w:val="1"/>
                <w:color w:val="auto"/>
              </w:rPr>
              <w:t>development</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ind w:left="240"/>
              <w:spacing w:after="0" w:line="114" w:lineRule="exact"/>
              <w:rPr>
                <w:sz w:val="20"/>
                <w:szCs w:val="20"/>
                <w:color w:val="auto"/>
              </w:rPr>
            </w:pPr>
            <w:r>
              <w:rPr>
                <w:rFonts w:ascii="Times New Roman" w:cs="Times New Roman" w:eastAsia="Times New Roman" w:hAnsi="Times New Roman"/>
                <w:sz w:val="13"/>
                <w:szCs w:val="13"/>
                <w:i w:val="1"/>
                <w:iCs w:val="1"/>
                <w:color w:val="auto"/>
              </w:rPr>
              <w:t>Impairment of</w:t>
            </w: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380"/>
              <w:spacing w:after="0" w:line="136" w:lineRule="exact"/>
              <w:rPr>
                <w:sz w:val="20"/>
                <w:szCs w:val="20"/>
                <w:color w:val="auto"/>
              </w:rPr>
            </w:pPr>
            <w:r>
              <w:rPr>
                <w:rFonts w:ascii="Times New Roman" w:cs="Times New Roman" w:eastAsia="Times New Roman" w:hAnsi="Times New Roman"/>
                <w:sz w:val="13"/>
                <w:szCs w:val="13"/>
                <w:i w:val="1"/>
                <w:iCs w:val="1"/>
                <w:color w:val="auto"/>
              </w:rPr>
              <w:t>long-lived</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i w:val="1"/>
                <w:iCs w:val="1"/>
                <w:color w:val="auto"/>
              </w:rPr>
              <w:t>(100%)</w:t>
            </w:r>
          </w:p>
        </w:tc>
        <w:tc>
          <w:tcPr>
            <w:tcW w:w="40" w:type="dxa"/>
            <w:vAlign w:val="bottom"/>
          </w:tcPr>
          <w:p>
            <w:pPr>
              <w:spacing w:after="0"/>
              <w:rPr>
                <w:sz w:val="11"/>
                <w:szCs w:val="11"/>
                <w:color w:val="auto"/>
              </w:rPr>
            </w:pPr>
          </w:p>
        </w:tc>
        <w:tc>
          <w:tcPr>
            <w:tcW w:w="5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i w:val="1"/>
                <w:iCs w:val="1"/>
                <w:color w:val="auto"/>
              </w:rPr>
              <w:t>— </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i w:val="1"/>
                <w:iCs w:val="1"/>
                <w:color w:val="auto"/>
              </w:rPr>
              <w:t>(100%)</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3"/>
                <w:szCs w:val="13"/>
                <w:i w:val="1"/>
                <w:iCs w:val="1"/>
                <w:color w:val="auto"/>
              </w:rPr>
              <w:t>assets</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shd w:val="clear" w:color="auto" w:fill="CCEEFF"/>
          </w:tcPr>
          <w:p>
            <w:pPr>
              <w:ind w:left="240"/>
              <w:spacing w:after="0" w:line="114" w:lineRule="exact"/>
              <w:rPr>
                <w:sz w:val="20"/>
                <w:szCs w:val="20"/>
                <w:color w:val="auto"/>
              </w:rPr>
            </w:pPr>
            <w:r>
              <w:rPr>
                <w:rFonts w:ascii="Times New Roman" w:cs="Times New Roman" w:eastAsia="Times New Roman" w:hAnsi="Times New Roman"/>
                <w:sz w:val="13"/>
                <w:szCs w:val="13"/>
                <w:i w:val="1"/>
                <w:iCs w:val="1"/>
                <w:color w:val="auto"/>
              </w:rPr>
              <w:t>Costs and</w:t>
            </w: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(38%)</w:t>
            </w:r>
          </w:p>
        </w:tc>
        <w:tc>
          <w:tcPr>
            <w:tcW w:w="5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i w:val="1"/>
                <w:iCs w:val="1"/>
                <w:color w:val="auto"/>
              </w:rPr>
              <w:t>(1%)</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i w:val="1"/>
                <w:iCs w:val="1"/>
                <w:color w:val="auto"/>
              </w:rPr>
              <w:t>(32%)</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i w:val="1"/>
                <w:iCs w:val="1"/>
                <w:color w:val="auto"/>
              </w:rPr>
              <w:t>expenses</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3,638</w:t>
            </w:r>
          </w:p>
        </w:tc>
        <w:tc>
          <w:tcPr>
            <w:tcW w:w="140" w:type="dxa"/>
            <w:vAlign w:val="bottom"/>
          </w:tcPr>
          <w:p>
            <w:pPr>
              <w:spacing w:after="0"/>
              <w:rPr>
                <w:sz w:val="9"/>
                <w:szCs w:val="9"/>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285</w:t>
            </w:r>
          </w:p>
        </w:tc>
        <w:tc>
          <w:tcPr>
            <w:tcW w:w="180" w:type="dxa"/>
            <w:vAlign w:val="bottom"/>
          </w:tcPr>
          <w:p>
            <w:pPr>
              <w:spacing w:after="0"/>
              <w:rPr>
                <w:sz w:val="9"/>
                <w:szCs w:val="9"/>
                <w:color w:val="auto"/>
              </w:rPr>
            </w:pPr>
          </w:p>
        </w:tc>
        <w:tc>
          <w:tcPr>
            <w:tcW w:w="7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(6)</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3,917</w:t>
            </w:r>
          </w:p>
        </w:tc>
        <w:tc>
          <w:tcPr>
            <w:tcW w:w="140" w:type="dxa"/>
            <w:vAlign w:val="bottom"/>
          </w:tcPr>
          <w:p>
            <w:pPr>
              <w:spacing w:after="0"/>
              <w:rPr>
                <w:sz w:val="9"/>
                <w:szCs w:val="9"/>
                <w:color w:val="auto"/>
              </w:rPr>
            </w:pPr>
          </w:p>
        </w:tc>
        <w:tc>
          <w:tcPr>
            <w:tcW w:w="720" w:type="dxa"/>
            <w:vAlign w:val="bottom"/>
            <w:gridSpan w:val="3"/>
            <w:vMerge w:val="restart"/>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(14,971)</w:t>
            </w:r>
          </w:p>
        </w:tc>
        <w:tc>
          <w:tcPr>
            <w:tcW w:w="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(122)</w:t>
            </w: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(15,091)</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1,441</w:t>
            </w:r>
          </w:p>
        </w:tc>
        <w:tc>
          <w:tcPr>
            <w:tcW w:w="200" w:type="dxa"/>
            <w:vAlign w:val="bottom"/>
          </w:tcPr>
          <w:p>
            <w:pPr>
              <w:spacing w:after="0"/>
              <w:rPr>
                <w:sz w:val="9"/>
                <w:szCs w:val="9"/>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55</w:t>
            </w:r>
          </w:p>
        </w:tc>
        <w:tc>
          <w:tcPr>
            <w:tcW w:w="200" w:type="dxa"/>
            <w:vAlign w:val="bottom"/>
          </w:tcPr>
          <w:p>
            <w:pPr>
              <w:spacing w:after="0"/>
              <w:rPr>
                <w:sz w:val="9"/>
                <w:szCs w:val="9"/>
                <w:color w:val="auto"/>
              </w:rPr>
            </w:pPr>
          </w:p>
        </w:tc>
        <w:tc>
          <w:tcPr>
            <w:tcW w:w="7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(13)</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1,483</w:t>
            </w:r>
          </w:p>
        </w:tc>
        <w:tc>
          <w:tcPr>
            <w:tcW w:w="180" w:type="dxa"/>
            <w:vAlign w:val="bottom"/>
          </w:tcPr>
          <w:p>
            <w:pPr>
              <w:spacing w:after="0"/>
              <w:rPr>
                <w:sz w:val="9"/>
                <w:szCs w:val="9"/>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206</w:t>
            </w:r>
          </w:p>
        </w:tc>
        <w:tc>
          <w:tcPr>
            <w:tcW w:w="80" w:type="dxa"/>
            <w:vAlign w:val="bottom"/>
          </w:tcPr>
          <w:p>
            <w:pPr>
              <w:spacing w:after="0"/>
              <w:rPr>
                <w:sz w:val="9"/>
                <w:szCs w:val="9"/>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80" w:type="dxa"/>
            <w:vAlign w:val="bottom"/>
          </w:tcPr>
          <w:p>
            <w:pPr>
              <w:spacing w:after="0"/>
              <w:rPr>
                <w:sz w:val="9"/>
                <w:szCs w:val="9"/>
                <w:color w:val="auto"/>
              </w:rPr>
            </w:pPr>
          </w:p>
        </w:tc>
        <w:tc>
          <w:tcPr>
            <w:tcW w:w="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YOY</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(60%)</w:t>
            </w:r>
          </w:p>
        </w:tc>
        <w:tc>
          <w:tcPr>
            <w:tcW w:w="580" w:type="dxa"/>
            <w:vAlign w:val="bottom"/>
            <w:gridSpan w:val="3"/>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(81%)</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(62%)</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QOQ</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74"/>
              <w:spacing w:after="0" w:line="136" w:lineRule="exact"/>
              <w:rPr>
                <w:sz w:val="20"/>
                <w:szCs w:val="20"/>
                <w:color w:val="auto"/>
              </w:rPr>
            </w:pPr>
            <w:r>
              <w:rPr>
                <w:rFonts w:ascii="Times New Roman" w:cs="Times New Roman" w:eastAsia="Times New Roman" w:hAnsi="Times New Roman"/>
                <w:sz w:val="13"/>
                <w:szCs w:val="13"/>
                <w:i w:val="1"/>
                <w:iCs w:val="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i w:val="1"/>
                <w:iCs w:val="1"/>
                <w:color w:val="auto"/>
              </w:rPr>
              <w:t>— </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i w:val="1"/>
                <w:iCs w:val="1"/>
                <w:color w:val="auto"/>
              </w:rPr>
              <w:t>— </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i w:val="1"/>
                <w:iCs w:val="1"/>
                <w:color w:val="auto"/>
              </w:rPr>
              <w:t>Operating margin</w:t>
            </w:r>
          </w:p>
        </w:tc>
        <w:tc>
          <w:tcPr>
            <w:tcW w:w="66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13%</w:t>
            </w:r>
          </w:p>
        </w:tc>
        <w:tc>
          <w:tcPr>
            <w:tcW w:w="580" w:type="dxa"/>
            <w:vAlign w:val="bottom"/>
            <w:gridSpan w:val="3"/>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i w:val="1"/>
                <w:iCs w:val="1"/>
                <w:color w:val="auto"/>
              </w:rPr>
              <w:t>4%</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11%</w:t>
            </w:r>
          </w:p>
        </w:tc>
        <w:tc>
          <w:tcPr>
            <w:tcW w:w="72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(61%)</w:t>
            </w:r>
          </w:p>
        </w:tc>
        <w:tc>
          <w:tcPr>
            <w:tcW w:w="580" w:type="dxa"/>
            <w:vAlign w:val="bottom"/>
            <w:gridSpan w:val="3"/>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(2%)</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(48%)</w:t>
            </w:r>
          </w:p>
        </w:tc>
        <w:tc>
          <w:tcPr>
            <w:tcW w:w="740" w:type="dxa"/>
            <w:vAlign w:val="bottom"/>
            <w:gridSpan w:val="3"/>
            <w:shd w:val="clear" w:color="auto" w:fill="CCEEFF"/>
          </w:tcPr>
          <w:p>
            <w:pPr>
              <w:jc w:val="right"/>
              <w:ind w:right="34"/>
              <w:spacing w:after="0" w:line="136" w:lineRule="exact"/>
              <w:rPr>
                <w:sz w:val="20"/>
                <w:szCs w:val="20"/>
                <w:color w:val="auto"/>
              </w:rPr>
            </w:pPr>
            <w:r>
              <w:rPr>
                <w:rFonts w:ascii="Times New Roman" w:cs="Times New Roman" w:eastAsia="Times New Roman" w:hAnsi="Times New Roman"/>
                <w:sz w:val="13"/>
                <w:szCs w:val="13"/>
                <w:i w:val="1"/>
                <w:iCs w:val="1"/>
                <w:color w:val="auto"/>
              </w:rPr>
              <w:t>6%</w:t>
            </w:r>
          </w:p>
        </w:tc>
        <w:tc>
          <w:tcPr>
            <w:tcW w:w="580" w:type="dxa"/>
            <w:vAlign w:val="bottom"/>
            <w:gridSpan w:val="3"/>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1%</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i w:val="1"/>
                <w:iCs w:val="1"/>
                <w:color w:val="auto"/>
              </w:rPr>
              <w:t>5%</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Pr>
          <w:p>
            <w:pPr>
              <w:ind w:left="240"/>
              <w:spacing w:after="0" w:line="116" w:lineRule="exact"/>
              <w:rPr>
                <w:sz w:val="20"/>
                <w:szCs w:val="20"/>
                <w:color w:val="auto"/>
              </w:rPr>
            </w:pPr>
            <w:r>
              <w:rPr>
                <w:rFonts w:ascii="Times New Roman" w:cs="Times New Roman" w:eastAsia="Times New Roman" w:hAnsi="Times New Roman"/>
                <w:sz w:val="13"/>
                <w:szCs w:val="13"/>
                <w:color w:val="auto"/>
              </w:rPr>
              <w:t>Add: total other</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380"/>
              <w:spacing w:after="0" w:line="136" w:lineRule="exact"/>
              <w:rPr>
                <w:sz w:val="20"/>
                <w:szCs w:val="20"/>
                <w:color w:val="auto"/>
              </w:rPr>
            </w:pPr>
            <w:r>
              <w:rPr>
                <w:rFonts w:ascii="Times New Roman" w:cs="Times New Roman" w:eastAsia="Times New Roman" w:hAnsi="Times New Roman"/>
                <w:sz w:val="13"/>
                <w:szCs w:val="13"/>
                <w:color w:val="auto"/>
              </w:rPr>
              <w:t>income (loss),</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3,125</w:t>
            </w:r>
          </w:p>
        </w:tc>
        <w:tc>
          <w:tcPr>
            <w:tcW w:w="140" w:type="dxa"/>
            <w:vAlign w:val="bottom"/>
          </w:tcPr>
          <w:p>
            <w:pPr>
              <w:spacing w:after="0"/>
              <w:rPr>
                <w:sz w:val="11"/>
                <w:szCs w:val="11"/>
                <w:color w:val="auto"/>
              </w:rPr>
            </w:pPr>
          </w:p>
        </w:tc>
        <w:tc>
          <w:tcPr>
            <w:tcW w:w="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(465)</w:t>
            </w:r>
          </w:p>
        </w:tc>
        <w:tc>
          <w:tcPr>
            <w:tcW w:w="40" w:type="dxa"/>
            <w:vAlign w:val="bottom"/>
          </w:tcPr>
          <w:p>
            <w:pPr>
              <w:spacing w:after="0"/>
              <w:rPr>
                <w:sz w:val="11"/>
                <w:szCs w:val="11"/>
                <w:color w:val="auto"/>
              </w:rPr>
            </w:pPr>
          </w:p>
        </w:tc>
        <w:tc>
          <w:tcPr>
            <w:tcW w:w="6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2,660</w:t>
            </w:r>
          </w:p>
        </w:tc>
        <w:tc>
          <w:tcPr>
            <w:tcW w:w="14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2,031</w:t>
            </w:r>
          </w:p>
        </w:tc>
        <w:tc>
          <w:tcPr>
            <w:tcW w:w="180" w:type="dxa"/>
            <w:vAlign w:val="bottom"/>
          </w:tcPr>
          <w:p>
            <w:pPr>
              <w:spacing w:after="0"/>
              <w:rPr>
                <w:sz w:val="11"/>
                <w:szCs w:val="11"/>
                <w:color w:val="auto"/>
              </w:rPr>
            </w:pPr>
          </w:p>
        </w:tc>
        <w:tc>
          <w:tcPr>
            <w:tcW w:w="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(85)</w:t>
            </w:r>
          </w:p>
        </w:tc>
        <w:tc>
          <w:tcPr>
            <w:tcW w:w="40" w:type="dxa"/>
            <w:vAlign w:val="bottom"/>
          </w:tcPr>
          <w:p>
            <w:pPr>
              <w:spacing w:after="0"/>
              <w:rPr>
                <w:sz w:val="11"/>
                <w:szCs w:val="11"/>
                <w:color w:val="auto"/>
              </w:rPr>
            </w:pPr>
          </w:p>
        </w:tc>
        <w:tc>
          <w:tcPr>
            <w:tcW w:w="6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1,946</w:t>
            </w:r>
          </w:p>
        </w:tc>
        <w:tc>
          <w:tcPr>
            <w:tcW w:w="18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1,270</w:t>
            </w:r>
          </w:p>
        </w:tc>
        <w:tc>
          <w:tcPr>
            <w:tcW w:w="200" w:type="dxa"/>
            <w:vAlign w:val="bottom"/>
          </w:tcPr>
          <w:p>
            <w:pPr>
              <w:spacing w:after="0"/>
              <w:rPr>
                <w:sz w:val="11"/>
                <w:szCs w:val="11"/>
                <w:color w:val="auto"/>
              </w:rPr>
            </w:pPr>
          </w:p>
        </w:tc>
        <w:tc>
          <w:tcPr>
            <w:tcW w:w="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(27)</w:t>
            </w:r>
          </w:p>
        </w:tc>
        <w:tc>
          <w:tcPr>
            <w:tcW w:w="40" w:type="dxa"/>
            <w:vAlign w:val="bottom"/>
          </w:tcPr>
          <w:p>
            <w:pPr>
              <w:spacing w:after="0"/>
              <w:rPr>
                <w:sz w:val="11"/>
                <w:szCs w:val="11"/>
                <w:color w:val="auto"/>
              </w:rPr>
            </w:pPr>
          </w:p>
        </w:tc>
        <w:tc>
          <w:tcPr>
            <w:tcW w:w="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1,243</w:t>
            </w:r>
          </w:p>
        </w:tc>
        <w:tc>
          <w:tcPr>
            <w:tcW w:w="18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Pr>
          <w:p>
            <w:pPr>
              <w:spacing w:after="0"/>
              <w:rPr>
                <w:sz w:val="11"/>
                <w:szCs w:val="11"/>
                <w:color w:val="auto"/>
              </w:rPr>
            </w:pPr>
          </w:p>
        </w:tc>
        <w:tc>
          <w:tcPr>
            <w:tcW w:w="4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1"/>
                <w:szCs w:val="11"/>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net</w:t>
            </w:r>
          </w:p>
        </w:tc>
        <w:tc>
          <w:tcPr>
            <w:tcW w:w="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3"/>
                <w:szCs w:val="13"/>
                <w:color w:val="auto"/>
              </w:rPr>
              <w:t>Less: income tax</w:t>
            </w: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ind w:left="380"/>
              <w:spacing w:after="0" w:line="136" w:lineRule="exact"/>
              <w:rPr>
                <w:sz w:val="20"/>
                <w:szCs w:val="20"/>
                <w:color w:val="auto"/>
              </w:rPr>
            </w:pPr>
            <w:r>
              <w:rPr>
                <w:rFonts w:ascii="Times New Roman" w:cs="Times New Roman" w:eastAsia="Times New Roman" w:hAnsi="Times New Roman"/>
                <w:sz w:val="13"/>
                <w:szCs w:val="13"/>
                <w:color w:val="auto"/>
              </w:rPr>
              <w:t>expense</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14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w:t>
            </w:r>
          </w:p>
        </w:tc>
        <w:tc>
          <w:tcPr>
            <w:tcW w:w="14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(1,868)</w:t>
            </w: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(1,828)</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(benefit)</w:t>
            </w:r>
          </w:p>
        </w:tc>
        <w:tc>
          <w:tcPr>
            <w:tcW w:w="5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Pr>
          <w:p>
            <w:pPr>
              <w:ind w:left="240"/>
              <w:spacing w:after="0" w:line="116" w:lineRule="exact"/>
              <w:rPr>
                <w:sz w:val="20"/>
                <w:szCs w:val="20"/>
                <w:color w:val="auto"/>
              </w:rPr>
            </w:pPr>
            <w:r>
              <w:rPr>
                <w:rFonts w:ascii="Times New Roman" w:cs="Times New Roman" w:eastAsia="Times New Roman" w:hAnsi="Times New Roman"/>
                <w:sz w:val="13"/>
                <w:szCs w:val="13"/>
                <w:color w:val="auto"/>
              </w:rPr>
              <w:t>Less: net income</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380"/>
              <w:spacing w:after="0" w:line="136" w:lineRule="exact"/>
              <w:rPr>
                <w:sz w:val="20"/>
                <w:szCs w:val="20"/>
                <w:color w:val="auto"/>
              </w:rPr>
            </w:pPr>
            <w:r>
              <w:rPr>
                <w:rFonts w:ascii="Times New Roman" w:cs="Times New Roman" w:eastAsia="Times New Roman" w:hAnsi="Times New Roman"/>
                <w:sz w:val="13"/>
                <w:szCs w:val="13"/>
                <w:color w:val="auto"/>
              </w:rPr>
              <w:t>(loss)</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380"/>
              <w:spacing w:after="0" w:line="136" w:lineRule="exact"/>
              <w:rPr>
                <w:sz w:val="20"/>
                <w:szCs w:val="20"/>
                <w:color w:val="auto"/>
              </w:rPr>
            </w:pPr>
            <w:r>
              <w:rPr>
                <w:rFonts w:ascii="Times New Roman" w:cs="Times New Roman" w:eastAsia="Times New Roman" w:hAnsi="Times New Roman"/>
                <w:sz w:val="13"/>
                <w:szCs w:val="13"/>
                <w:color w:val="auto"/>
              </w:rPr>
              <w:t>attributable to</w:t>
            </w:r>
          </w:p>
        </w:tc>
        <w:tc>
          <w:tcPr>
            <w:tcW w:w="660" w:type="dxa"/>
            <w:vAlign w:val="bottom"/>
            <w:gridSpan w:val="3"/>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(132)</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1"/>
                <w:szCs w:val="11"/>
                <w:color w:val="auto"/>
              </w:rPr>
            </w:pPr>
          </w:p>
        </w:tc>
        <w:tc>
          <w:tcPr>
            <w:tcW w:w="7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(104)(3)</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(234)</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80" w:type="dxa"/>
            <w:vAlign w:val="bottom"/>
          </w:tcPr>
          <w:p>
            <w:pPr>
              <w:spacing w:after="0"/>
              <w:rPr>
                <w:sz w:val="11"/>
                <w:szCs w:val="11"/>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1"/>
                <w:szCs w:val="11"/>
                <w:color w:val="auto"/>
              </w:rPr>
            </w:pPr>
          </w:p>
        </w:tc>
        <w:tc>
          <w:tcPr>
            <w:tcW w:w="7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(136)(3)</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(85)</w:t>
            </w:r>
          </w:p>
        </w:tc>
        <w:tc>
          <w:tcPr>
            <w:tcW w:w="740" w:type="dxa"/>
            <w:vAlign w:val="bottom"/>
            <w:gridSpan w:val="3"/>
            <w:vMerge w:val="restart"/>
          </w:tcPr>
          <w:p>
            <w:pPr>
              <w:jc w:val="right"/>
              <w:ind w:right="94"/>
              <w:spacing w:after="0"/>
              <w:rPr>
                <w:sz w:val="20"/>
                <w:szCs w:val="20"/>
                <w:color w:val="auto"/>
              </w:rPr>
            </w:pPr>
            <w:r>
              <w:rPr>
                <w:rFonts w:ascii="Times New Roman" w:cs="Times New Roman" w:eastAsia="Times New Roman" w:hAnsi="Times New Roman"/>
                <w:sz w:val="13"/>
                <w:szCs w:val="13"/>
                <w:color w:val="auto"/>
              </w:rPr>
              <w:t>(79)</w:t>
            </w:r>
          </w:p>
        </w:tc>
        <w:tc>
          <w:tcPr>
            <w:tcW w:w="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7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(4)(3)</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(85)</w:t>
            </w:r>
          </w:p>
        </w:tc>
        <w:tc>
          <w:tcPr>
            <w:tcW w:w="6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w:t>
            </w:r>
          </w:p>
        </w:tc>
        <w:tc>
          <w:tcPr>
            <w:tcW w:w="40" w:type="dxa"/>
            <w:vAlign w:val="bottom"/>
          </w:tcPr>
          <w:p>
            <w:pPr>
              <w:spacing w:after="0"/>
              <w:rPr>
                <w:sz w:val="11"/>
                <w:szCs w:val="11"/>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6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NCI</w:t>
            </w:r>
          </w:p>
        </w:tc>
        <w:tc>
          <w:tcPr>
            <w:tcW w:w="660" w:type="dxa"/>
            <w:vAlign w:val="bottom"/>
            <w:gridSpan w:val="3"/>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attributable to</w:t>
            </w:r>
          </w:p>
        </w:tc>
        <w:tc>
          <w:tcPr>
            <w:tcW w:w="20" w:type="dxa"/>
            <w:vAlign w:val="bottom"/>
            <w:vMerge w:val="restart"/>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5,283</w:t>
            </w:r>
          </w:p>
        </w:tc>
        <w:tc>
          <w:tcPr>
            <w:tcW w:w="140" w:type="dxa"/>
            <w:vAlign w:val="bottom"/>
            <w:shd w:val="clear" w:color="auto" w:fill="CCEEFF"/>
          </w:tcPr>
          <w:p>
            <w:pPr>
              <w:spacing w:after="0"/>
              <w:rPr>
                <w:sz w:val="11"/>
                <w:szCs w:val="11"/>
                <w:color w:val="auto"/>
              </w:rPr>
            </w:pPr>
          </w:p>
        </w:tc>
        <w:tc>
          <w:tcPr>
            <w:tcW w:w="40" w:type="dxa"/>
            <w:vAlign w:val="bottom"/>
            <w:vMerge w:val="restart"/>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(189)</w:t>
            </w: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5,192</w:t>
            </w:r>
          </w:p>
        </w:tc>
        <w:tc>
          <w:tcPr>
            <w:tcW w:w="14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(11,121)</w:t>
            </w:r>
          </w:p>
        </w:tc>
        <w:tc>
          <w:tcPr>
            <w:tcW w:w="5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(249)</w:t>
            </w: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2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(11,232)</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1,797</w:t>
            </w:r>
          </w:p>
        </w:tc>
        <w:tc>
          <w:tcPr>
            <w:tcW w:w="200" w:type="dxa"/>
            <w:vAlign w:val="bottom"/>
            <w:shd w:val="clear" w:color="auto" w:fill="CCEEFF"/>
          </w:tcPr>
          <w:p>
            <w:pPr>
              <w:spacing w:after="0"/>
              <w:rPr>
                <w:sz w:val="11"/>
                <w:szCs w:val="11"/>
                <w:color w:val="auto"/>
              </w:rPr>
            </w:pPr>
          </w:p>
        </w:tc>
        <w:tc>
          <w:tcPr>
            <w:tcW w:w="5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w:t>
            </w:r>
          </w:p>
        </w:tc>
        <w:tc>
          <w:tcPr>
            <w:tcW w:w="7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1,782</w:t>
            </w:r>
          </w:p>
        </w:tc>
        <w:tc>
          <w:tcPr>
            <w:tcW w:w="1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257</w:t>
            </w:r>
          </w:p>
        </w:tc>
        <w:tc>
          <w:tcPr>
            <w:tcW w:w="80" w:type="dxa"/>
            <w:vAlign w:val="bottom"/>
            <w:shd w:val="clear" w:color="auto" w:fill="CCEEFF"/>
          </w:tcPr>
          <w:p>
            <w:pPr>
              <w:spacing w:after="0"/>
              <w:rPr>
                <w:sz w:val="11"/>
                <w:szCs w:val="11"/>
                <w:color w:val="auto"/>
              </w:rPr>
            </w:pPr>
          </w:p>
        </w:tc>
        <w:tc>
          <w:tcPr>
            <w:tcW w:w="4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w:t>
            </w:r>
          </w:p>
        </w:tc>
        <w:tc>
          <w:tcPr>
            <w:tcW w:w="6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2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vMerge w:val="continue"/>
            <w:shd w:val="clear" w:color="auto" w:fill="CCEEFF"/>
          </w:tcPr>
          <w:p>
            <w:pPr>
              <w:spacing w:after="0"/>
              <w:rPr>
                <w:sz w:val="13"/>
                <w:szCs w:val="13"/>
                <w:color w:val="auto"/>
              </w:rPr>
            </w:pPr>
          </w:p>
        </w:tc>
        <w:tc>
          <w:tcPr>
            <w:tcW w:w="62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i w:val="1"/>
                <w:iCs w:val="1"/>
                <w:color w:val="auto"/>
              </w:rPr>
              <w:t>YOY</w:t>
            </w: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3"/>
                <w:szCs w:val="13"/>
                <w:i w:val="1"/>
                <w:iCs w:val="1"/>
                <w:color w:val="auto"/>
              </w:rPr>
              <w:t>(66%)</w:t>
            </w:r>
          </w:p>
        </w:tc>
        <w:tc>
          <w:tcPr>
            <w:tcW w:w="40" w:type="dxa"/>
            <w:vAlign w:val="bottom"/>
          </w:tcPr>
          <w:p>
            <w:pPr>
              <w:spacing w:after="0"/>
              <w:rPr>
                <w:sz w:val="10"/>
                <w:szCs w:val="10"/>
                <w:color w:val="auto"/>
              </w:rPr>
            </w:pPr>
          </w:p>
        </w:tc>
        <w:tc>
          <w:tcPr>
            <w:tcW w:w="54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3"/>
                <w:szCs w:val="13"/>
                <w:i w:val="1"/>
                <w:iCs w:val="1"/>
                <w:color w:val="auto"/>
              </w:rPr>
              <w:t>(97%)</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3"/>
                <w:szCs w:val="13"/>
                <w:i w:val="1"/>
                <w:iCs w:val="1"/>
                <w:color w:val="auto"/>
              </w:rPr>
              <w:t>(66%)</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QOQ</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74"/>
              <w:spacing w:after="0" w:line="136" w:lineRule="exact"/>
              <w:rPr>
                <w:sz w:val="20"/>
                <w:szCs w:val="20"/>
                <w:color w:val="auto"/>
              </w:rPr>
            </w:pPr>
            <w:r>
              <w:rPr>
                <w:rFonts w:ascii="Times New Roman" w:cs="Times New Roman" w:eastAsia="Times New Roman" w:hAnsi="Times New Roman"/>
                <w:sz w:val="13"/>
                <w:szCs w:val="13"/>
                <w:i w:val="1"/>
                <w:iCs w:val="1"/>
                <w:color w:val="auto"/>
              </w:rPr>
              <w:t>— </w:t>
            </w:r>
          </w:p>
        </w:tc>
        <w:tc>
          <w:tcPr>
            <w:tcW w:w="580" w:type="dxa"/>
            <w:vAlign w:val="bottom"/>
            <w:gridSpan w:val="3"/>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(98%)</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i w:val="1"/>
                <w:iCs w:val="1"/>
                <w:color w:val="auto"/>
              </w:rPr>
              <w:t>— </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spacing w:after="0" w:line="136" w:lineRule="exact"/>
              <w:rPr>
                <w:sz w:val="20"/>
                <w:szCs w:val="20"/>
                <w:color w:val="auto"/>
              </w:rPr>
            </w:pPr>
            <w:r>
              <w:rPr>
                <w:rFonts w:ascii="Times New Roman" w:cs="Times New Roman" w:eastAsia="Times New Roman" w:hAnsi="Times New Roman"/>
                <w:sz w:val="13"/>
                <w:szCs w:val="13"/>
                <w:i w:val="1"/>
                <w:iCs w:val="1"/>
                <w:color w:val="auto"/>
              </w:rPr>
              <w:t>Net margin</w:t>
            </w:r>
          </w:p>
        </w:tc>
        <w:tc>
          <w:tcPr>
            <w:tcW w:w="66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19%</w:t>
            </w:r>
          </w:p>
        </w:tc>
        <w:tc>
          <w:tcPr>
            <w:tcW w:w="58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(3%)</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15%</w:t>
            </w:r>
          </w:p>
        </w:tc>
        <w:tc>
          <w:tcPr>
            <w:tcW w:w="72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(45%)</w:t>
            </w:r>
          </w:p>
        </w:tc>
        <w:tc>
          <w:tcPr>
            <w:tcW w:w="58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(36%)</w:t>
            </w:r>
          </w:p>
        </w:tc>
        <w:tc>
          <w:tcPr>
            <w:tcW w:w="740" w:type="dxa"/>
            <w:vAlign w:val="bottom"/>
            <w:gridSpan w:val="3"/>
          </w:tcPr>
          <w:p>
            <w:pPr>
              <w:jc w:val="right"/>
              <w:ind w:right="34"/>
              <w:spacing w:after="0" w:line="136" w:lineRule="exact"/>
              <w:rPr>
                <w:sz w:val="20"/>
                <w:szCs w:val="20"/>
                <w:color w:val="auto"/>
              </w:rPr>
            </w:pPr>
            <w:r>
              <w:rPr>
                <w:rFonts w:ascii="Times New Roman" w:cs="Times New Roman" w:eastAsia="Times New Roman" w:hAnsi="Times New Roman"/>
                <w:sz w:val="13"/>
                <w:szCs w:val="13"/>
                <w:i w:val="1"/>
                <w:iCs w:val="1"/>
                <w:color w:val="auto"/>
              </w:rPr>
              <w:t>7%</w:t>
            </w:r>
          </w:p>
        </w:tc>
        <w:tc>
          <w:tcPr>
            <w:tcW w:w="58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(0%)</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i w:val="1"/>
                <w:iCs w:val="1"/>
                <w:color w:val="auto"/>
              </w:rPr>
              <w:t>5%</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i w:val="1"/>
                <w:iCs w:val="1"/>
                <w:color w:val="auto"/>
              </w:rPr>
              <w:t>Non-GAAP financial</w:t>
            </w: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measures:</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4,647</w:t>
            </w:r>
          </w:p>
        </w:tc>
        <w:tc>
          <w:tcPr>
            <w:tcW w:w="140" w:type="dxa"/>
            <w:vAlign w:val="bottom"/>
          </w:tcPr>
          <w:p>
            <w:pPr>
              <w:spacing w:after="0"/>
              <w:rPr>
                <w:sz w:val="9"/>
                <w:szCs w:val="9"/>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406</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5,047</w:t>
            </w:r>
          </w:p>
        </w:tc>
        <w:tc>
          <w:tcPr>
            <w:tcW w:w="140" w:type="dxa"/>
            <w:vAlign w:val="bottom"/>
          </w:tcPr>
          <w:p>
            <w:pPr>
              <w:spacing w:after="0"/>
              <w:rPr>
                <w:sz w:val="9"/>
                <w:szCs w:val="9"/>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2,225</w:t>
            </w:r>
          </w:p>
        </w:tc>
        <w:tc>
          <w:tcPr>
            <w:tcW w:w="180" w:type="dxa"/>
            <w:vAlign w:val="bottom"/>
          </w:tcPr>
          <w:p>
            <w:pPr>
              <w:spacing w:after="0"/>
              <w:rPr>
                <w:sz w:val="9"/>
                <w:szCs w:val="9"/>
                <w:color w:val="auto"/>
              </w:rPr>
            </w:pPr>
          </w:p>
        </w:tc>
        <w:tc>
          <w:tcPr>
            <w:tcW w:w="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(22)</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2,205</w:t>
            </w:r>
          </w:p>
        </w:tc>
        <w:tc>
          <w:tcPr>
            <w:tcW w:w="180" w:type="dxa"/>
            <w:vAlign w:val="bottom"/>
          </w:tcPr>
          <w:p>
            <w:pPr>
              <w:spacing w:after="0"/>
              <w:rPr>
                <w:sz w:val="9"/>
                <w:szCs w:val="9"/>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2,837</w:t>
            </w:r>
          </w:p>
        </w:tc>
        <w:tc>
          <w:tcPr>
            <w:tcW w:w="200" w:type="dxa"/>
            <w:vAlign w:val="bottom"/>
          </w:tcPr>
          <w:p>
            <w:pPr>
              <w:spacing w:after="0"/>
              <w:rPr>
                <w:sz w:val="9"/>
                <w:szCs w:val="9"/>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143</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2,967</w:t>
            </w:r>
          </w:p>
        </w:tc>
        <w:tc>
          <w:tcPr>
            <w:tcW w:w="180" w:type="dxa"/>
            <w:vAlign w:val="bottom"/>
          </w:tcPr>
          <w:p>
            <w:pPr>
              <w:spacing w:after="0"/>
              <w:rPr>
                <w:sz w:val="9"/>
                <w:szCs w:val="9"/>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406</w:t>
            </w:r>
          </w:p>
        </w:tc>
        <w:tc>
          <w:tcPr>
            <w:tcW w:w="80" w:type="dxa"/>
            <w:vAlign w:val="bottom"/>
          </w:tcPr>
          <w:p>
            <w:pPr>
              <w:spacing w:after="0"/>
              <w:rPr>
                <w:sz w:val="9"/>
                <w:szCs w:val="9"/>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(loss) (non-GAAP)</w:t>
            </w:r>
          </w:p>
        </w:tc>
        <w:tc>
          <w:tcPr>
            <w:tcW w:w="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YOY</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(39%)</w:t>
            </w:r>
          </w:p>
        </w:tc>
        <w:tc>
          <w:tcPr>
            <w:tcW w:w="580" w:type="dxa"/>
            <w:vAlign w:val="bottom"/>
            <w:gridSpan w:val="3"/>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(65%)</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(41%)</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QOQ</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jc w:val="right"/>
              <w:ind w:right="34"/>
              <w:spacing w:after="0" w:line="136" w:lineRule="exact"/>
              <w:rPr>
                <w:sz w:val="20"/>
                <w:szCs w:val="20"/>
                <w:color w:val="auto"/>
              </w:rPr>
            </w:pPr>
            <w:r>
              <w:rPr>
                <w:rFonts w:ascii="Times New Roman" w:cs="Times New Roman" w:eastAsia="Times New Roman" w:hAnsi="Times New Roman"/>
                <w:sz w:val="13"/>
                <w:szCs w:val="13"/>
                <w:i w:val="1"/>
                <w:iCs w:val="1"/>
                <w:color w:val="auto"/>
              </w:rPr>
              <w:t>28%</w:t>
            </w:r>
          </w:p>
        </w:tc>
        <w:tc>
          <w:tcPr>
            <w:tcW w:w="40" w:type="dxa"/>
            <w:vAlign w:val="bottom"/>
          </w:tcPr>
          <w:p>
            <w:pPr>
              <w:spacing w:after="0"/>
              <w:rPr>
                <w:sz w:val="11"/>
                <w:szCs w:val="11"/>
                <w:color w:val="auto"/>
              </w:rPr>
            </w:pPr>
          </w:p>
        </w:tc>
        <w:tc>
          <w:tcPr>
            <w:tcW w:w="54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i w:val="1"/>
                <w:iCs w:val="1"/>
                <w:color w:val="auto"/>
              </w:rPr>
              <w:t>— </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i w:val="1"/>
                <w:iCs w:val="1"/>
                <w:color w:val="auto"/>
              </w:rPr>
              <w:t>35%</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i w:val="1"/>
                <w:iCs w:val="1"/>
                <w:color w:val="auto"/>
              </w:rPr>
              <w:t>Operating margin</w:t>
            </w:r>
          </w:p>
        </w:tc>
        <w:tc>
          <w:tcPr>
            <w:tcW w:w="6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17%</w:t>
            </w:r>
          </w:p>
        </w:tc>
        <w:tc>
          <w:tcPr>
            <w:tcW w:w="5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6%</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i w:val="1"/>
                <w:iCs w:val="1"/>
                <w:color w:val="auto"/>
              </w:rPr>
              <w:t>15%</w:t>
            </w:r>
          </w:p>
        </w:tc>
        <w:tc>
          <w:tcPr>
            <w:tcW w:w="720" w:type="dxa"/>
            <w:vAlign w:val="bottom"/>
            <w:gridSpan w:val="3"/>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i w:val="1"/>
                <w:iCs w:val="1"/>
                <w:color w:val="auto"/>
              </w:rPr>
              <w:t>9%</w:t>
            </w:r>
          </w:p>
        </w:tc>
        <w:tc>
          <w:tcPr>
            <w:tcW w:w="5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i w:val="1"/>
                <w:iCs w:val="1"/>
                <w:color w:val="auto"/>
              </w:rPr>
              <w:t>(0%)</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7%</w:t>
            </w:r>
          </w:p>
        </w:tc>
        <w:tc>
          <w:tcPr>
            <w:tcW w:w="740" w:type="dxa"/>
            <w:vAlign w:val="bottom"/>
            <w:gridSpan w:val="3"/>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i w:val="1"/>
                <w:iCs w:val="1"/>
                <w:color w:val="auto"/>
              </w:rPr>
              <w:t>11%</w:t>
            </w:r>
          </w:p>
        </w:tc>
        <w:tc>
          <w:tcPr>
            <w:tcW w:w="5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2%</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9%</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(non-GAAP)</w:t>
            </w:r>
          </w:p>
        </w:tc>
        <w:tc>
          <w:tcPr>
            <w:tcW w:w="66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attributable to</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6,741</w:t>
            </w:r>
          </w:p>
        </w:tc>
        <w:tc>
          <w:tcPr>
            <w:tcW w:w="140" w:type="dxa"/>
            <w:vAlign w:val="bottom"/>
          </w:tcPr>
          <w:p>
            <w:pPr>
              <w:spacing w:after="0"/>
              <w:rPr>
                <w:sz w:val="11"/>
                <w:szCs w:val="11"/>
                <w:color w:val="auto"/>
              </w:rPr>
            </w:pPr>
          </w:p>
        </w:tc>
        <w:tc>
          <w:tcPr>
            <w:tcW w:w="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(59)</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6,709</w:t>
            </w:r>
          </w:p>
        </w:tc>
        <w:tc>
          <w:tcPr>
            <w:tcW w:w="14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3,836</w:t>
            </w:r>
          </w:p>
        </w:tc>
        <w:tc>
          <w:tcPr>
            <w:tcW w:w="180" w:type="dxa"/>
            <w:vAlign w:val="bottom"/>
          </w:tcPr>
          <w:p>
            <w:pPr>
              <w:spacing w:after="0"/>
              <w:rPr>
                <w:sz w:val="11"/>
                <w:szCs w:val="11"/>
                <w:color w:val="auto"/>
              </w:rPr>
            </w:pPr>
          </w:p>
        </w:tc>
        <w:tc>
          <w:tcPr>
            <w:tcW w:w="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(148)</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3,770</w:t>
            </w:r>
          </w:p>
        </w:tc>
        <w:tc>
          <w:tcPr>
            <w:tcW w:w="18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3,869</w:t>
            </w:r>
          </w:p>
        </w:tc>
        <w:tc>
          <w:tcPr>
            <w:tcW w:w="200" w:type="dxa"/>
            <w:vAlign w:val="bottom"/>
          </w:tcPr>
          <w:p>
            <w:pPr>
              <w:spacing w:after="0"/>
              <w:rPr>
                <w:sz w:val="11"/>
                <w:szCs w:val="11"/>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109</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3,907</w:t>
            </w:r>
          </w:p>
        </w:tc>
        <w:tc>
          <w:tcPr>
            <w:tcW w:w="18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553</w:t>
            </w:r>
          </w:p>
        </w:tc>
        <w:tc>
          <w:tcPr>
            <w:tcW w:w="80" w:type="dxa"/>
            <w:vAlign w:val="bottom"/>
          </w:tcPr>
          <w:p>
            <w:pPr>
              <w:spacing w:after="0"/>
              <w:rPr>
                <w:sz w:val="11"/>
                <w:szCs w:val="11"/>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Baidu (non-GAAP)</w:t>
            </w:r>
          </w:p>
        </w:tc>
        <w:tc>
          <w:tcPr>
            <w:tcW w:w="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YOY</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(43%)</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i w:val="1"/>
                <w:iCs w:val="1"/>
                <w:color w:val="auto"/>
              </w:rPr>
              <w:t>— </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(42%)</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QOQ</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jc w:val="right"/>
              <w:ind w:right="34"/>
              <w:spacing w:after="0" w:line="136" w:lineRule="exact"/>
              <w:rPr>
                <w:sz w:val="20"/>
                <w:szCs w:val="20"/>
                <w:color w:val="auto"/>
              </w:rPr>
            </w:pPr>
            <w:r>
              <w:rPr>
                <w:rFonts w:ascii="Times New Roman" w:cs="Times New Roman" w:eastAsia="Times New Roman" w:hAnsi="Times New Roman"/>
                <w:sz w:val="13"/>
                <w:szCs w:val="13"/>
                <w:i w:val="1"/>
                <w:iCs w:val="1"/>
                <w:color w:val="auto"/>
              </w:rPr>
              <w:t>1%</w:t>
            </w:r>
          </w:p>
        </w:tc>
        <w:tc>
          <w:tcPr>
            <w:tcW w:w="40" w:type="dxa"/>
            <w:vAlign w:val="bottom"/>
          </w:tcPr>
          <w:p>
            <w:pPr>
              <w:spacing w:after="0"/>
              <w:rPr>
                <w:sz w:val="11"/>
                <w:szCs w:val="11"/>
                <w:color w:val="auto"/>
              </w:rPr>
            </w:pPr>
          </w:p>
        </w:tc>
        <w:tc>
          <w:tcPr>
            <w:tcW w:w="54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i w:val="1"/>
                <w:iCs w:val="1"/>
                <w:color w:val="auto"/>
              </w:rPr>
              <w:t>— </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i w:val="1"/>
                <w:iCs w:val="1"/>
                <w:color w:val="auto"/>
              </w:rPr>
              <w:t>4%</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i w:val="1"/>
                <w:iCs w:val="1"/>
                <w:color w:val="auto"/>
              </w:rPr>
              <w:t>Net margin</w:t>
            </w:r>
          </w:p>
        </w:tc>
        <w:tc>
          <w:tcPr>
            <w:tcW w:w="6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24%</w:t>
            </w:r>
          </w:p>
        </w:tc>
        <w:tc>
          <w:tcPr>
            <w:tcW w:w="5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i w:val="1"/>
                <w:iCs w:val="1"/>
                <w:color w:val="auto"/>
              </w:rPr>
              <w:t>(1%)</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i w:val="1"/>
                <w:iCs w:val="1"/>
                <w:color w:val="auto"/>
              </w:rPr>
              <w:t>20%</w:t>
            </w:r>
          </w:p>
        </w:tc>
        <w:tc>
          <w:tcPr>
            <w:tcW w:w="720" w:type="dxa"/>
            <w:vAlign w:val="bottom"/>
            <w:gridSpan w:val="3"/>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i w:val="1"/>
                <w:iCs w:val="1"/>
                <w:color w:val="auto"/>
              </w:rPr>
              <w:t>16%</w:t>
            </w:r>
          </w:p>
        </w:tc>
        <w:tc>
          <w:tcPr>
            <w:tcW w:w="5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i w:val="1"/>
                <w:iCs w:val="1"/>
                <w:color w:val="auto"/>
              </w:rPr>
              <w:t>(2%)</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12%</w:t>
            </w:r>
          </w:p>
        </w:tc>
        <w:tc>
          <w:tcPr>
            <w:tcW w:w="740" w:type="dxa"/>
            <w:vAlign w:val="bottom"/>
            <w:gridSpan w:val="3"/>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i w:val="1"/>
                <w:iCs w:val="1"/>
                <w:color w:val="auto"/>
              </w:rPr>
              <w:t>15%</w:t>
            </w:r>
          </w:p>
        </w:tc>
        <w:tc>
          <w:tcPr>
            <w:tcW w:w="5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2%</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12%</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(non-GAAP)</w:t>
            </w:r>
          </w:p>
        </w:tc>
        <w:tc>
          <w:tcPr>
            <w:tcW w:w="66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5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6,516</w:t>
            </w:r>
          </w:p>
        </w:tc>
        <w:tc>
          <w:tcPr>
            <w:tcW w:w="140" w:type="dxa"/>
            <w:vAlign w:val="bottom"/>
          </w:tcPr>
          <w:p>
            <w:pPr>
              <w:spacing w:after="0"/>
              <w:rPr>
                <w:sz w:val="11"/>
                <w:szCs w:val="11"/>
                <w:color w:val="auto"/>
              </w:rPr>
            </w:pPr>
          </w:p>
        </w:tc>
        <w:tc>
          <w:tcPr>
            <w:tcW w:w="4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444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6,954</w:t>
            </w:r>
          </w:p>
        </w:tc>
        <w:tc>
          <w:tcPr>
            <w:tcW w:w="140" w:type="dxa"/>
            <w:vAlign w:val="bottom"/>
          </w:tcPr>
          <w:p>
            <w:pPr>
              <w:spacing w:after="0"/>
              <w:rPr>
                <w:sz w:val="11"/>
                <w:szCs w:val="11"/>
                <w:color w:val="auto"/>
              </w:rPr>
            </w:pPr>
          </w:p>
        </w:tc>
        <w:tc>
          <w:tcPr>
            <w:tcW w:w="5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4,398</w:t>
            </w:r>
          </w:p>
        </w:tc>
        <w:tc>
          <w:tcPr>
            <w:tcW w:w="180" w:type="dxa"/>
            <w:vAlign w:val="bottom"/>
          </w:tcPr>
          <w:p>
            <w:pPr>
              <w:spacing w:after="0"/>
              <w:rPr>
                <w:sz w:val="11"/>
                <w:szCs w:val="11"/>
                <w:color w:val="auto"/>
              </w:rPr>
            </w:pPr>
          </w:p>
        </w:tc>
        <w:tc>
          <w:tcPr>
            <w:tcW w:w="4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4,429</w:t>
            </w:r>
          </w:p>
        </w:tc>
        <w:tc>
          <w:tcPr>
            <w:tcW w:w="180" w:type="dxa"/>
            <w:vAlign w:val="bottom"/>
          </w:tcPr>
          <w:p>
            <w:pPr>
              <w:spacing w:after="0"/>
              <w:rPr>
                <w:sz w:val="11"/>
                <w:szCs w:val="11"/>
                <w:color w:val="auto"/>
              </w:rPr>
            </w:pPr>
          </w:p>
        </w:tc>
        <w:tc>
          <w:tcPr>
            <w:tcW w:w="5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4,544</w:t>
            </w:r>
          </w:p>
        </w:tc>
        <w:tc>
          <w:tcPr>
            <w:tcW w:w="200" w:type="dxa"/>
            <w:vAlign w:val="bottom"/>
          </w:tcPr>
          <w:p>
            <w:pPr>
              <w:spacing w:after="0"/>
              <w:rPr>
                <w:sz w:val="11"/>
                <w:szCs w:val="11"/>
                <w:color w:val="auto"/>
              </w:rPr>
            </w:pPr>
          </w:p>
        </w:tc>
        <w:tc>
          <w:tcPr>
            <w:tcW w:w="3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196</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4,727</w:t>
            </w:r>
          </w:p>
        </w:tc>
        <w:tc>
          <w:tcPr>
            <w:tcW w:w="180" w:type="dxa"/>
            <w:vAlign w:val="bottom"/>
          </w:tcPr>
          <w:p>
            <w:pPr>
              <w:spacing w:after="0"/>
              <w:rPr>
                <w:sz w:val="11"/>
                <w:szCs w:val="11"/>
                <w:color w:val="auto"/>
              </w:rPr>
            </w:pPr>
          </w:p>
        </w:tc>
        <w:tc>
          <w:tcPr>
            <w:tcW w:w="5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650</w:t>
            </w:r>
          </w:p>
        </w:tc>
        <w:tc>
          <w:tcPr>
            <w:tcW w:w="80" w:type="dxa"/>
            <w:vAlign w:val="bottom"/>
          </w:tcPr>
          <w:p>
            <w:pPr>
              <w:spacing w:after="0"/>
              <w:rPr>
                <w:sz w:val="11"/>
                <w:szCs w:val="11"/>
                <w:color w:val="auto"/>
              </w:rPr>
            </w:pPr>
          </w:p>
        </w:tc>
        <w:tc>
          <w:tcPr>
            <w:tcW w:w="3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YOY</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(30%)</w:t>
            </w:r>
          </w:p>
        </w:tc>
        <w:tc>
          <w:tcPr>
            <w:tcW w:w="580" w:type="dxa"/>
            <w:vAlign w:val="bottom"/>
            <w:gridSpan w:val="3"/>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(56%)</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(32%)</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QOQ</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jc w:val="right"/>
              <w:ind w:right="34"/>
              <w:spacing w:after="0" w:line="136" w:lineRule="exact"/>
              <w:rPr>
                <w:sz w:val="20"/>
                <w:szCs w:val="20"/>
                <w:color w:val="auto"/>
              </w:rPr>
            </w:pPr>
            <w:r>
              <w:rPr>
                <w:rFonts w:ascii="Times New Roman" w:cs="Times New Roman" w:eastAsia="Times New Roman" w:hAnsi="Times New Roman"/>
                <w:sz w:val="13"/>
                <w:szCs w:val="13"/>
                <w:i w:val="1"/>
                <w:iCs w:val="1"/>
                <w:color w:val="auto"/>
              </w:rPr>
              <w:t>3%</w:t>
            </w:r>
          </w:p>
        </w:tc>
        <w:tc>
          <w:tcPr>
            <w:tcW w:w="580" w:type="dxa"/>
            <w:vAlign w:val="bottom"/>
            <w:gridSpan w:val="3"/>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553%</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i w:val="1"/>
                <w:iCs w:val="1"/>
                <w:color w:val="auto"/>
              </w:rPr>
              <w:t>7%</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i w:val="1"/>
                <w:iCs w:val="1"/>
                <w:color w:val="auto"/>
              </w:rPr>
              <w:t>Adjusted EBITDA</w:t>
            </w:r>
          </w:p>
        </w:tc>
        <w:tc>
          <w:tcPr>
            <w:tcW w:w="6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24%</w:t>
            </w:r>
          </w:p>
        </w:tc>
        <w:tc>
          <w:tcPr>
            <w:tcW w:w="5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7%</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i w:val="1"/>
                <w:iCs w:val="1"/>
                <w:color w:val="auto"/>
              </w:rPr>
              <w:t>20%</w:t>
            </w:r>
          </w:p>
        </w:tc>
        <w:tc>
          <w:tcPr>
            <w:tcW w:w="720" w:type="dxa"/>
            <w:vAlign w:val="bottom"/>
            <w:gridSpan w:val="3"/>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i w:val="1"/>
                <w:iCs w:val="1"/>
                <w:color w:val="auto"/>
              </w:rPr>
              <w:t>18%</w:t>
            </w:r>
          </w:p>
        </w:tc>
        <w:tc>
          <w:tcPr>
            <w:tcW w:w="5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0%</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14%</w:t>
            </w:r>
          </w:p>
        </w:tc>
        <w:tc>
          <w:tcPr>
            <w:tcW w:w="740" w:type="dxa"/>
            <w:vAlign w:val="bottom"/>
            <w:gridSpan w:val="3"/>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i w:val="1"/>
                <w:iCs w:val="1"/>
                <w:color w:val="auto"/>
              </w:rPr>
              <w:t>17%</w:t>
            </w:r>
          </w:p>
        </w:tc>
        <w:tc>
          <w:tcPr>
            <w:tcW w:w="5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3%</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14%</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margin</w:t>
            </w:r>
          </w:p>
        </w:tc>
        <w:tc>
          <w:tcPr>
            <w:tcW w:w="66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(1) Includes share-</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based compensation</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as follows:</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color w:val="auto"/>
              </w:rPr>
              <w:t>Cost of revenue</w:t>
            </w:r>
          </w:p>
        </w:tc>
        <w:tc>
          <w:tcPr>
            <w:tcW w:w="5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74</w:t>
            </w: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29</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103</w:t>
            </w:r>
          </w:p>
        </w:tc>
        <w:tc>
          <w:tcPr>
            <w:tcW w:w="1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83</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30</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113</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56</w:t>
            </w: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23</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79</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Pr>
          <w:p>
            <w:pPr>
              <w:ind w:left="240"/>
              <w:spacing w:after="0" w:line="116" w:lineRule="exact"/>
              <w:rPr>
                <w:sz w:val="20"/>
                <w:szCs w:val="20"/>
                <w:color w:val="auto"/>
              </w:rPr>
            </w:pPr>
            <w:r>
              <w:rPr>
                <w:rFonts w:ascii="Times New Roman" w:cs="Times New Roman" w:eastAsia="Times New Roman" w:hAnsi="Times New Roman"/>
                <w:sz w:val="13"/>
                <w:szCs w:val="13"/>
                <w:color w:val="auto"/>
              </w:rPr>
              <w:t>Selling, general</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ind w:left="380"/>
              <w:spacing w:after="0" w:line="136" w:lineRule="exact"/>
              <w:rPr>
                <w:sz w:val="20"/>
                <w:szCs w:val="20"/>
                <w:color w:val="auto"/>
              </w:rPr>
            </w:pPr>
            <w:r>
              <w:rPr>
                <w:rFonts w:ascii="Times New Roman" w:cs="Times New Roman" w:eastAsia="Times New Roman" w:hAnsi="Times New Roman"/>
                <w:sz w:val="13"/>
                <w:szCs w:val="13"/>
                <w:color w:val="auto"/>
              </w:rPr>
              <w:t>and</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40" w:type="dxa"/>
            <w:vAlign w:val="bottom"/>
          </w:tcPr>
          <w:p>
            <w:pPr>
              <w:spacing w:after="0"/>
              <w:rPr>
                <w:sz w:val="11"/>
                <w:szCs w:val="11"/>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4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80" w:type="dxa"/>
            <w:vAlign w:val="bottom"/>
          </w:tcPr>
          <w:p>
            <w:pPr>
              <w:spacing w:after="0"/>
              <w:rPr>
                <w:sz w:val="11"/>
                <w:szCs w:val="11"/>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8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200" w:type="dxa"/>
            <w:vAlign w:val="bottom"/>
          </w:tcPr>
          <w:p>
            <w:pPr>
              <w:spacing w:after="0"/>
              <w:rPr>
                <w:sz w:val="11"/>
                <w:szCs w:val="11"/>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8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1"/>
                <w:szCs w:val="11"/>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administrative</w:t>
            </w:r>
          </w:p>
        </w:tc>
        <w:tc>
          <w:tcPr>
            <w:tcW w:w="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3"/>
                <w:szCs w:val="13"/>
                <w:color w:val="auto"/>
              </w:rPr>
              <w:t>Research and</w:t>
            </w:r>
          </w:p>
        </w:tc>
        <w:tc>
          <w:tcPr>
            <w:tcW w:w="20" w:type="dxa"/>
            <w:vAlign w:val="bottom"/>
            <w:vMerge w:val="restart"/>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40" w:type="dxa"/>
            <w:vAlign w:val="bottom"/>
            <w:shd w:val="clear" w:color="auto" w:fill="CCEEFF"/>
          </w:tcPr>
          <w:p>
            <w:pPr>
              <w:spacing w:after="0"/>
              <w:rPr>
                <w:sz w:val="10"/>
                <w:szCs w:val="10"/>
                <w:color w:val="auto"/>
              </w:rPr>
            </w:pPr>
          </w:p>
        </w:tc>
        <w:tc>
          <w:tcPr>
            <w:tcW w:w="40" w:type="dxa"/>
            <w:vAlign w:val="bottom"/>
            <w:vMerge w:val="restart"/>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140" w:type="dxa"/>
            <w:vAlign w:val="bottom"/>
            <w:shd w:val="clear" w:color="auto" w:fill="CCEEFF"/>
          </w:tcPr>
          <w:p>
            <w:pPr>
              <w:spacing w:after="0"/>
              <w:rPr>
                <w:sz w:val="10"/>
                <w:szCs w:val="10"/>
                <w:color w:val="auto"/>
              </w:rPr>
            </w:pPr>
          </w:p>
        </w:tc>
        <w:tc>
          <w:tcPr>
            <w:tcW w:w="40" w:type="dxa"/>
            <w:vAlign w:val="bottom"/>
            <w:vMerge w:val="restart"/>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80" w:type="dxa"/>
            <w:vAlign w:val="bottom"/>
            <w:shd w:val="clear" w:color="auto" w:fill="CCEEFF"/>
          </w:tcPr>
          <w:p>
            <w:pPr>
              <w:spacing w:after="0"/>
              <w:rPr>
                <w:sz w:val="10"/>
                <w:szCs w:val="10"/>
                <w:color w:val="auto"/>
              </w:rPr>
            </w:pPr>
          </w:p>
        </w:tc>
        <w:tc>
          <w:tcPr>
            <w:tcW w:w="40" w:type="dxa"/>
            <w:vAlign w:val="bottom"/>
            <w:vMerge w:val="restart"/>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8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200" w:type="dxa"/>
            <w:vAlign w:val="bottom"/>
            <w:shd w:val="clear" w:color="auto" w:fill="CCEEFF"/>
          </w:tcPr>
          <w:p>
            <w:pPr>
              <w:spacing w:after="0"/>
              <w:rPr>
                <w:sz w:val="10"/>
                <w:szCs w:val="10"/>
                <w:color w:val="auto"/>
              </w:rPr>
            </w:pPr>
          </w:p>
        </w:tc>
        <w:tc>
          <w:tcPr>
            <w:tcW w:w="40" w:type="dxa"/>
            <w:vAlign w:val="bottom"/>
            <w:vMerge w:val="restart"/>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180" w:type="dxa"/>
            <w:vAlign w:val="bottom"/>
            <w:shd w:val="clear" w:color="auto" w:fill="CCEEFF"/>
          </w:tcPr>
          <w:p>
            <w:pPr>
              <w:spacing w:after="0"/>
              <w:rPr>
                <w:sz w:val="10"/>
                <w:szCs w:val="10"/>
                <w:color w:val="auto"/>
              </w:rPr>
            </w:pPr>
          </w:p>
        </w:tc>
        <w:tc>
          <w:tcPr>
            <w:tcW w:w="40" w:type="dxa"/>
            <w:vAlign w:val="bottom"/>
            <w:vMerge w:val="restart"/>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0"/>
                <w:szCs w:val="10"/>
                <w:color w:val="auto"/>
              </w:rPr>
            </w:pPr>
          </w:p>
        </w:tc>
        <w:tc>
          <w:tcPr>
            <w:tcW w:w="40" w:type="dxa"/>
            <w:vAlign w:val="bottom"/>
            <w:vMerge w:val="restart"/>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development</w:t>
            </w:r>
          </w:p>
        </w:tc>
        <w:tc>
          <w:tcPr>
            <w:tcW w:w="20" w:type="dxa"/>
            <w:vAlign w:val="bottom"/>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tcPr>
          <w:p>
            <w:pPr>
              <w:ind w:left="240"/>
              <w:spacing w:after="0" w:line="120" w:lineRule="exact"/>
              <w:rPr>
                <w:sz w:val="20"/>
                <w:szCs w:val="20"/>
                <w:color w:val="auto"/>
              </w:rPr>
            </w:pPr>
            <w:r>
              <w:rPr>
                <w:rFonts w:ascii="Times New Roman" w:cs="Times New Roman" w:eastAsia="Times New Roman" w:hAnsi="Times New Roman"/>
                <w:sz w:val="13"/>
                <w:szCs w:val="13"/>
                <w:color w:val="auto"/>
              </w:rPr>
              <w:t>Total share-based</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140" w:type="dxa"/>
            <w:vAlign w:val="bottom"/>
          </w:tcPr>
          <w:p>
            <w:pPr>
              <w:spacing w:after="0"/>
              <w:rPr>
                <w:sz w:val="10"/>
                <w:szCs w:val="10"/>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14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180" w:type="dxa"/>
            <w:vAlign w:val="bottom"/>
          </w:tcPr>
          <w:p>
            <w:pPr>
              <w:spacing w:after="0"/>
              <w:rPr>
                <w:sz w:val="10"/>
                <w:szCs w:val="10"/>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8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200" w:type="dxa"/>
            <w:vAlign w:val="bottom"/>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18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compensation</w:t>
            </w: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04" w:hanging="404"/>
        <w:spacing w:after="0"/>
        <w:tabs>
          <w:tab w:leader="none" w:pos="40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intersegment eliminations and adjustments</w:t>
      </w:r>
    </w:p>
    <w:p>
      <w:pPr>
        <w:spacing w:after="0" w:line="30" w:lineRule="exact"/>
        <w:rPr>
          <w:rFonts w:ascii="Times New Roman" w:cs="Times New Roman" w:eastAsia="Times New Roman" w:hAnsi="Times New Roman"/>
          <w:sz w:val="16"/>
          <w:szCs w:val="16"/>
          <w:color w:val="auto"/>
        </w:rPr>
      </w:pPr>
    </w:p>
    <w:p>
      <w:pPr>
        <w:ind w:left="404" w:hanging="404"/>
        <w:spacing w:after="0"/>
        <w:tabs>
          <w:tab w:leader="none" w:pos="40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the net income attributable to iQIYI noncontrolling interests</w:t>
      </w:r>
    </w:p>
    <w:p>
      <w:pPr>
        <w:sectPr>
          <w:pgSz w:w="11900" w:h="16838" w:orient="portrait"/>
          <w:cols w:equalWidth="0" w:num="1">
            <w:col w:w="10744"/>
          </w:cols>
          <w:pgMar w:left="916" w:top="255" w:right="239" w:bottom="1093" w:gutter="0" w:footer="0" w:header="0"/>
        </w:sectPr>
      </w:pPr>
    </w:p>
    <w:p>
      <w:pPr>
        <w:spacing w:after="0" w:line="132"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744"/>
          </w:cols>
          <w:pgMar w:left="916" w:top="255" w:right="239" w:bottom="1093" w:gutter="0" w:footer="0" w:header="0"/>
          <w:type w:val="continuous"/>
        </w:sectPr>
      </w:pPr>
    </w:p>
    <w:bookmarkStart w:id="15" w:name="page16"/>
    <w:bookmarkEnd w:id="15"/>
    <w:p>
      <w:pPr>
        <w:ind w:left="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5025" cy="36195"/>
                    </a:xfrm>
                    <a:prstGeom prst="rect">
                      <a:avLst/>
                    </a:prstGeom>
                    <a:noFill/>
                  </pic:spPr>
                </pic:pic>
              </a:graphicData>
            </a:graphic>
          </wp:anchor>
        </w:drawing>
        <w:t>Baidu, Inc.</w:t>
      </w:r>
    </w:p>
    <w:p>
      <w:pPr>
        <w:spacing w:after="0" w:line="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Selected Information</w:t>
      </w:r>
    </w:p>
    <w:p>
      <w:pPr>
        <w:spacing w:after="0" w:line="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 millions except for per ADS information, unaudited)</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Twelve months 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7"/>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Twelve months 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 (RMB)</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December 31, 2025 (RMB)</w:t>
            </w: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 (US$)</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center"/>
              <w:ind w:right="14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Elim &amp;</w:t>
            </w: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40" w:type="dxa"/>
            <w:vAlign w:val="bottom"/>
          </w:tcPr>
          <w:p>
            <w:pPr>
              <w:spacing w:after="0"/>
              <w:rPr>
                <w:sz w:val="9"/>
                <w:szCs w:val="9"/>
                <w:color w:val="auto"/>
              </w:rPr>
            </w:pPr>
          </w:p>
        </w:tc>
        <w:tc>
          <w:tcPr>
            <w:tcW w:w="660" w:type="dxa"/>
            <w:vAlign w:val="bottom"/>
            <w:gridSpan w:val="2"/>
          </w:tcPr>
          <w:p>
            <w:pPr>
              <w:jc w:val="center"/>
              <w:ind w:right="94"/>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Elim &amp;</w:t>
            </w: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60" w:type="dxa"/>
            <w:vAlign w:val="bottom"/>
          </w:tcPr>
          <w:p>
            <w:pPr>
              <w:spacing w:after="0"/>
              <w:rPr>
                <w:sz w:val="9"/>
                <w:szCs w:val="9"/>
                <w:color w:val="auto"/>
              </w:rPr>
            </w:pPr>
          </w:p>
        </w:tc>
        <w:tc>
          <w:tcPr>
            <w:tcW w:w="580" w:type="dxa"/>
            <w:vAlign w:val="bottom"/>
            <w:gridSpan w:val="2"/>
          </w:tcPr>
          <w:p>
            <w:pPr>
              <w:jc w:val="center"/>
              <w:ind w:right="34"/>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Elim &amp;</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8"/>
              </w:rPr>
              <w:t>Baidu,</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3"/>
                <w:szCs w:val="13"/>
                <w:b w:val="1"/>
                <w:bCs w:val="1"/>
                <w:color w:val="auto"/>
                <w:w w:val="98"/>
              </w:rPr>
              <w:t>General</w:t>
            </w:r>
          </w:p>
        </w:tc>
        <w:tc>
          <w:tcPr>
            <w:tcW w:w="100" w:type="dxa"/>
            <w:vAlign w:val="bottom"/>
          </w:tcPr>
          <w:p>
            <w:pPr>
              <w:spacing w:after="0"/>
              <w:rPr>
                <w:sz w:val="11"/>
                <w:szCs w:val="11"/>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700" w:type="dxa"/>
            <w:vAlign w:val="bottom"/>
            <w:gridSpan w:val="3"/>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94"/>
              <w:spacing w:after="0" w:line="136" w:lineRule="exact"/>
              <w:rPr>
                <w:sz w:val="20"/>
                <w:szCs w:val="20"/>
                <w:color w:val="auto"/>
              </w:rPr>
            </w:pPr>
            <w:r>
              <w:rPr>
                <w:rFonts w:ascii="Times New Roman" w:cs="Times New Roman" w:eastAsia="Times New Roman" w:hAnsi="Times New Roman"/>
                <w:sz w:val="13"/>
                <w:szCs w:val="13"/>
                <w:b w:val="1"/>
                <w:bCs w:val="1"/>
                <w:color w:val="auto"/>
              </w:rPr>
              <w:t>General</w:t>
            </w:r>
          </w:p>
        </w:tc>
        <w:tc>
          <w:tcPr>
            <w:tcW w:w="100" w:type="dxa"/>
            <w:vAlign w:val="bottom"/>
          </w:tcPr>
          <w:p>
            <w:pPr>
              <w:spacing w:after="0"/>
              <w:rPr>
                <w:sz w:val="11"/>
                <w:szCs w:val="11"/>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7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34"/>
              <w:spacing w:after="0" w:line="136" w:lineRule="exact"/>
              <w:rPr>
                <w:sz w:val="20"/>
                <w:szCs w:val="20"/>
                <w:color w:val="auto"/>
              </w:rPr>
            </w:pPr>
            <w:r>
              <w:rPr>
                <w:rFonts w:ascii="Times New Roman" w:cs="Times New Roman" w:eastAsia="Times New Roman" w:hAnsi="Times New Roman"/>
                <w:sz w:val="13"/>
                <w:szCs w:val="13"/>
                <w:b w:val="1"/>
                <w:bCs w:val="1"/>
                <w:color w:val="auto"/>
                <w:w w:val="98"/>
              </w:rPr>
              <w:t>General</w:t>
            </w:r>
          </w:p>
        </w:tc>
        <w:tc>
          <w:tcPr>
            <w:tcW w:w="5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740" w:type="dxa"/>
            <w:vAlign w:val="bottom"/>
            <w:gridSpan w:val="3"/>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3"/>
                <w:szCs w:val="13"/>
                <w:color w:val="auto"/>
              </w:rPr>
              <w:t>adj</w:t>
            </w:r>
            <w:r>
              <w:rPr>
                <w:rFonts w:ascii="Times New Roman" w:cs="Times New Roman" w:eastAsia="Times New Roman" w:hAnsi="Times New Roman"/>
                <w:sz w:val="18"/>
                <w:szCs w:val="18"/>
                <w:color w:val="auto"/>
                <w:vertAlign w:val="superscript"/>
              </w:rPr>
              <w:t>(2)</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Inc.</w:t>
            </w:r>
          </w:p>
        </w:tc>
        <w:tc>
          <w:tcPr>
            <w:tcW w:w="700" w:type="dxa"/>
            <w:vAlign w:val="bottom"/>
            <w:gridSpan w:val="3"/>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360"/>
              <w:spacing w:after="0" w:line="157" w:lineRule="exact"/>
              <w:rPr>
                <w:sz w:val="20"/>
                <w:szCs w:val="20"/>
                <w:color w:val="auto"/>
              </w:rPr>
            </w:pPr>
            <w:r>
              <w:rPr>
                <w:rFonts w:ascii="Times New Roman" w:cs="Times New Roman" w:eastAsia="Times New Roman" w:hAnsi="Times New Roman"/>
                <w:sz w:val="13"/>
                <w:szCs w:val="13"/>
                <w:color w:val="auto"/>
              </w:rPr>
              <w:t>adj</w:t>
            </w:r>
            <w:r>
              <w:rPr>
                <w:rFonts w:ascii="Times New Roman" w:cs="Times New Roman" w:eastAsia="Times New Roman" w:hAnsi="Times New Roman"/>
                <w:sz w:val="18"/>
                <w:szCs w:val="18"/>
                <w:color w:val="auto"/>
                <w:vertAlign w:val="superscript"/>
              </w:rPr>
              <w:t>(2)</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Inc.</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5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360"/>
              <w:spacing w:after="0" w:line="157" w:lineRule="exact"/>
              <w:rPr>
                <w:sz w:val="20"/>
                <w:szCs w:val="20"/>
                <w:color w:val="auto"/>
              </w:rPr>
            </w:pPr>
            <w:r>
              <w:rPr>
                <w:rFonts w:ascii="Times New Roman" w:cs="Times New Roman" w:eastAsia="Times New Roman" w:hAnsi="Times New Roman"/>
                <w:sz w:val="13"/>
                <w:szCs w:val="13"/>
                <w:color w:val="auto"/>
              </w:rPr>
              <w:t>adj</w:t>
            </w:r>
            <w:r>
              <w:rPr>
                <w:rFonts w:ascii="Times New Roman" w:cs="Times New Roman" w:eastAsia="Times New Roman" w:hAnsi="Times New Roman"/>
                <w:sz w:val="18"/>
                <w:szCs w:val="18"/>
                <w:color w:val="auto"/>
                <w:vertAlign w:val="superscript"/>
              </w:rPr>
              <w:t>(2)</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Inc.</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Revenue</w:t>
            </w: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104,712</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29,225</w:t>
            </w:r>
          </w:p>
        </w:tc>
        <w:tc>
          <w:tcPr>
            <w:tcW w:w="1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(812)</w:t>
            </w:r>
          </w:p>
        </w:tc>
        <w:tc>
          <w:tcPr>
            <w:tcW w:w="4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133,125</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102,485</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27,290</w:t>
            </w:r>
          </w:p>
        </w:tc>
        <w:tc>
          <w:tcPr>
            <w:tcW w:w="2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(696)</w:t>
            </w: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129,079</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14,655</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3,902</w:t>
            </w:r>
          </w:p>
        </w:tc>
        <w:tc>
          <w:tcPr>
            <w:tcW w:w="1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(99)</w:t>
            </w: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18,458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YOY</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(2%)</w:t>
            </w:r>
          </w:p>
        </w:tc>
        <w:tc>
          <w:tcPr>
            <w:tcW w:w="70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(7%)</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i w:val="1"/>
                <w:iCs w:val="1"/>
                <w:color w:val="auto"/>
              </w:rPr>
              <w:t>(3%)</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Costs and expenses:</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Cost of revenue</w:t>
            </w:r>
            <w:r>
              <w:rPr>
                <w:rFonts w:ascii="Times New Roman" w:cs="Times New Roman" w:eastAsia="Times New Roman" w:hAnsi="Times New Roman"/>
                <w:sz w:val="9"/>
                <w:szCs w:val="9"/>
                <w:color w:val="auto"/>
              </w:rPr>
              <w:t>(1)</w:t>
            </w:r>
          </w:p>
        </w:tc>
        <w:tc>
          <w:tcPr>
            <w:tcW w:w="5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44,830</w:t>
            </w:r>
          </w:p>
        </w:tc>
        <w:tc>
          <w:tcPr>
            <w:tcW w:w="100" w:type="dxa"/>
            <w:vAlign w:val="bottom"/>
          </w:tcPr>
          <w:p>
            <w:pPr>
              <w:spacing w:after="0"/>
              <w:rPr>
                <w:sz w:val="11"/>
                <w:szCs w:val="11"/>
                <w:color w:val="auto"/>
              </w:rPr>
            </w:pPr>
          </w:p>
        </w:tc>
        <w:tc>
          <w:tcPr>
            <w:tcW w:w="5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21,954</w:t>
            </w:r>
          </w:p>
        </w:tc>
        <w:tc>
          <w:tcPr>
            <w:tcW w:w="160" w:type="dxa"/>
            <w:vAlign w:val="bottom"/>
          </w:tcPr>
          <w:p>
            <w:pPr>
              <w:spacing w:after="0"/>
              <w:rPr>
                <w:sz w:val="11"/>
                <w:szCs w:val="11"/>
                <w:color w:val="auto"/>
              </w:rPr>
            </w:pPr>
          </w:p>
        </w:tc>
        <w:tc>
          <w:tcPr>
            <w:tcW w:w="700" w:type="dxa"/>
            <w:vAlign w:val="bottom"/>
            <w:gridSpan w:val="3"/>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(682)</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66,102</w:t>
            </w:r>
          </w:p>
        </w:tc>
        <w:tc>
          <w:tcPr>
            <w:tcW w:w="160" w:type="dxa"/>
            <w:vAlign w:val="bottom"/>
          </w:tcPr>
          <w:p>
            <w:pPr>
              <w:spacing w:after="0"/>
              <w:rPr>
                <w:sz w:val="11"/>
                <w:szCs w:val="11"/>
                <w:color w:val="auto"/>
              </w:rPr>
            </w:pPr>
          </w:p>
        </w:tc>
        <w:tc>
          <w:tcPr>
            <w:tcW w:w="5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51,498</w:t>
            </w:r>
          </w:p>
        </w:tc>
        <w:tc>
          <w:tcPr>
            <w:tcW w:w="160" w:type="dxa"/>
            <w:vAlign w:val="bottom"/>
          </w:tcPr>
          <w:p>
            <w:pPr>
              <w:spacing w:after="0"/>
              <w:rPr>
                <w:sz w:val="11"/>
                <w:szCs w:val="11"/>
                <w:color w:val="auto"/>
              </w:rPr>
            </w:pPr>
          </w:p>
        </w:tc>
        <w:tc>
          <w:tcPr>
            <w:tcW w:w="5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21,541</w:t>
            </w:r>
          </w:p>
        </w:tc>
        <w:tc>
          <w:tcPr>
            <w:tcW w:w="200" w:type="dxa"/>
            <w:vAlign w:val="bottom"/>
          </w:tcPr>
          <w:p>
            <w:pPr>
              <w:spacing w:after="0"/>
              <w:rPr>
                <w:sz w:val="11"/>
                <w:szCs w:val="11"/>
                <w:color w:val="auto"/>
              </w:rPr>
            </w:pPr>
          </w:p>
        </w:tc>
        <w:tc>
          <w:tcPr>
            <w:tcW w:w="760" w:type="dxa"/>
            <w:vAlign w:val="bottom"/>
            <w:gridSpan w:val="3"/>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(603)</w:t>
            </w: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72,436</w:t>
            </w:r>
          </w:p>
        </w:tc>
        <w:tc>
          <w:tcPr>
            <w:tcW w:w="20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7,364</w:t>
            </w:r>
          </w:p>
        </w:tc>
        <w:tc>
          <w:tcPr>
            <w:tcW w:w="80" w:type="dxa"/>
            <w:vAlign w:val="bottom"/>
          </w:tcPr>
          <w:p>
            <w:pPr>
              <w:spacing w:after="0"/>
              <w:rPr>
                <w:sz w:val="11"/>
                <w:szCs w:val="11"/>
                <w:color w:val="auto"/>
              </w:rPr>
            </w:pPr>
          </w:p>
        </w:tc>
        <w:tc>
          <w:tcPr>
            <w:tcW w:w="4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3,080</w:t>
            </w:r>
          </w:p>
        </w:tc>
        <w:tc>
          <w:tcPr>
            <w:tcW w:w="100" w:type="dxa"/>
            <w:vAlign w:val="bottom"/>
          </w:tcPr>
          <w:p>
            <w:pPr>
              <w:spacing w:after="0"/>
              <w:rPr>
                <w:sz w:val="11"/>
                <w:szCs w:val="11"/>
                <w:color w:val="auto"/>
              </w:rPr>
            </w:pPr>
          </w:p>
        </w:tc>
        <w:tc>
          <w:tcPr>
            <w:tcW w:w="740" w:type="dxa"/>
            <w:vAlign w:val="bottom"/>
            <w:gridSpan w:val="3"/>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(86)</w:t>
            </w:r>
          </w:p>
        </w:tc>
        <w:tc>
          <w:tcPr>
            <w:tcW w:w="4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10,358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3"/>
                <w:szCs w:val="13"/>
                <w:color w:val="auto"/>
              </w:rPr>
              <w:t>Selling, general and</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20,049</w:t>
            </w: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3,682</w:t>
            </w:r>
          </w:p>
        </w:tc>
        <w:tc>
          <w:tcPr>
            <w:tcW w:w="16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(111)</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23,620</w:t>
            </w:r>
          </w:p>
        </w:tc>
        <w:tc>
          <w:tcPr>
            <w:tcW w:w="1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22,071</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3,857</w:t>
            </w:r>
          </w:p>
        </w:tc>
        <w:tc>
          <w:tcPr>
            <w:tcW w:w="200" w:type="dxa"/>
            <w:vAlign w:val="bottom"/>
            <w:shd w:val="clear" w:color="auto" w:fill="CCEEFF"/>
          </w:tcPr>
          <w:p>
            <w:pPr>
              <w:spacing w:after="0"/>
              <w:rPr>
                <w:sz w:val="10"/>
                <w:szCs w:val="10"/>
                <w:color w:val="auto"/>
              </w:rPr>
            </w:pPr>
          </w:p>
        </w:tc>
        <w:tc>
          <w:tcPr>
            <w:tcW w:w="76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(85)</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25,843</w:t>
            </w:r>
          </w:p>
        </w:tc>
        <w:tc>
          <w:tcPr>
            <w:tcW w:w="2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3,156</w:t>
            </w:r>
          </w:p>
        </w:tc>
        <w:tc>
          <w:tcPr>
            <w:tcW w:w="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(12)</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administrative</w:t>
            </w:r>
            <w:r>
              <w:rPr>
                <w:rFonts w:ascii="Times New Roman" w:cs="Times New Roman" w:eastAsia="Times New Roman" w:hAnsi="Times New Roman"/>
                <w:sz w:val="9"/>
                <w:szCs w:val="9"/>
                <w:color w:val="auto"/>
              </w:rPr>
              <w:t>(1)</w:t>
            </w: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3"/>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Research and development</w:t>
            </w:r>
            <w:r>
              <w:rPr>
                <w:rFonts w:ascii="Times New Roman" w:cs="Times New Roman" w:eastAsia="Times New Roman" w:hAnsi="Times New Roman"/>
                <w:sz w:val="9"/>
                <w:szCs w:val="9"/>
                <w:color w:val="auto"/>
              </w:rPr>
              <w:t>(1)</w:t>
            </w:r>
          </w:p>
        </w:tc>
        <w:tc>
          <w:tcPr>
            <w:tcW w:w="5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20,355</w:t>
            </w:r>
          </w:p>
        </w:tc>
        <w:tc>
          <w:tcPr>
            <w:tcW w:w="100" w:type="dxa"/>
            <w:vAlign w:val="bottom"/>
          </w:tcPr>
          <w:p>
            <w:pPr>
              <w:spacing w:after="0"/>
              <w:rPr>
                <w:sz w:val="11"/>
                <w:szCs w:val="11"/>
                <w:color w:val="auto"/>
              </w:rPr>
            </w:pPr>
          </w:p>
        </w:tc>
        <w:tc>
          <w:tcPr>
            <w:tcW w:w="5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1,778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22,133</w:t>
            </w:r>
          </w:p>
        </w:tc>
        <w:tc>
          <w:tcPr>
            <w:tcW w:w="160" w:type="dxa"/>
            <w:vAlign w:val="bottom"/>
          </w:tcPr>
          <w:p>
            <w:pPr>
              <w:spacing w:after="0"/>
              <w:rPr>
                <w:sz w:val="11"/>
                <w:szCs w:val="11"/>
                <w:color w:val="auto"/>
              </w:rPr>
            </w:pPr>
          </w:p>
        </w:tc>
        <w:tc>
          <w:tcPr>
            <w:tcW w:w="5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18,770</w:t>
            </w:r>
          </w:p>
        </w:tc>
        <w:tc>
          <w:tcPr>
            <w:tcW w:w="160" w:type="dxa"/>
            <w:vAlign w:val="bottom"/>
          </w:tcPr>
          <w:p>
            <w:pPr>
              <w:spacing w:after="0"/>
              <w:rPr>
                <w:sz w:val="11"/>
                <w:szCs w:val="11"/>
                <w:color w:val="auto"/>
              </w:rPr>
            </w:pPr>
          </w:p>
        </w:tc>
        <w:tc>
          <w:tcPr>
            <w:tcW w:w="5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1,663</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34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20,433</w:t>
            </w:r>
          </w:p>
        </w:tc>
        <w:tc>
          <w:tcPr>
            <w:tcW w:w="20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2,684</w:t>
            </w:r>
          </w:p>
        </w:tc>
        <w:tc>
          <w:tcPr>
            <w:tcW w:w="80" w:type="dxa"/>
            <w:vAlign w:val="bottom"/>
          </w:tcPr>
          <w:p>
            <w:pPr>
              <w:spacing w:after="0"/>
              <w:rPr>
                <w:sz w:val="11"/>
                <w:szCs w:val="11"/>
                <w:color w:val="auto"/>
              </w:rPr>
            </w:pPr>
          </w:p>
        </w:tc>
        <w:tc>
          <w:tcPr>
            <w:tcW w:w="4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32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color w:val="auto"/>
              </w:rPr>
              <w:t>Impairment of long-lived assets</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16,190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4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16,190</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2,315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2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2,315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2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Total costs and expenses</w:t>
            </w:r>
          </w:p>
        </w:tc>
        <w:tc>
          <w:tcPr>
            <w:tcW w:w="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85,234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27,414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(793)</w:t>
            </w:r>
          </w:p>
        </w:tc>
        <w:tc>
          <w:tcPr>
            <w:tcW w:w="2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111,855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108,529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27,061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(688)</w:t>
            </w:r>
          </w:p>
        </w:tc>
        <w:tc>
          <w:tcPr>
            <w:tcW w:w="3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134,902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15,519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3,870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(98)</w:t>
            </w:r>
          </w:p>
        </w:tc>
        <w:tc>
          <w:tcPr>
            <w:tcW w:w="3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19,291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YOY</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Cost of revenue</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15%</w:t>
            </w:r>
          </w:p>
        </w:tc>
        <w:tc>
          <w:tcPr>
            <w:tcW w:w="70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(2%)</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10%</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Selling, general and administrative</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10%</w:t>
            </w:r>
          </w:p>
        </w:tc>
        <w:tc>
          <w:tcPr>
            <w:tcW w:w="700" w:type="dxa"/>
            <w:vAlign w:val="bottom"/>
            <w:gridSpan w:val="3"/>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5%</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9%</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Research and development</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(8%)</w:t>
            </w:r>
          </w:p>
        </w:tc>
        <w:tc>
          <w:tcPr>
            <w:tcW w:w="70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(6%)</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i w:val="1"/>
                <w:i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Impairment of long-lived assets</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34"/>
              <w:spacing w:after="0" w:line="136" w:lineRule="exact"/>
              <w:rPr>
                <w:sz w:val="20"/>
                <w:szCs w:val="20"/>
                <w:color w:val="auto"/>
              </w:rPr>
            </w:pPr>
            <w:r>
              <w:rPr>
                <w:rFonts w:ascii="Times New Roman" w:cs="Times New Roman" w:eastAsia="Times New Roman" w:hAnsi="Times New Roman"/>
                <w:sz w:val="13"/>
                <w:szCs w:val="13"/>
                <w:i w:val="1"/>
                <w:iCs w:val="1"/>
                <w:color w:val="auto"/>
              </w:rPr>
              <w:t>— </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i w:val="1"/>
                <w:iCs w:val="1"/>
                <w:color w:val="auto"/>
              </w:rPr>
              <w:t>— </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i w:val="1"/>
                <w:iCs w:val="1"/>
                <w:color w:val="auto"/>
              </w:rPr>
              <w:t>— </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Cost and expenses</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27%</w:t>
            </w:r>
          </w:p>
        </w:tc>
        <w:tc>
          <w:tcPr>
            <w:tcW w:w="70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(1%)</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21%</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Operating income (loss)</w:t>
            </w: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19,478</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1,811</w:t>
            </w:r>
          </w:p>
        </w:tc>
        <w:tc>
          <w:tcPr>
            <w:tcW w:w="1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(19)</w:t>
            </w:r>
          </w:p>
        </w:tc>
        <w:tc>
          <w:tcPr>
            <w:tcW w:w="4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21,270</w:t>
            </w:r>
          </w:p>
        </w:tc>
        <w:tc>
          <w:tcPr>
            <w:tcW w:w="1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54"/>
              <w:spacing w:after="0" w:line="136" w:lineRule="exact"/>
              <w:rPr>
                <w:sz w:val="20"/>
                <w:szCs w:val="20"/>
                <w:color w:val="auto"/>
              </w:rPr>
            </w:pPr>
            <w:r>
              <w:rPr>
                <w:rFonts w:ascii="Times New Roman" w:cs="Times New Roman" w:eastAsia="Times New Roman" w:hAnsi="Times New Roman"/>
                <w:sz w:val="13"/>
                <w:szCs w:val="13"/>
                <w:b w:val="1"/>
                <w:bCs w:val="1"/>
                <w:color w:val="auto"/>
              </w:rPr>
              <w:t>(6,044)</w:t>
            </w:r>
          </w:p>
        </w:tc>
        <w:tc>
          <w:tcPr>
            <w:tcW w:w="5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229</w:t>
            </w:r>
          </w:p>
        </w:tc>
        <w:tc>
          <w:tcPr>
            <w:tcW w:w="2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(8)</w:t>
            </w:r>
          </w:p>
        </w:tc>
        <w:tc>
          <w:tcPr>
            <w:tcW w:w="66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b w:val="1"/>
                <w:bCs w:val="1"/>
                <w:color w:val="auto"/>
              </w:rPr>
              <w:t>(5,823)</w:t>
            </w:r>
          </w:p>
        </w:tc>
        <w:tc>
          <w:tcPr>
            <w:tcW w:w="64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(864)</w:t>
            </w:r>
          </w:p>
        </w:tc>
        <w:tc>
          <w:tcPr>
            <w:tcW w:w="4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32</w:t>
            </w:r>
          </w:p>
        </w:tc>
        <w:tc>
          <w:tcPr>
            <w:tcW w:w="1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(1)</w:t>
            </w:r>
          </w:p>
        </w:tc>
        <w:tc>
          <w:tcPr>
            <w:tcW w:w="500" w:type="dxa"/>
            <w:vAlign w:val="bottom"/>
            <w:gridSpan w:val="2"/>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3"/>
                <w:szCs w:val="13"/>
                <w:b w:val="1"/>
                <w:bCs w:val="1"/>
                <w:color w:val="auto"/>
              </w:rPr>
              <w:t>(833)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YOY</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134"/>
              <w:spacing w:after="0" w:line="136" w:lineRule="exact"/>
              <w:rPr>
                <w:sz w:val="20"/>
                <w:szCs w:val="20"/>
                <w:color w:val="auto"/>
              </w:rPr>
            </w:pPr>
            <w:r>
              <w:rPr>
                <w:rFonts w:ascii="Times New Roman" w:cs="Times New Roman" w:eastAsia="Times New Roman" w:hAnsi="Times New Roman"/>
                <w:sz w:val="13"/>
                <w:szCs w:val="13"/>
                <w:i w:val="1"/>
                <w:iCs w:val="1"/>
                <w:color w:val="auto"/>
              </w:rPr>
              <w:t>— </w:t>
            </w:r>
          </w:p>
        </w:tc>
        <w:tc>
          <w:tcPr>
            <w:tcW w:w="70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(87%)</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i w:val="1"/>
                <w:iCs w:val="1"/>
                <w:color w:val="auto"/>
              </w:rPr>
              <w:t>— </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i w:val="1"/>
                <w:iCs w:val="1"/>
                <w:color w:val="auto"/>
              </w:rPr>
              <w:t>Operating margin</w:t>
            </w:r>
          </w:p>
        </w:tc>
        <w:tc>
          <w:tcPr>
            <w:tcW w:w="64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19%</w:t>
            </w:r>
          </w:p>
        </w:tc>
        <w:tc>
          <w:tcPr>
            <w:tcW w:w="660" w:type="dxa"/>
            <w:vAlign w:val="bottom"/>
            <w:gridSpan w:val="3"/>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3"/>
                <w:szCs w:val="13"/>
                <w:i w:val="1"/>
                <w:iCs w:val="1"/>
                <w:color w:val="auto"/>
              </w:rPr>
              <w:t>6%</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3"/>
                <w:szCs w:val="13"/>
                <w:i w:val="1"/>
                <w:iCs w:val="1"/>
                <w:color w:val="auto"/>
              </w:rPr>
              <w:t>16%</w:t>
            </w:r>
          </w:p>
        </w:tc>
        <w:tc>
          <w:tcPr>
            <w:tcW w:w="70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(6%)</w:t>
            </w:r>
          </w:p>
        </w:tc>
        <w:tc>
          <w:tcPr>
            <w:tcW w:w="700" w:type="dxa"/>
            <w:vAlign w:val="bottom"/>
            <w:gridSpan w:val="3"/>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1%</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3"/>
                <w:szCs w:val="13"/>
                <w:i w:val="1"/>
                <w:iCs w:val="1"/>
                <w:color w:val="auto"/>
              </w:rPr>
              <w:t>(5%)</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Add: total other income (loss), net</w:t>
            </w:r>
          </w:p>
        </w:tc>
        <w:tc>
          <w:tcPr>
            <w:tcW w:w="5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8,311</w:t>
            </w:r>
          </w:p>
        </w:tc>
        <w:tc>
          <w:tcPr>
            <w:tcW w:w="100" w:type="dxa"/>
            <w:vAlign w:val="bottom"/>
          </w:tcPr>
          <w:p>
            <w:pPr>
              <w:spacing w:after="0"/>
              <w:rPr>
                <w:sz w:val="11"/>
                <w:szCs w:val="11"/>
                <w:color w:val="auto"/>
              </w:rPr>
            </w:pPr>
          </w:p>
        </w:tc>
        <w:tc>
          <w:tcPr>
            <w:tcW w:w="66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(959)</w:t>
            </w:r>
          </w:p>
        </w:tc>
        <w:tc>
          <w:tcPr>
            <w:tcW w:w="60" w:type="dxa"/>
            <w:vAlign w:val="bottom"/>
          </w:tcPr>
          <w:p>
            <w:pPr>
              <w:spacing w:after="0"/>
              <w:rPr>
                <w:sz w:val="11"/>
                <w:szCs w:val="11"/>
                <w:color w:val="auto"/>
              </w:rPr>
            </w:pPr>
          </w:p>
        </w:tc>
        <w:tc>
          <w:tcPr>
            <w:tcW w:w="64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7,352</w:t>
            </w:r>
          </w:p>
        </w:tc>
        <w:tc>
          <w:tcPr>
            <w:tcW w:w="160" w:type="dxa"/>
            <w:vAlign w:val="bottom"/>
          </w:tcPr>
          <w:p>
            <w:pPr>
              <w:spacing w:after="0"/>
              <w:rPr>
                <w:sz w:val="11"/>
                <w:szCs w:val="11"/>
                <w:color w:val="auto"/>
              </w:rPr>
            </w:pPr>
          </w:p>
        </w:tc>
        <w:tc>
          <w:tcPr>
            <w:tcW w:w="5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12,828</w:t>
            </w:r>
          </w:p>
        </w:tc>
        <w:tc>
          <w:tcPr>
            <w:tcW w:w="160" w:type="dxa"/>
            <w:vAlign w:val="bottom"/>
          </w:tcPr>
          <w:p>
            <w:pPr>
              <w:spacing w:after="0"/>
              <w:rPr>
                <w:sz w:val="11"/>
                <w:szCs w:val="11"/>
                <w:color w:val="auto"/>
              </w:rPr>
            </w:pPr>
          </w:p>
        </w:tc>
        <w:tc>
          <w:tcPr>
            <w:tcW w:w="700" w:type="dxa"/>
            <w:vAlign w:val="bottom"/>
            <w:gridSpan w:val="3"/>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(289)</w:t>
            </w:r>
          </w:p>
        </w:tc>
        <w:tc>
          <w:tcPr>
            <w:tcW w:w="60" w:type="dxa"/>
            <w:vAlign w:val="bottom"/>
          </w:tcPr>
          <w:p>
            <w:pPr>
              <w:spacing w:after="0"/>
              <w:rPr>
                <w:sz w:val="11"/>
                <w:szCs w:val="11"/>
                <w:color w:val="auto"/>
              </w:rPr>
            </w:pPr>
          </w:p>
        </w:tc>
        <w:tc>
          <w:tcPr>
            <w:tcW w:w="700" w:type="dxa"/>
            <w:vAlign w:val="bottom"/>
            <w:gridSpan w:val="2"/>
          </w:tcPr>
          <w:p>
            <w:pPr>
              <w:jc w:val="right"/>
              <w:ind w:right="34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12,539</w:t>
            </w:r>
          </w:p>
        </w:tc>
        <w:tc>
          <w:tcPr>
            <w:tcW w:w="200" w:type="dxa"/>
            <w:vAlign w:val="bottom"/>
          </w:tcPr>
          <w:p>
            <w:pPr>
              <w:spacing w:after="0"/>
              <w:rPr>
                <w:sz w:val="11"/>
                <w:szCs w:val="11"/>
                <w:color w:val="auto"/>
              </w:rPr>
            </w:pPr>
          </w:p>
        </w:tc>
        <w:tc>
          <w:tcPr>
            <w:tcW w:w="5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1,834</w:t>
            </w:r>
          </w:p>
        </w:tc>
        <w:tc>
          <w:tcPr>
            <w:tcW w:w="80" w:type="dxa"/>
            <w:vAlign w:val="bottom"/>
          </w:tcPr>
          <w:p>
            <w:pPr>
              <w:spacing w:after="0"/>
              <w:rPr>
                <w:sz w:val="11"/>
                <w:szCs w:val="11"/>
                <w:color w:val="auto"/>
              </w:rPr>
            </w:pPr>
          </w:p>
        </w:tc>
        <w:tc>
          <w:tcPr>
            <w:tcW w:w="50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(41)</w:t>
            </w:r>
          </w:p>
        </w:tc>
        <w:tc>
          <w:tcPr>
            <w:tcW w:w="60" w:type="dxa"/>
            <w:vAlign w:val="bottom"/>
          </w:tcPr>
          <w:p>
            <w:pPr>
              <w:spacing w:after="0"/>
              <w:rPr>
                <w:sz w:val="11"/>
                <w:szCs w:val="11"/>
                <w:color w:val="auto"/>
              </w:rPr>
            </w:pPr>
          </w:p>
        </w:tc>
        <w:tc>
          <w:tcPr>
            <w:tcW w:w="680" w:type="dxa"/>
            <w:vAlign w:val="bottom"/>
            <w:gridSpan w:val="2"/>
          </w:tcPr>
          <w:p>
            <w:pPr>
              <w:jc w:val="right"/>
              <w:ind w:right="32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1,793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color w:val="auto"/>
              </w:rPr>
              <w:t>Less: income tax expense</w:t>
            </w: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4,386</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4,447</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1,115</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144</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4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1,259</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20"/>
              <w:spacing w:after="0" w:line="136"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00" w:type="dxa"/>
            <w:vAlign w:val="bottom"/>
          </w:tcPr>
          <w:p>
            <w:pPr>
              <w:ind w:left="240"/>
              <w:spacing w:after="0" w:line="116" w:lineRule="exact"/>
              <w:rPr>
                <w:sz w:val="20"/>
                <w:szCs w:val="20"/>
                <w:color w:val="auto"/>
              </w:rPr>
            </w:pPr>
            <w:r>
              <w:rPr>
                <w:rFonts w:ascii="Times New Roman" w:cs="Times New Roman" w:eastAsia="Times New Roman" w:hAnsi="Times New Roman"/>
                <w:sz w:val="13"/>
                <w:szCs w:val="13"/>
                <w:color w:val="auto"/>
              </w:rPr>
              <w:t>Less: net income (loss) attributable</w:t>
            </w:r>
          </w:p>
        </w:tc>
        <w:tc>
          <w:tcPr>
            <w:tcW w:w="40" w:type="dxa"/>
            <w:vAlign w:val="bottom"/>
            <w:vMerge w:val="restart"/>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(28)</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60" w:type="dxa"/>
            <w:vAlign w:val="bottom"/>
          </w:tcPr>
          <w:p>
            <w:pPr>
              <w:spacing w:after="0"/>
              <w:rPr>
                <w:sz w:val="10"/>
                <w:szCs w:val="10"/>
                <w:color w:val="auto"/>
              </w:rPr>
            </w:pPr>
          </w:p>
        </w:tc>
        <w:tc>
          <w:tcPr>
            <w:tcW w:w="7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416(3)</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60" w:type="dxa"/>
            <w:vAlign w:val="bottom"/>
          </w:tcPr>
          <w:p>
            <w:pPr>
              <w:spacing w:after="0"/>
              <w:rPr>
                <w:sz w:val="10"/>
                <w:szCs w:val="10"/>
                <w:color w:val="auto"/>
              </w:rPr>
            </w:pPr>
          </w:p>
        </w:tc>
        <w:tc>
          <w:tcPr>
            <w:tcW w:w="70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(22)</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10"/>
                <w:szCs w:val="10"/>
                <w:color w:val="auto"/>
              </w:rPr>
            </w:pPr>
          </w:p>
        </w:tc>
        <w:tc>
          <w:tcPr>
            <w:tcW w:w="7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(113)(3)</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(132)</w:t>
            </w: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(16)(3)</w:t>
            </w: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 NCI</w:t>
            </w:r>
          </w:p>
        </w:tc>
        <w:tc>
          <w:tcPr>
            <w:tcW w:w="4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income (loss) attributable to Baidu</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23,431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764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(435)</w:t>
            </w:r>
          </w:p>
        </w:tc>
        <w:tc>
          <w:tcPr>
            <w:tcW w:w="4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23,760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5,691</w:t>
            </w:r>
          </w:p>
        </w:tc>
        <w:tc>
          <w:tcPr>
            <w:tcW w:w="1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b w:val="1"/>
                <w:bCs w:val="1"/>
                <w:color w:val="auto"/>
              </w:rPr>
              <w:t>(207)</w:t>
            </w:r>
          </w:p>
        </w:tc>
        <w:tc>
          <w:tcPr>
            <w:tcW w:w="4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105</w:t>
            </w: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5,589</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814</w:t>
            </w: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3"/>
                <w:szCs w:val="13"/>
                <w:b w:val="1"/>
                <w:bCs w:val="1"/>
                <w:color w:val="auto"/>
              </w:rPr>
              <w:t>(30)</w:t>
            </w:r>
          </w:p>
        </w:tc>
        <w:tc>
          <w:tcPr>
            <w:tcW w:w="4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w:t>
            </w: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799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i w:val="1"/>
                <w:iCs w:val="1"/>
                <w:color w:val="auto"/>
              </w:rPr>
              <w:t>YOY</w:t>
            </w: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3"/>
                <w:szCs w:val="13"/>
                <w:i w:val="1"/>
                <w:iCs w:val="1"/>
                <w:color w:val="auto"/>
              </w:rPr>
              <w:t>(76%)</w:t>
            </w:r>
          </w:p>
        </w:tc>
        <w:tc>
          <w:tcPr>
            <w:tcW w:w="100" w:type="dxa"/>
            <w:vAlign w:val="bottom"/>
          </w:tcPr>
          <w:p>
            <w:pPr>
              <w:spacing w:after="0"/>
              <w:rPr>
                <w:sz w:val="10"/>
                <w:szCs w:val="10"/>
                <w:color w:val="auto"/>
              </w:rPr>
            </w:pPr>
          </w:p>
        </w:tc>
        <w:tc>
          <w:tcPr>
            <w:tcW w:w="60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3"/>
                <w:szCs w:val="13"/>
                <w:i w:val="1"/>
                <w:iCs w:val="1"/>
                <w:color w:val="auto"/>
              </w:rPr>
              <w:t>(127%)</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3"/>
                <w:szCs w:val="13"/>
                <w:i w:val="1"/>
                <w:iCs w:val="1"/>
                <w:color w:val="auto"/>
              </w:rPr>
              <w:t>(76%)</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i w:val="1"/>
                <w:iCs w:val="1"/>
                <w:color w:val="auto"/>
              </w:rPr>
              <w:t>Net margin</w:t>
            </w:r>
          </w:p>
        </w:tc>
        <w:tc>
          <w:tcPr>
            <w:tcW w:w="64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22%</w:t>
            </w:r>
          </w:p>
        </w:tc>
        <w:tc>
          <w:tcPr>
            <w:tcW w:w="660" w:type="dxa"/>
            <w:vAlign w:val="bottom"/>
            <w:gridSpan w:val="3"/>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3"/>
                <w:szCs w:val="13"/>
                <w:i w:val="1"/>
                <w:iCs w:val="1"/>
                <w:color w:val="auto"/>
              </w:rPr>
              <w:t>3%</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3"/>
                <w:szCs w:val="13"/>
                <w:i w:val="1"/>
                <w:iCs w:val="1"/>
                <w:color w:val="auto"/>
              </w:rPr>
              <w:t>18%</w:t>
            </w:r>
          </w:p>
        </w:tc>
        <w:tc>
          <w:tcPr>
            <w:tcW w:w="70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6%</w:t>
            </w:r>
          </w:p>
        </w:tc>
        <w:tc>
          <w:tcPr>
            <w:tcW w:w="700" w:type="dxa"/>
            <w:vAlign w:val="bottom"/>
            <w:gridSpan w:val="3"/>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(1%)</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4%</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i w:val="1"/>
                <w:iCs w:val="1"/>
                <w:color w:val="auto"/>
              </w:rPr>
              <w:t>Non-GAAP financial measures:</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Operating income (non-GAAP)</w:t>
            </w: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23,890</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2,363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26,234</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14,319</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639</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14,950</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2,048</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2,138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YOY</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(40%)</w:t>
            </w:r>
          </w:p>
        </w:tc>
        <w:tc>
          <w:tcPr>
            <w:tcW w:w="70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(73%)</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i w:val="1"/>
                <w:iCs w:val="1"/>
                <w:color w:val="auto"/>
              </w:rPr>
              <w:t>(43%)</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i w:val="1"/>
                <w:iCs w:val="1"/>
                <w:color w:val="auto"/>
              </w:rPr>
              <w:t>Operating margin (non-GAAP)</w:t>
            </w:r>
          </w:p>
        </w:tc>
        <w:tc>
          <w:tcPr>
            <w:tcW w:w="64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23%</w:t>
            </w:r>
          </w:p>
        </w:tc>
        <w:tc>
          <w:tcPr>
            <w:tcW w:w="660" w:type="dxa"/>
            <w:vAlign w:val="bottom"/>
            <w:gridSpan w:val="3"/>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3"/>
                <w:szCs w:val="13"/>
                <w:i w:val="1"/>
                <w:iCs w:val="1"/>
                <w:color w:val="auto"/>
              </w:rPr>
              <w:t>8%</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3"/>
                <w:szCs w:val="13"/>
                <w:i w:val="1"/>
                <w:iCs w:val="1"/>
                <w:color w:val="auto"/>
              </w:rPr>
              <w:t>20%</w:t>
            </w:r>
          </w:p>
        </w:tc>
        <w:tc>
          <w:tcPr>
            <w:tcW w:w="70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14%</w:t>
            </w:r>
          </w:p>
        </w:tc>
        <w:tc>
          <w:tcPr>
            <w:tcW w:w="700" w:type="dxa"/>
            <w:vAlign w:val="bottom"/>
            <w:gridSpan w:val="3"/>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2%</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12%</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Net income attributable to Baidu</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26,335</w:t>
            </w:r>
          </w:p>
        </w:tc>
        <w:tc>
          <w:tcPr>
            <w:tcW w:w="100" w:type="dxa"/>
            <w:vAlign w:val="bottom"/>
          </w:tcPr>
          <w:p>
            <w:pPr>
              <w:spacing w:after="0"/>
              <w:rPr>
                <w:sz w:val="9"/>
                <w:szCs w:val="9"/>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1,512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27,002</w:t>
            </w:r>
          </w:p>
        </w:tc>
        <w:tc>
          <w:tcPr>
            <w:tcW w:w="160" w:type="dxa"/>
            <w:vAlign w:val="bottom"/>
          </w:tcPr>
          <w:p>
            <w:pPr>
              <w:spacing w:after="0"/>
              <w:rPr>
                <w:sz w:val="9"/>
                <w:szCs w:val="9"/>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18,827</w:t>
            </w:r>
          </w:p>
        </w:tc>
        <w:tc>
          <w:tcPr>
            <w:tcW w:w="160" w:type="dxa"/>
            <w:vAlign w:val="bottom"/>
          </w:tcPr>
          <w:p>
            <w:pPr>
              <w:spacing w:after="0"/>
              <w:rPr>
                <w:sz w:val="9"/>
                <w:szCs w:val="9"/>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18,941</w:t>
            </w:r>
          </w:p>
        </w:tc>
        <w:tc>
          <w:tcPr>
            <w:tcW w:w="20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2,692</w:t>
            </w:r>
          </w:p>
        </w:tc>
        <w:tc>
          <w:tcPr>
            <w:tcW w:w="80" w:type="dxa"/>
            <w:vAlign w:val="bottom"/>
          </w:tcPr>
          <w:p>
            <w:pPr>
              <w:spacing w:after="0"/>
              <w:rPr>
                <w:sz w:val="9"/>
                <w:szCs w:val="9"/>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2,709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(non-GAAP)</w:t>
            </w: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i w:val="1"/>
                <w:iCs w:val="1"/>
                <w:color w:val="auto"/>
              </w:rPr>
              <w:t>YOY</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(29%)</w:t>
            </w:r>
          </w:p>
        </w:tc>
        <w:tc>
          <w:tcPr>
            <w:tcW w:w="700" w:type="dxa"/>
            <w:vAlign w:val="bottom"/>
            <w:gridSpan w:val="3"/>
            <w:shd w:val="clear" w:color="auto" w:fill="CCEEFF"/>
          </w:tcPr>
          <w:p>
            <w:pPr>
              <w:jc w:val="right"/>
              <w:ind w:right="40"/>
              <w:spacing w:after="0" w:line="136" w:lineRule="exact"/>
              <w:rPr>
                <w:sz w:val="20"/>
                <w:szCs w:val="20"/>
                <w:color w:val="auto"/>
              </w:rPr>
            </w:pPr>
            <w:r>
              <w:rPr>
                <w:rFonts w:ascii="Times New Roman" w:cs="Times New Roman" w:eastAsia="Times New Roman" w:hAnsi="Times New Roman"/>
                <w:sz w:val="13"/>
                <w:szCs w:val="13"/>
                <w:i w:val="1"/>
                <w:iCs w:val="1"/>
                <w:color w:val="auto"/>
              </w:rPr>
              <w:t>(81%)</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3"/>
                <w:szCs w:val="13"/>
                <w:i w:val="1"/>
                <w:iCs w:val="1"/>
                <w:color w:val="auto"/>
              </w:rPr>
              <w:t>(30%)</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i w:val="1"/>
                <w:iCs w:val="1"/>
                <w:color w:val="auto"/>
              </w:rPr>
              <w:t>Net margin (non-GAAP)</w:t>
            </w:r>
          </w:p>
        </w:tc>
        <w:tc>
          <w:tcPr>
            <w:tcW w:w="64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25%</w:t>
            </w:r>
          </w:p>
        </w:tc>
        <w:tc>
          <w:tcPr>
            <w:tcW w:w="66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3"/>
                <w:szCs w:val="13"/>
                <w:i w:val="1"/>
                <w:iCs w:val="1"/>
                <w:color w:val="auto"/>
              </w:rPr>
              <w:t>5%</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i w:val="1"/>
                <w:iCs w:val="1"/>
                <w:color w:val="auto"/>
              </w:rPr>
              <w:t>20%</w:t>
            </w:r>
          </w:p>
        </w:tc>
        <w:tc>
          <w:tcPr>
            <w:tcW w:w="7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18%</w:t>
            </w:r>
          </w:p>
        </w:tc>
        <w:tc>
          <w:tcPr>
            <w:tcW w:w="700" w:type="dxa"/>
            <w:vAlign w:val="bottom"/>
            <w:gridSpan w:val="3"/>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1%</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15%</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30,587</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2,510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33,078</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22,051</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815</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22,857</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3,153</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117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3,269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Pr>
          <w:p>
            <w:pPr>
              <w:ind w:left="240"/>
              <w:spacing w:after="0" w:line="114" w:lineRule="exact"/>
              <w:rPr>
                <w:sz w:val="20"/>
                <w:szCs w:val="20"/>
                <w:color w:val="auto"/>
              </w:rPr>
            </w:pPr>
            <w:r>
              <w:rPr>
                <w:rFonts w:ascii="Times New Roman" w:cs="Times New Roman" w:eastAsia="Times New Roman" w:hAnsi="Times New Roman"/>
                <w:sz w:val="13"/>
                <w:szCs w:val="13"/>
                <w:i w:val="1"/>
                <w:iCs w:val="1"/>
                <w:color w:val="auto"/>
              </w:rPr>
              <w:t>YOY</w:t>
            </w: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i w:val="1"/>
                <w:iCs w:val="1"/>
                <w:color w:val="auto"/>
              </w:rPr>
              <w:t>29%</w:t>
            </w:r>
          </w:p>
        </w:tc>
        <w:tc>
          <w:tcPr>
            <w:tcW w:w="6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i w:val="1"/>
                <w:iCs w:val="1"/>
                <w:color w:val="auto"/>
              </w:rPr>
              <w:t>9%</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i w:val="1"/>
                <w:iCs w:val="1"/>
                <w:color w:val="auto"/>
              </w:rPr>
              <w:t>25%</w:t>
            </w:r>
          </w:p>
        </w:tc>
        <w:tc>
          <w:tcPr>
            <w:tcW w:w="700" w:type="dxa"/>
            <w:vAlign w:val="bottom"/>
            <w:gridSpan w:val="3"/>
          </w:tcPr>
          <w:p>
            <w:pPr>
              <w:jc w:val="right"/>
              <w:spacing w:after="0" w:line="114" w:lineRule="exact"/>
              <w:rPr>
                <w:sz w:val="20"/>
                <w:szCs w:val="20"/>
                <w:color w:val="auto"/>
              </w:rPr>
            </w:pPr>
            <w:r>
              <w:rPr>
                <w:rFonts w:ascii="Times New Roman" w:cs="Times New Roman" w:eastAsia="Times New Roman" w:hAnsi="Times New Roman"/>
                <w:sz w:val="13"/>
                <w:szCs w:val="13"/>
                <w:i w:val="1"/>
                <w:iCs w:val="1"/>
                <w:color w:val="auto"/>
              </w:rPr>
              <w:t>(28%)</w:t>
            </w:r>
          </w:p>
        </w:tc>
        <w:tc>
          <w:tcPr>
            <w:tcW w:w="700" w:type="dxa"/>
            <w:vAlign w:val="bottom"/>
            <w:gridSpan w:val="3"/>
          </w:tcPr>
          <w:p>
            <w:pPr>
              <w:jc w:val="right"/>
              <w:ind w:right="40"/>
              <w:spacing w:after="0" w:line="114" w:lineRule="exact"/>
              <w:rPr>
                <w:sz w:val="20"/>
                <w:szCs w:val="20"/>
                <w:color w:val="auto"/>
              </w:rPr>
            </w:pPr>
            <w:r>
              <w:rPr>
                <w:rFonts w:ascii="Times New Roman" w:cs="Times New Roman" w:eastAsia="Times New Roman" w:hAnsi="Times New Roman"/>
                <w:sz w:val="13"/>
                <w:szCs w:val="13"/>
                <w:i w:val="1"/>
                <w:iCs w:val="1"/>
                <w:color w:val="auto"/>
              </w:rPr>
              <w:t>(68%)</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gridSpan w:val="2"/>
          </w:tcPr>
          <w:p>
            <w:pPr>
              <w:jc w:val="right"/>
              <w:ind w:right="60"/>
              <w:spacing w:after="0" w:line="114" w:lineRule="exact"/>
              <w:rPr>
                <w:sz w:val="20"/>
                <w:szCs w:val="20"/>
                <w:color w:val="auto"/>
              </w:rPr>
            </w:pPr>
            <w:r>
              <w:rPr>
                <w:rFonts w:ascii="Times New Roman" w:cs="Times New Roman" w:eastAsia="Times New Roman" w:hAnsi="Times New Roman"/>
                <w:sz w:val="13"/>
                <w:szCs w:val="13"/>
                <w:i w:val="1"/>
                <w:iCs w:val="1"/>
                <w:color w:val="auto"/>
              </w:rPr>
              <w:t>(31%)</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2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Adjusted EBITDA margin</w:t>
            </w:r>
          </w:p>
        </w:tc>
        <w:tc>
          <w:tcPr>
            <w:tcW w:w="640" w:type="dxa"/>
            <w:vAlign w:val="bottom"/>
            <w:gridSpan w:val="3"/>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22%</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3%</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18%</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6385560" cy="86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5560" cy="86360"/>
                    </a:xfrm>
                    <a:prstGeom prst="rect">
                      <a:avLst/>
                    </a:prstGeom>
                    <a:noFill/>
                  </pic:spPr>
                </pic:pic>
              </a:graphicData>
            </a:graphic>
          </wp:anchor>
        </w:drawing>
      </w:r>
    </w:p>
    <w:p>
      <w:pPr>
        <w:ind w:left="124" w:right="7880" w:hanging="124"/>
        <w:spacing w:after="0" w:line="217" w:lineRule="auto"/>
        <w:tabs>
          <w:tab w:leader="none" w:pos="178"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share-based compensation as follows:</w:t>
      </w:r>
    </w:p>
    <w:tbl>
      <w:tblPr>
        <w:tblLayout w:type="fixed"/>
        <w:tblInd w:w="4" w:type="dxa"/>
        <w:tblCellMar>
          <w:top w:w="0" w:type="dxa"/>
          <w:left w:w="0" w:type="dxa"/>
          <w:bottom w:w="0" w:type="dxa"/>
          <w:right w:w="0" w:type="dxa"/>
        </w:tblCellMar>
      </w:tblPr>
      <w:tr>
        <w:trPr>
          <w:trHeight w:val="142"/>
        </w:trPr>
        <w:tc>
          <w:tcPr>
            <w:tcW w:w="226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3"/>
                <w:szCs w:val="13"/>
                <w:color w:val="auto"/>
              </w:rPr>
              <w:t>Cost of revenue</w:t>
            </w:r>
          </w:p>
        </w:tc>
        <w:tc>
          <w:tcPr>
            <w:tcW w:w="50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340</w:t>
            </w:r>
          </w:p>
        </w:tc>
        <w:tc>
          <w:tcPr>
            <w:tcW w:w="60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121</w:t>
            </w:r>
          </w:p>
        </w:tc>
        <w:tc>
          <w:tcPr>
            <w:tcW w:w="134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461</w:t>
            </w:r>
          </w:p>
        </w:tc>
        <w:tc>
          <w:tcPr>
            <w:tcW w:w="70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277</w:t>
            </w:r>
          </w:p>
        </w:tc>
        <w:tc>
          <w:tcPr>
            <w:tcW w:w="6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112</w:t>
            </w:r>
          </w:p>
        </w:tc>
        <w:tc>
          <w:tcPr>
            <w:tcW w:w="142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389</w:t>
            </w:r>
          </w:p>
        </w:tc>
        <w:tc>
          <w:tcPr>
            <w:tcW w:w="7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40</w:t>
            </w:r>
          </w:p>
        </w:tc>
        <w:tc>
          <w:tcPr>
            <w:tcW w:w="48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16</w:t>
            </w:r>
          </w:p>
        </w:tc>
        <w:tc>
          <w:tcPr>
            <w:tcW w:w="12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2"/>
                <w:szCs w:val="12"/>
                <w:color w:val="auto"/>
              </w:rPr>
            </w:pPr>
          </w:p>
        </w:tc>
      </w:tr>
      <w:tr>
        <w:trPr>
          <w:trHeight w:val="136"/>
        </w:trPr>
        <w:tc>
          <w:tcPr>
            <w:tcW w:w="2260" w:type="dxa"/>
            <w:vAlign w:val="bottom"/>
          </w:tcPr>
          <w:p>
            <w:pPr>
              <w:ind w:left="260"/>
              <w:spacing w:after="0" w:line="136"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1,153</w:t>
            </w:r>
          </w:p>
        </w:tc>
        <w:tc>
          <w:tcPr>
            <w:tcW w:w="6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274</w:t>
            </w:r>
          </w:p>
        </w:tc>
        <w:tc>
          <w:tcPr>
            <w:tcW w:w="13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1,427</w:t>
            </w: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1,018</w:t>
            </w:r>
          </w:p>
        </w:tc>
        <w:tc>
          <w:tcPr>
            <w:tcW w:w="6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163</w:t>
            </w:r>
          </w:p>
        </w:tc>
        <w:tc>
          <w:tcPr>
            <w:tcW w:w="14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1,181</w:t>
            </w:r>
          </w:p>
        </w:tc>
        <w:tc>
          <w:tcPr>
            <w:tcW w:w="7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146</w:t>
            </w:r>
          </w:p>
        </w:tc>
        <w:tc>
          <w:tcPr>
            <w:tcW w:w="4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23</w:t>
            </w:r>
          </w:p>
        </w:tc>
        <w:tc>
          <w:tcPr>
            <w:tcW w:w="12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169</w:t>
            </w:r>
          </w:p>
        </w:tc>
        <w:tc>
          <w:tcPr>
            <w:tcW w:w="80" w:type="dxa"/>
            <w:vAlign w:val="bottom"/>
          </w:tcPr>
          <w:p>
            <w:pPr>
              <w:spacing w:after="0"/>
              <w:rPr>
                <w:sz w:val="11"/>
                <w:szCs w:val="11"/>
                <w:color w:val="auto"/>
              </w:rPr>
            </w:pPr>
          </w:p>
        </w:tc>
      </w:tr>
      <w:tr>
        <w:trPr>
          <w:trHeight w:val="136"/>
        </w:trPr>
        <w:tc>
          <w:tcPr>
            <w:tcW w:w="2260" w:type="dxa"/>
            <w:vAlign w:val="bottom"/>
            <w:shd w:val="clear" w:color="auto" w:fill="CCEEFF"/>
          </w:tcPr>
          <w:p>
            <w:pPr>
              <w:ind w:left="260"/>
              <w:spacing w:after="0" w:line="136" w:lineRule="exact"/>
              <w:rPr>
                <w:sz w:val="20"/>
                <w:szCs w:val="20"/>
                <w:color w:val="auto"/>
              </w:rPr>
            </w:pPr>
            <w:r>
              <w:rPr>
                <w:rFonts w:ascii="Times New Roman" w:cs="Times New Roman" w:eastAsia="Times New Roman" w:hAnsi="Times New Roman"/>
                <w:sz w:val="13"/>
                <w:szCs w:val="13"/>
                <w:color w:val="auto"/>
              </w:rPr>
              <w:t>Research and development</w:t>
            </w:r>
          </w:p>
        </w:tc>
        <w:tc>
          <w:tcPr>
            <w:tcW w:w="5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2,746</w:t>
            </w:r>
          </w:p>
        </w:tc>
        <w:tc>
          <w:tcPr>
            <w:tcW w:w="6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150</w:t>
            </w:r>
          </w:p>
        </w:tc>
        <w:tc>
          <w:tcPr>
            <w:tcW w:w="13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2,896</w:t>
            </w:r>
          </w:p>
        </w:tc>
        <w:tc>
          <w:tcPr>
            <w:tcW w:w="7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1,908</w:t>
            </w:r>
          </w:p>
        </w:tc>
        <w:tc>
          <w:tcPr>
            <w:tcW w:w="6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127</w:t>
            </w:r>
          </w:p>
        </w:tc>
        <w:tc>
          <w:tcPr>
            <w:tcW w:w="14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2,035</w:t>
            </w:r>
          </w:p>
        </w:tc>
        <w:tc>
          <w:tcPr>
            <w:tcW w:w="7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273</w:t>
            </w:r>
          </w:p>
        </w:tc>
        <w:tc>
          <w:tcPr>
            <w:tcW w:w="4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19</w:t>
            </w:r>
          </w:p>
        </w:tc>
        <w:tc>
          <w:tcPr>
            <w:tcW w:w="12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292</w:t>
            </w:r>
          </w:p>
        </w:tc>
        <w:tc>
          <w:tcPr>
            <w:tcW w:w="80" w:type="dxa"/>
            <w:vAlign w:val="bottom"/>
            <w:shd w:val="clear" w:color="auto" w:fill="CCEEFF"/>
          </w:tcPr>
          <w:p>
            <w:pPr>
              <w:spacing w:after="0"/>
              <w:rPr>
                <w:sz w:val="11"/>
                <w:szCs w:val="11"/>
                <w:color w:val="auto"/>
              </w:rPr>
            </w:pPr>
          </w:p>
        </w:tc>
      </w:tr>
      <w:tr>
        <w:trPr>
          <w:trHeight w:val="163"/>
        </w:trPr>
        <w:tc>
          <w:tcPr>
            <w:tcW w:w="2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share-based compensation</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4,239</w:t>
            </w:r>
          </w:p>
        </w:tc>
        <w:tc>
          <w:tcPr>
            <w:tcW w:w="200" w:type="dxa"/>
            <w:vAlign w:val="bottom"/>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86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4,784</w:t>
            </w:r>
          </w:p>
        </w:tc>
        <w:tc>
          <w:tcPr>
            <w:tcW w:w="2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3,203</w:t>
            </w:r>
          </w:p>
        </w:tc>
        <w:tc>
          <w:tcPr>
            <w:tcW w:w="260" w:type="dxa"/>
            <w:vAlign w:val="bottom"/>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9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3,605</w:t>
            </w:r>
          </w:p>
        </w:tc>
        <w:tc>
          <w:tcPr>
            <w:tcW w:w="26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140" w:type="dxa"/>
            <w:vAlign w:val="bottom"/>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4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0" w:type="dxa"/>
            <w:vAlign w:val="bottom"/>
          </w:tcPr>
          <w:p>
            <w:pPr>
              <w:spacing w:after="0"/>
              <w:rPr>
                <w:sz w:val="14"/>
                <w:szCs w:val="14"/>
                <w:color w:val="auto"/>
              </w:rPr>
            </w:pPr>
          </w:p>
        </w:tc>
      </w:tr>
    </w:tbl>
    <w:p>
      <w:pPr>
        <w:spacing w:after="0" w:line="182" w:lineRule="exact"/>
        <w:rPr>
          <w:sz w:val="20"/>
          <w:szCs w:val="20"/>
          <w:color w:val="auto"/>
        </w:rPr>
      </w:pPr>
    </w:p>
    <w:p>
      <w:pPr>
        <w:ind w:left="404" w:hanging="404"/>
        <w:spacing w:after="0"/>
        <w:tabs>
          <w:tab w:leader="none" w:pos="40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intersegment eliminations and adjustments</w:t>
      </w:r>
    </w:p>
    <w:p>
      <w:pPr>
        <w:spacing w:after="0" w:line="30" w:lineRule="exact"/>
        <w:rPr>
          <w:rFonts w:ascii="Times New Roman" w:cs="Times New Roman" w:eastAsia="Times New Roman" w:hAnsi="Times New Roman"/>
          <w:sz w:val="16"/>
          <w:szCs w:val="16"/>
          <w:color w:val="auto"/>
        </w:rPr>
      </w:pPr>
    </w:p>
    <w:p>
      <w:pPr>
        <w:ind w:left="404" w:hanging="404"/>
        <w:spacing w:after="0"/>
        <w:tabs>
          <w:tab w:leader="none" w:pos="40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the net loss attributable to iQIYI noncontrolling interests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0064"/>
          </w:cols>
          <w:pgMar w:left="916" w:top="255" w:right="9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5025" cy="36195"/>
                    </a:xfrm>
                    <a:prstGeom prst="rect">
                      <a:avLst/>
                    </a:prstGeom>
                    <a:noFill/>
                  </pic:spPr>
                </pic:pic>
              </a:graphicData>
            </a:graphic>
          </wp:anchor>
        </w:drawing>
        <w:t>Baidu,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millions,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760" w:type="dxa"/>
            <w:vAlign w:val="bottom"/>
            <w:gridSpan w:val="6"/>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800" w:type="dxa"/>
            <w:vAlign w:val="bottom"/>
            <w:gridSpan w:val="6"/>
          </w:tcPr>
          <w:p>
            <w:pPr>
              <w:ind w:left="2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800" w:type="dxa"/>
            <w:vAlign w:val="bottom"/>
            <w:gridSpan w:val="7"/>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2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600" w:type="dxa"/>
            <w:vAlign w:val="bottom"/>
            <w:gridSpan w:val="5"/>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2024 (RMB)</w:t>
            </w:r>
          </w:p>
        </w:tc>
        <w:tc>
          <w:tcPr>
            <w:tcW w:w="160" w:type="dxa"/>
            <w:vAlign w:val="bottom"/>
            <w:vMerge w:val="restart"/>
          </w:tcPr>
          <w:p>
            <w:pPr>
              <w:spacing w:after="0"/>
              <w:rPr>
                <w:sz w:val="11"/>
                <w:szCs w:val="11"/>
                <w:color w:val="auto"/>
              </w:rPr>
            </w:pPr>
          </w:p>
        </w:tc>
        <w:tc>
          <w:tcPr>
            <w:tcW w:w="1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2025 (RMB)</w:t>
            </w:r>
          </w:p>
        </w:tc>
        <w:tc>
          <w:tcPr>
            <w:tcW w:w="160" w:type="dxa"/>
            <w:vAlign w:val="bottom"/>
            <w:vMerge w:val="restart"/>
          </w:tcPr>
          <w:p>
            <w:pPr>
              <w:spacing w:after="0"/>
              <w:rPr>
                <w:sz w:val="11"/>
                <w:szCs w:val="11"/>
                <w:color w:val="auto"/>
              </w:rPr>
            </w:pPr>
          </w:p>
        </w:tc>
        <w:tc>
          <w:tcPr>
            <w:tcW w:w="1800" w:type="dxa"/>
            <w:vAlign w:val="bottom"/>
            <w:gridSpan w:val="7"/>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15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2025 (US$)</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600" w:type="dxa"/>
            <w:vAlign w:val="bottom"/>
            <w:tcBorders>
              <w:bottom w:val="single" w:sz="8" w:color="auto"/>
            </w:tcBorders>
            <w:gridSpan w:val="5"/>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640" w:type="dxa"/>
            <w:vAlign w:val="bottom"/>
            <w:tcBorders>
              <w:bottom w:val="single" w:sz="8" w:color="auto"/>
            </w:tcBorders>
            <w:gridSpan w:val="5"/>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(RMB)</w:t>
            </w:r>
          </w:p>
        </w:tc>
        <w:tc>
          <w:tcPr>
            <w:tcW w:w="4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Borders>
              <w:bottom w:val="single" w:sz="8" w:color="auto"/>
            </w:tcBorders>
            <w:gridSpan w:val="5"/>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600" w:type="dxa"/>
            <w:vAlign w:val="bottom"/>
            <w:gridSpan w:val="2"/>
          </w:tcPr>
          <w:p>
            <w:pPr>
              <w:ind w:left="4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600" w:type="dxa"/>
            <w:vAlign w:val="bottom"/>
            <w:gridSpan w:val="2"/>
          </w:tcPr>
          <w:p>
            <w:pPr>
              <w:ind w:left="4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54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58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8"/>
              </w:rPr>
              <w:t>Baidu,</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600" w:type="dxa"/>
            <w:vAlign w:val="bottom"/>
            <w:gridSpan w:val="2"/>
          </w:tcPr>
          <w:p>
            <w:pPr>
              <w:jc w:val="right"/>
              <w:ind w:right="260"/>
              <w:spacing w:after="0" w:line="136" w:lineRule="exact"/>
              <w:rPr>
                <w:sz w:val="20"/>
                <w:szCs w:val="20"/>
                <w:color w:val="auto"/>
              </w:rPr>
            </w:pPr>
            <w:r>
              <w:rPr>
                <w:rFonts w:ascii="Times New Roman" w:cs="Times New Roman" w:eastAsia="Times New Roman" w:hAnsi="Times New Roman"/>
                <w:sz w:val="13"/>
                <w:szCs w:val="13"/>
                <w:b w:val="1"/>
                <w:bCs w:val="1"/>
                <w:color w:val="auto"/>
              </w:rPr>
              <w:t>excl.</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iQIYI</w:t>
            </w:r>
          </w:p>
        </w:tc>
        <w:tc>
          <w:tcPr>
            <w:tcW w:w="620" w:type="dxa"/>
            <w:vAlign w:val="bottom"/>
            <w:gridSpan w:val="2"/>
            <w:vMerge w:val="continue"/>
          </w:tcPr>
          <w:p>
            <w:pPr>
              <w:spacing w:after="0"/>
              <w:rPr>
                <w:sz w:val="11"/>
                <w:szCs w:val="11"/>
                <w:color w:val="auto"/>
              </w:rPr>
            </w:pPr>
          </w:p>
        </w:tc>
        <w:tc>
          <w:tcPr>
            <w:tcW w:w="60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excl.</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640" w:type="dxa"/>
            <w:vAlign w:val="bottom"/>
            <w:gridSpan w:val="2"/>
            <w:vMerge w:val="continue"/>
          </w:tcPr>
          <w:p>
            <w:pPr>
              <w:spacing w:after="0"/>
              <w:rPr>
                <w:sz w:val="11"/>
                <w:szCs w:val="11"/>
                <w:color w:val="auto"/>
              </w:rPr>
            </w:pPr>
          </w:p>
        </w:tc>
        <w:tc>
          <w:tcPr>
            <w:tcW w:w="54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3"/>
                <w:szCs w:val="13"/>
                <w:b w:val="1"/>
                <w:bCs w:val="1"/>
                <w:color w:val="auto"/>
                <w:w w:val="96"/>
              </w:rPr>
              <w:t>excl.</w:t>
            </w:r>
          </w:p>
        </w:tc>
        <w:tc>
          <w:tcPr>
            <w:tcW w:w="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iQIYI</w:t>
            </w:r>
          </w:p>
        </w:tc>
        <w:tc>
          <w:tcPr>
            <w:tcW w:w="640" w:type="dxa"/>
            <w:vAlign w:val="bottom"/>
            <w:gridSpan w:val="2"/>
            <w:vMerge w:val="continue"/>
          </w:tcPr>
          <w:p>
            <w:pPr>
              <w:spacing w:after="0"/>
              <w:rPr>
                <w:sz w:val="11"/>
                <w:szCs w:val="11"/>
                <w:color w:val="auto"/>
              </w:rPr>
            </w:pPr>
          </w:p>
        </w:tc>
        <w:tc>
          <w:tcPr>
            <w:tcW w:w="58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3"/>
                <w:szCs w:val="13"/>
                <w:b w:val="1"/>
                <w:bCs w:val="1"/>
                <w:color w:val="auto"/>
                <w:w w:val="96"/>
              </w:rPr>
              <w:t>excl.</w:t>
            </w:r>
          </w:p>
        </w:tc>
        <w:tc>
          <w:tcPr>
            <w:tcW w:w="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540" w:type="dxa"/>
            <w:vAlign w:val="bottom"/>
            <w:gridSpan w:val="2"/>
            <w:vMerge w:val="continue"/>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Inc.</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560" w:type="dxa"/>
            <w:vAlign w:val="bottom"/>
            <w:gridSpan w:val="2"/>
            <w:vMerge w:val="continue"/>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Inc.</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iQIYI</w:t>
            </w:r>
          </w:p>
        </w:tc>
        <w:tc>
          <w:tcPr>
            <w:tcW w:w="620" w:type="dxa"/>
            <w:vAlign w:val="bottom"/>
            <w:gridSpan w:val="3"/>
            <w:vMerge w:val="continue"/>
          </w:tcPr>
          <w:p>
            <w:pPr>
              <w:spacing w:after="0"/>
              <w:rPr>
                <w:sz w:val="13"/>
                <w:szCs w:val="13"/>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Inc.</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540" w:type="dxa"/>
            <w:vAlign w:val="bottom"/>
            <w:gridSpan w:val="2"/>
            <w:vMerge w:val="continue"/>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Inc.</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1,836</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520</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2,356</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1,523</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b w:val="1"/>
                <w:bCs w:val="1"/>
                <w:color w:val="auto"/>
              </w:rPr>
              <w:t>(267)</w:t>
            </w:r>
          </w:p>
        </w:tc>
        <w:tc>
          <w:tcPr>
            <w:tcW w:w="4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1,256</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2,562</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47</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2,609</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366</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w:t>
            </w: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373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6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(4,741)</w:t>
            </w:r>
          </w:p>
        </w:tc>
        <w:tc>
          <w:tcPr>
            <w:tcW w:w="5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(896)</w:t>
            </w:r>
          </w:p>
        </w:tc>
        <w:tc>
          <w:tcPr>
            <w:tcW w:w="6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(5,637)</w:t>
            </w:r>
          </w:p>
        </w:tc>
        <w:tc>
          <w:tcPr>
            <w:tcW w:w="4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2,233</w:t>
            </w:r>
          </w:p>
        </w:tc>
        <w:tc>
          <w:tcPr>
            <w:tcW w:w="16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763</w:t>
            </w:r>
          </w:p>
        </w:tc>
        <w:tc>
          <w:tcPr>
            <w:tcW w:w="18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2,996</w:t>
            </w:r>
          </w:p>
        </w:tc>
        <w:tc>
          <w:tcPr>
            <w:tcW w:w="160" w:type="dxa"/>
            <w:vAlign w:val="bottom"/>
          </w:tcPr>
          <w:p>
            <w:pPr>
              <w:spacing w:after="0"/>
              <w:rPr>
                <w:sz w:val="11"/>
                <w:szCs w:val="11"/>
                <w:color w:val="auto"/>
              </w:rPr>
            </w:pPr>
          </w:p>
        </w:tc>
        <w:tc>
          <w:tcPr>
            <w:tcW w:w="54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(17,439)</w:t>
            </w:r>
          </w:p>
        </w:tc>
        <w:tc>
          <w:tcPr>
            <w:tcW w:w="620" w:type="dxa"/>
            <w:vAlign w:val="bottom"/>
            <w:gridSpan w:val="3"/>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(947)</w:t>
            </w:r>
          </w:p>
        </w:tc>
        <w:tc>
          <w:tcPr>
            <w:tcW w:w="64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(18,386)</w:t>
            </w:r>
          </w:p>
        </w:tc>
        <w:tc>
          <w:tcPr>
            <w:tcW w:w="58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(2,494)</w:t>
            </w:r>
          </w:p>
        </w:tc>
        <w:tc>
          <w:tcPr>
            <w:tcW w:w="54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(135)</w:t>
            </w:r>
          </w:p>
        </w:tc>
        <w:tc>
          <w:tcPr>
            <w:tcW w:w="5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(2,629)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6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(1,784)</w:t>
            </w:r>
          </w:p>
        </w:tc>
        <w:tc>
          <w:tcPr>
            <w:tcW w:w="3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114</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(1,670)</w:t>
            </w: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4,532</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151</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4,683</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595</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518</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1,113</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85</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74</w:t>
            </w: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Effect of exchange rate changes on cash, cash</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16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(186)</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(16)</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(202)</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(295)</w:t>
            </w:r>
          </w:p>
        </w:tc>
        <w:tc>
          <w:tcPr>
            <w:tcW w:w="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(10)</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(305)</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(42)</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w:t>
            </w: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equivalents and restricted cash</w:t>
            </w:r>
          </w:p>
        </w:tc>
        <w:tc>
          <w:tcPr>
            <w:tcW w:w="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vMerge w:val="continue"/>
          </w:tcPr>
          <w:p>
            <w:pPr>
              <w:spacing w:after="0"/>
              <w:rPr>
                <w:sz w:val="9"/>
                <w:szCs w:val="9"/>
                <w:color w:val="auto"/>
              </w:rPr>
            </w:pPr>
          </w:p>
        </w:tc>
        <w:tc>
          <w:tcPr>
            <w:tcW w:w="30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Net increase (decrease) in cash, cash equivalents and</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(4,107)</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(201)</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(4,308)</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8,102</w:t>
            </w:r>
          </w:p>
        </w:tc>
        <w:tc>
          <w:tcPr>
            <w:tcW w:w="16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631</w:t>
            </w:r>
          </w:p>
        </w:tc>
        <w:tc>
          <w:tcPr>
            <w:tcW w:w="1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8,733</w:t>
            </w:r>
          </w:p>
        </w:tc>
        <w:tc>
          <w:tcPr>
            <w:tcW w:w="1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(14,577)</w:t>
            </w:r>
          </w:p>
        </w:tc>
        <w:tc>
          <w:tcPr>
            <w:tcW w:w="6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(392)</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(14,969)</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(2,085)</w:t>
            </w: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(55)</w:t>
            </w: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(2,140)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600" w:type="dxa"/>
            <w:vAlign w:val="bottom"/>
            <w:gridSpan w:val="2"/>
            <w:vMerge w:val="continue"/>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20" w:type="dxa"/>
            <w:vAlign w:val="bottom"/>
            <w:gridSpan w:val="3"/>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Cash, cash equivalents and restricted cash</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color w:val="auto"/>
              </w:rPr>
              <w:t>At beginning of period</w:t>
            </w: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37,106</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3,791</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40,897</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26,928</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4,139</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31,067</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35,030</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4,770</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39,800</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5,009</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682</w:t>
            </w: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5,691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At end of period</w:t>
            </w:r>
          </w:p>
        </w:tc>
        <w:tc>
          <w:tcPr>
            <w:tcW w:w="4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32,999</w:t>
            </w:r>
          </w:p>
        </w:tc>
        <w:tc>
          <w:tcPr>
            <w:tcW w:w="1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3,590</w:t>
            </w:r>
          </w:p>
        </w:tc>
        <w:tc>
          <w:tcPr>
            <w:tcW w:w="18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36,589</w:t>
            </w:r>
          </w:p>
        </w:tc>
        <w:tc>
          <w:tcPr>
            <w:tcW w:w="16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35,030</w:t>
            </w:r>
          </w:p>
        </w:tc>
        <w:tc>
          <w:tcPr>
            <w:tcW w:w="16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4,770</w:t>
            </w:r>
          </w:p>
        </w:tc>
        <w:tc>
          <w:tcPr>
            <w:tcW w:w="18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39,800</w:t>
            </w:r>
          </w:p>
        </w:tc>
        <w:tc>
          <w:tcPr>
            <w:tcW w:w="16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20,453</w:t>
            </w:r>
          </w:p>
        </w:tc>
        <w:tc>
          <w:tcPr>
            <w:tcW w:w="100" w:type="dxa"/>
            <w:vAlign w:val="bottom"/>
          </w:tcPr>
          <w:p>
            <w:pPr>
              <w:spacing w:after="0"/>
              <w:rPr>
                <w:sz w:val="11"/>
                <w:szCs w:val="11"/>
                <w:color w:val="auto"/>
              </w:rPr>
            </w:pPr>
          </w:p>
        </w:tc>
        <w:tc>
          <w:tcPr>
            <w:tcW w:w="4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4,378</w:t>
            </w:r>
          </w:p>
        </w:tc>
        <w:tc>
          <w:tcPr>
            <w:tcW w:w="18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24,831</w:t>
            </w:r>
          </w:p>
        </w:tc>
        <w:tc>
          <w:tcPr>
            <w:tcW w:w="20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2,924</w:t>
            </w:r>
          </w:p>
        </w:tc>
        <w:tc>
          <w:tcPr>
            <w:tcW w:w="20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627</w:t>
            </w:r>
          </w:p>
        </w:tc>
        <w:tc>
          <w:tcPr>
            <w:tcW w:w="2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3,551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1,836</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520</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2,356</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1,523</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b w:val="1"/>
                <w:bCs w:val="1"/>
                <w:color w:val="auto"/>
              </w:rPr>
              <w:t>(267)</w:t>
            </w:r>
          </w:p>
        </w:tc>
        <w:tc>
          <w:tcPr>
            <w:tcW w:w="4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1,256</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2,562</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47</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2,609</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366</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w:t>
            </w: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373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Less: Capital expenditures</w:t>
            </w:r>
          </w:p>
        </w:tc>
        <w:tc>
          <w:tcPr>
            <w:tcW w:w="6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(2,312)</w:t>
            </w:r>
          </w:p>
        </w:tc>
        <w:tc>
          <w:tcPr>
            <w:tcW w:w="5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(21)</w:t>
            </w:r>
          </w:p>
        </w:tc>
        <w:tc>
          <w:tcPr>
            <w:tcW w:w="6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(2,333)</w:t>
            </w:r>
          </w:p>
        </w:tc>
        <w:tc>
          <w:tcPr>
            <w:tcW w:w="60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(3,378)</w:t>
            </w:r>
          </w:p>
        </w:tc>
        <w:tc>
          <w:tcPr>
            <w:tcW w:w="56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(23)</w:t>
            </w:r>
          </w:p>
        </w:tc>
        <w:tc>
          <w:tcPr>
            <w:tcW w:w="6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(3,401)</w:t>
            </w:r>
          </w:p>
        </w:tc>
        <w:tc>
          <w:tcPr>
            <w:tcW w:w="54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(1,952)</w:t>
            </w:r>
          </w:p>
        </w:tc>
        <w:tc>
          <w:tcPr>
            <w:tcW w:w="620" w:type="dxa"/>
            <w:vAlign w:val="bottom"/>
            <w:gridSpan w:val="3"/>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(20)</w:t>
            </w:r>
          </w:p>
        </w:tc>
        <w:tc>
          <w:tcPr>
            <w:tcW w:w="64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(1,972)</w:t>
            </w:r>
          </w:p>
        </w:tc>
        <w:tc>
          <w:tcPr>
            <w:tcW w:w="58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(279)</w:t>
            </w:r>
          </w:p>
        </w:tc>
        <w:tc>
          <w:tcPr>
            <w:tcW w:w="54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(3)</w:t>
            </w:r>
          </w:p>
        </w:tc>
        <w:tc>
          <w:tcPr>
            <w:tcW w:w="5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0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Free cash flow</w:t>
            </w:r>
          </w:p>
        </w:tc>
        <w:tc>
          <w:tcPr>
            <w:tcW w:w="6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b w:val="1"/>
                <w:bCs w:val="1"/>
                <w:color w:val="auto"/>
              </w:rPr>
              <w:t>(476)</w:t>
            </w:r>
          </w:p>
        </w:tc>
        <w:tc>
          <w:tcPr>
            <w:tcW w:w="3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499</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23</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b w:val="1"/>
                <w:bCs w:val="1"/>
                <w:color w:val="auto"/>
              </w:rPr>
              <w:t>(1,855)</w:t>
            </w:r>
          </w:p>
        </w:tc>
        <w:tc>
          <w:tcPr>
            <w:tcW w:w="56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b w:val="1"/>
                <w:bCs w:val="1"/>
                <w:color w:val="auto"/>
              </w:rPr>
              <w:t>(290)</w:t>
            </w:r>
          </w:p>
        </w:tc>
        <w:tc>
          <w:tcPr>
            <w:tcW w:w="64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b w:val="1"/>
                <w:bCs w:val="1"/>
                <w:color w:val="auto"/>
              </w:rPr>
              <w:t>(2,145)</w:t>
            </w: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610</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27</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637</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87</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w:t>
            </w: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Baidu excl. iQIYI represents Baidu, Inc. minus iQIYI’s consolidated cash flows.</w:t>
      </w:r>
    </w:p>
    <w:p>
      <w:pPr>
        <w:spacing w:after="0" w:line="14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0060"/>
          </w:cols>
          <w:pgMar w:left="920" w:top="255" w:right="9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5025" cy="36195"/>
                    </a:xfrm>
                    <a:prstGeom prst="rect">
                      <a:avLst/>
                    </a:prstGeom>
                    <a:noFill/>
                  </pic:spPr>
                </pic:pic>
              </a:graphicData>
            </a:graphic>
          </wp:anchor>
        </w:drawing>
        <w:t>Baidu,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millions,unaudited)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2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214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Twelve months ended</w:t>
            </w:r>
          </w:p>
        </w:tc>
        <w:tc>
          <w:tcPr>
            <w:tcW w:w="1800" w:type="dxa"/>
            <w:vAlign w:val="bottom"/>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Twelve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 (RMB)</w:t>
            </w:r>
          </w:p>
        </w:tc>
        <w:tc>
          <w:tcPr>
            <w:tcW w:w="200" w:type="dxa"/>
            <w:vAlign w:val="bottom"/>
          </w:tcPr>
          <w:p>
            <w:pPr>
              <w:spacing w:after="0"/>
              <w:rPr>
                <w:sz w:val="13"/>
                <w:szCs w:val="13"/>
                <w:color w:val="auto"/>
              </w:rPr>
            </w:pPr>
          </w:p>
        </w:tc>
        <w:tc>
          <w:tcPr>
            <w:tcW w:w="1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2025 (RMB)</w:t>
            </w:r>
          </w:p>
        </w:tc>
        <w:tc>
          <w:tcPr>
            <w:tcW w:w="200" w:type="dxa"/>
            <w:vAlign w:val="bottom"/>
          </w:tcPr>
          <w:p>
            <w:pPr>
              <w:spacing w:after="0"/>
              <w:rPr>
                <w:sz w:val="13"/>
                <w:szCs w:val="13"/>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December 31, 2025 (US$)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78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76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600" w:type="dxa"/>
            <w:vAlign w:val="bottom"/>
            <w:gridSpan w:val="2"/>
          </w:tcPr>
          <w:p>
            <w:pPr>
              <w:jc w:val="center"/>
              <w:ind w:right="14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78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excl.</w:t>
            </w: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760" w:type="dxa"/>
            <w:vAlign w:val="bottom"/>
            <w:gridSpan w:val="2"/>
            <w:vMerge w:val="continue"/>
          </w:tcPr>
          <w:p>
            <w:pPr>
              <w:spacing w:after="0"/>
              <w:rPr>
                <w:sz w:val="11"/>
                <w:szCs w:val="11"/>
                <w:color w:val="auto"/>
              </w:rPr>
            </w:pPr>
          </w:p>
        </w:tc>
        <w:tc>
          <w:tcPr>
            <w:tcW w:w="76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3"/>
                <w:szCs w:val="13"/>
                <w:b w:val="1"/>
                <w:bCs w:val="1"/>
                <w:color w:val="auto"/>
              </w:rPr>
              <w:t>excl.</w:t>
            </w:r>
          </w:p>
        </w:tc>
        <w:tc>
          <w:tcPr>
            <w:tcW w:w="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iQIYI</w:t>
            </w:r>
          </w:p>
        </w:tc>
        <w:tc>
          <w:tcPr>
            <w:tcW w:w="760" w:type="dxa"/>
            <w:vAlign w:val="bottom"/>
            <w:gridSpan w:val="2"/>
            <w:vMerge w:val="continue"/>
          </w:tcPr>
          <w:p>
            <w:pPr>
              <w:spacing w:after="0"/>
              <w:rPr>
                <w:sz w:val="11"/>
                <w:szCs w:val="11"/>
                <w:color w:val="auto"/>
              </w:rPr>
            </w:pPr>
          </w:p>
        </w:tc>
        <w:tc>
          <w:tcPr>
            <w:tcW w:w="60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b w:val="1"/>
                <w:bCs w:val="1"/>
                <w:color w:val="auto"/>
              </w:rPr>
              <w:t>excl.</w:t>
            </w:r>
          </w:p>
        </w:tc>
        <w:tc>
          <w:tcPr>
            <w:tcW w:w="6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680" w:type="dxa"/>
            <w:vAlign w:val="bottom"/>
            <w:gridSpan w:val="2"/>
            <w:vMerge w:val="continue"/>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Inc.</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620" w:type="dxa"/>
            <w:vAlign w:val="bottom"/>
            <w:gridSpan w:val="2"/>
            <w:vMerge w:val="continue"/>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Inc.</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620" w:type="dxa"/>
            <w:vAlign w:val="bottom"/>
            <w:gridSpan w:val="3"/>
            <w:vMerge w:val="continue"/>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Inc.</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19,126</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2,108</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21,234</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(3,119)</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(3,013)</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(446)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(6,110)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(2,445)</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(8,555)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(24,809)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(327)</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(25,136)</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(3,547)</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(12,391)</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(1,368)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(13,759)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16,078</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17,142</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Effect of exchange rate changes on cash, cash equivalents</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restricted cash</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(751)</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(101)</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Net increase (decrease) in cash, cash equivalents and</w:t>
            </w: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(1,691)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(985)</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(12,546)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(11,758)</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(1,795)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At beginning of period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32,293</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5,281</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37,574</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32,999</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36,589</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At end of period</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32,999</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36,589</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20,453</w:t>
            </w:r>
          </w:p>
        </w:tc>
        <w:tc>
          <w:tcPr>
            <w:tcW w:w="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24,831</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1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19,126</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2,108</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21,234</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(3,119)</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(3,013)</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(446)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Less: Capital expenditures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(8,055)</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(8,134)</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(11,978)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(12,073)</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(1,712)</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(1,726)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11,071</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13,100</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(15,097)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(15,086)</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(2,158)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(2,157)</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Baidu excl. iQIYI represents Baidu, Inc. minus iQIYI’s consolidated cash flows.</w:t>
      </w:r>
    </w:p>
    <w:p>
      <w:pPr>
        <w:spacing w:after="0" w:line="14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0060"/>
          </w:cols>
          <w:pgMar w:left="920" w:top="255" w:right="91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5025" cy="36195"/>
                    </a:xfrm>
                    <a:prstGeom prst="rect">
                      <a:avLst/>
                    </a:prstGeom>
                    <a:noFill/>
                  </pic:spPr>
                </pic:pic>
              </a:graphicData>
            </a:graphic>
          </wp:anchor>
        </w:drawing>
        <w:t>Baidu, Inc.</w:t>
      </w:r>
    </w:p>
    <w:p>
      <w:pPr>
        <w:spacing w:after="0" w:line="34" w:lineRule="exact"/>
        <w:rPr>
          <w:sz w:val="20"/>
          <w:szCs w:val="20"/>
          <w:color w:val="auto"/>
        </w:rPr>
      </w:pPr>
    </w:p>
    <w:p>
      <w:pPr>
        <w:ind w:left="4" w:right="3400"/>
        <w:spacing w:after="0" w:line="274" w:lineRule="auto"/>
        <w:rPr>
          <w:sz w:val="20"/>
          <w:szCs w:val="20"/>
          <w:color w:val="auto"/>
        </w:rPr>
      </w:pPr>
      <w:r>
        <w:rPr>
          <w:rFonts w:ascii="Times New Roman" w:cs="Times New Roman" w:eastAsia="Times New Roman" w:hAnsi="Times New Roman"/>
          <w:sz w:val="16"/>
          <w:szCs w:val="16"/>
          <w:b w:val="1"/>
          <w:bCs w:val="1"/>
          <w:color w:val="auto"/>
        </w:rPr>
        <w:t xml:space="preserve">Reconciliations of Non-GAAP Financial Measures to the Nearest Comparable GAAP Measures </w:t>
      </w:r>
      <w:r>
        <w:rPr>
          <w:rFonts w:ascii="Times New Roman" w:cs="Times New Roman" w:eastAsia="Times New Roman" w:hAnsi="Times New Roman"/>
          <w:sz w:val="16"/>
          <w:szCs w:val="16"/>
          <w:color w:val="auto"/>
        </w:rPr>
        <w:t>(In millions except for per ADS information, unaudited)</w:t>
      </w:r>
    </w:p>
    <w:p>
      <w:pPr>
        <w:spacing w:after="0" w:line="159"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6"/>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60" w:type="dxa"/>
            <w:vAlign w:val="bottom"/>
          </w:tcPr>
          <w:p>
            <w:pPr>
              <w:spacing w:after="0"/>
              <w:rPr>
                <w:sz w:val="12"/>
                <w:szCs w:val="12"/>
                <w:color w:val="auto"/>
              </w:rPr>
            </w:pPr>
          </w:p>
        </w:tc>
        <w:tc>
          <w:tcPr>
            <w:tcW w:w="1800" w:type="dxa"/>
            <w:vAlign w:val="bottom"/>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60" w:type="dxa"/>
            <w:vAlign w:val="bottom"/>
          </w:tcPr>
          <w:p>
            <w:pPr>
              <w:spacing w:after="0"/>
              <w:rPr>
                <w:sz w:val="12"/>
                <w:szCs w:val="12"/>
                <w:color w:val="auto"/>
              </w:rPr>
            </w:pPr>
          </w:p>
        </w:tc>
        <w:tc>
          <w:tcPr>
            <w:tcW w:w="1700" w:type="dxa"/>
            <w:vAlign w:val="bottom"/>
            <w:gridSpan w:val="6"/>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60" w:type="dxa"/>
            <w:vAlign w:val="bottom"/>
          </w:tcPr>
          <w:p>
            <w:pPr>
              <w:spacing w:after="0"/>
              <w:rPr>
                <w:sz w:val="12"/>
                <w:szCs w:val="12"/>
                <w:color w:val="auto"/>
              </w:rPr>
            </w:pPr>
          </w:p>
        </w:tc>
        <w:tc>
          <w:tcPr>
            <w:tcW w:w="1640" w:type="dxa"/>
            <w:vAlign w:val="bottom"/>
            <w:gridSpan w:val="8"/>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 (RMB)</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2025 (RMB)</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 (RMB)</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Borders>
              <w:bottom w:val="single" w:sz="8" w:color="auto"/>
            </w:tcBorders>
            <w:gridSpan w:val="7"/>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December 31, 2025 (US$)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8"/>
              </w:rPr>
              <w:t>Baidu,</w:t>
            </w:r>
          </w:p>
        </w:tc>
        <w:tc>
          <w:tcPr>
            <w:tcW w:w="60" w:type="dxa"/>
            <w:vAlign w:val="bottom"/>
          </w:tcPr>
          <w:p>
            <w:pPr>
              <w:spacing w:after="0"/>
              <w:rPr>
                <w:sz w:val="9"/>
                <w:szCs w:val="9"/>
                <w:color w:val="auto"/>
              </w:rPr>
            </w:pPr>
          </w:p>
        </w:tc>
        <w:tc>
          <w:tcPr>
            <w:tcW w:w="60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60" w:type="dxa"/>
            <w:vAlign w:val="bottom"/>
          </w:tcPr>
          <w:p>
            <w:pPr>
              <w:spacing w:after="0"/>
              <w:rPr>
                <w:sz w:val="9"/>
                <w:szCs w:val="9"/>
                <w:color w:val="auto"/>
              </w:rPr>
            </w:pPr>
          </w:p>
        </w:tc>
        <w:tc>
          <w:tcPr>
            <w:tcW w:w="66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Baidu,</w:t>
            </w:r>
          </w:p>
        </w:tc>
        <w:tc>
          <w:tcPr>
            <w:tcW w:w="60" w:type="dxa"/>
            <w:vAlign w:val="bottom"/>
          </w:tcPr>
          <w:p>
            <w:pPr>
              <w:spacing w:after="0"/>
              <w:rPr>
                <w:sz w:val="9"/>
                <w:szCs w:val="9"/>
                <w:color w:val="auto"/>
              </w:rPr>
            </w:pPr>
          </w:p>
        </w:tc>
        <w:tc>
          <w:tcPr>
            <w:tcW w:w="60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General</w:t>
            </w: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6"/>
              </w:rPr>
              <w:t>iQIYI</w:t>
            </w:r>
          </w:p>
        </w:tc>
        <w:tc>
          <w:tcPr>
            <w:tcW w:w="5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3"/>
                <w:szCs w:val="13"/>
                <w:b w:val="1"/>
                <w:bCs w:val="1"/>
                <w:color w:val="auto"/>
              </w:rPr>
              <w:t>General</w:t>
            </w:r>
          </w:p>
        </w:tc>
        <w:tc>
          <w:tcPr>
            <w:tcW w:w="6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iQIYI</w:t>
            </w: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b w:val="1"/>
                <w:bCs w:val="1"/>
                <w:color w:val="auto"/>
                <w:w w:val="98"/>
              </w:rPr>
              <w:t>General</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iQIYI</w:t>
            </w:r>
          </w:p>
        </w:tc>
        <w:tc>
          <w:tcPr>
            <w:tcW w:w="5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3"/>
                <w:szCs w:val="13"/>
                <w:b w:val="1"/>
                <w:bCs w:val="1"/>
                <w:color w:val="auto"/>
                <w:w w:val="98"/>
              </w:rPr>
              <w:t>General</w:t>
            </w:r>
          </w:p>
        </w:tc>
        <w:tc>
          <w:tcPr>
            <w:tcW w:w="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5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520" w:type="dxa"/>
            <w:vAlign w:val="bottom"/>
            <w:gridSpan w:val="2"/>
            <w:vMerge w:val="continue"/>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Inc.</w:t>
            </w:r>
          </w:p>
        </w:tc>
        <w:tc>
          <w:tcPr>
            <w:tcW w:w="6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600" w:type="dxa"/>
            <w:vAlign w:val="bottom"/>
            <w:gridSpan w:val="3"/>
            <w:vMerge w:val="continue"/>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Inc.</w:t>
            </w: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540" w:type="dxa"/>
            <w:vAlign w:val="bottom"/>
            <w:gridSpan w:val="2"/>
            <w:vMerge w:val="continue"/>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Inc.</w:t>
            </w:r>
          </w:p>
        </w:tc>
        <w:tc>
          <w:tcPr>
            <w:tcW w:w="6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5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Inc.</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income (loss)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3,638</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285</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3,917</w:t>
            </w: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(14,971)</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(122)</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7"/>
              </w:rPr>
              <w:t>(15,091)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1,441</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1,483</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206</w:t>
            </w:r>
          </w:p>
        </w:tc>
        <w:tc>
          <w:tcPr>
            <w:tcW w:w="1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w:t>
            </w:r>
          </w:p>
        </w:tc>
        <w:tc>
          <w:tcPr>
            <w:tcW w:w="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5"/>
                <w:szCs w:val="15"/>
                <w:color w:val="auto"/>
              </w:rPr>
              <w:t>Add: Share-based compensation expenses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966</w:t>
            </w:r>
          </w:p>
        </w:tc>
        <w:tc>
          <w:tcPr>
            <w:tcW w:w="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w:t>
            </w:r>
          </w:p>
        </w:tc>
        <w:tc>
          <w:tcPr>
            <w:tcW w:w="1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946</w:t>
            </w:r>
          </w:p>
        </w:tc>
        <w:tc>
          <w:tcPr>
            <w:tcW w:w="1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1,044</w:t>
            </w:r>
          </w:p>
        </w:tc>
        <w:tc>
          <w:tcPr>
            <w:tcW w:w="1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643</w:t>
            </w:r>
          </w:p>
        </w:tc>
        <w:tc>
          <w:tcPr>
            <w:tcW w:w="1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729</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Amortization and impairment of intangible</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assets resulting from business combinations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5"/>
                <w:szCs w:val="15"/>
                <w:color w:val="auto"/>
              </w:rPr>
              <w:t>Add: Impairment of long-lived assets</w:t>
            </w:r>
          </w:p>
        </w:tc>
        <w:tc>
          <w:tcPr>
            <w:tcW w:w="6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16,190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One-time employee severance costs</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Operating income (loss) (non-GAAP)</w:t>
            </w:r>
          </w:p>
        </w:tc>
        <w:tc>
          <w:tcPr>
            <w:tcW w:w="6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4,647</w:t>
            </w:r>
          </w:p>
        </w:tc>
        <w:tc>
          <w:tcPr>
            <w:tcW w:w="180" w:type="dxa"/>
            <w:vAlign w:val="bottom"/>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406</w:t>
            </w:r>
          </w:p>
        </w:tc>
        <w:tc>
          <w:tcPr>
            <w:tcW w:w="180" w:type="dxa"/>
            <w:vAlign w:val="bottom"/>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5,047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w:t>
            </w:r>
          </w:p>
        </w:tc>
        <w:tc>
          <w:tcPr>
            <w:tcW w:w="180" w:type="dxa"/>
            <w:vAlign w:val="bottom"/>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2,205</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2,837</w:t>
            </w:r>
          </w:p>
        </w:tc>
        <w:tc>
          <w:tcPr>
            <w:tcW w:w="180" w:type="dxa"/>
            <w:vAlign w:val="bottom"/>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143</w:t>
            </w:r>
          </w:p>
        </w:tc>
        <w:tc>
          <w:tcPr>
            <w:tcW w:w="180" w:type="dxa"/>
            <w:vAlign w:val="bottom"/>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2,967</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Depreciation of fixed assets and</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shd w:val="clear" w:color="auto" w:fill="CCEEFF"/>
          </w:tcPr>
          <w:p>
            <w:pPr>
              <w:ind w:left="120"/>
              <w:spacing w:after="0" w:line="197" w:lineRule="exact"/>
              <w:rPr>
                <w:sz w:val="20"/>
                <w:szCs w:val="20"/>
                <w:color w:val="auto"/>
              </w:rPr>
            </w:pPr>
            <w:r>
              <w:rPr>
                <w:rFonts w:ascii="Times New Roman" w:cs="Times New Roman" w:eastAsia="Times New Roman" w:hAnsi="Times New Roman"/>
                <w:sz w:val="15"/>
                <w:szCs w:val="15"/>
                <w:color w:val="auto"/>
              </w:rPr>
              <w:t>amortization of intangible assets</w:t>
            </w:r>
            <w:r>
              <w:rPr>
                <w:rFonts w:ascii="Times New Roman" w:cs="Times New Roman" w:eastAsia="Times New Roman" w:hAnsi="Times New Roman"/>
                <w:sz w:val="22"/>
                <w:szCs w:val="22"/>
                <w:color w:val="auto"/>
                <w:vertAlign w:val="superscript"/>
              </w:rPr>
              <w:t>(1)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1,907</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2,173</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2,224</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1,707</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1,760</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6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6,516</w:t>
            </w:r>
          </w:p>
        </w:tc>
        <w:tc>
          <w:tcPr>
            <w:tcW w:w="180" w:type="dxa"/>
            <w:vAlign w:val="bottom"/>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444</w:t>
            </w:r>
          </w:p>
        </w:tc>
        <w:tc>
          <w:tcPr>
            <w:tcW w:w="180" w:type="dxa"/>
            <w:vAlign w:val="bottom"/>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6,954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4,398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c>
          <w:tcPr>
            <w:tcW w:w="180" w:type="dxa"/>
            <w:vAlign w:val="bottom"/>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4,429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4,544</w:t>
            </w:r>
          </w:p>
        </w:tc>
        <w:tc>
          <w:tcPr>
            <w:tcW w:w="180" w:type="dxa"/>
            <w:vAlign w:val="bottom"/>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196</w:t>
            </w:r>
          </w:p>
        </w:tc>
        <w:tc>
          <w:tcPr>
            <w:tcW w:w="180" w:type="dxa"/>
            <w:vAlign w:val="bottom"/>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4,727</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650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 (loss) attributable to Baidu</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5,283</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(189)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5,192</w:t>
            </w: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(11,121)</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(249)</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7"/>
              </w:rPr>
              <w:t>(11,232)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1,797</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(6)</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1,782</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257</w:t>
            </w:r>
          </w:p>
        </w:tc>
        <w:tc>
          <w:tcPr>
            <w:tcW w:w="10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5"/>
                <w:szCs w:val="15"/>
                <w:color w:val="auto"/>
              </w:rPr>
              <w:t>Add: Share-based compensation expenses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965</w:t>
            </w:r>
          </w:p>
        </w:tc>
        <w:tc>
          <w:tcPr>
            <w:tcW w:w="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1,019</w:t>
            </w:r>
          </w:p>
        </w:tc>
        <w:tc>
          <w:tcPr>
            <w:tcW w:w="1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945</w:t>
            </w:r>
          </w:p>
        </w:tc>
        <w:tc>
          <w:tcPr>
            <w:tcW w:w="1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w:t>
            </w:r>
          </w:p>
        </w:tc>
        <w:tc>
          <w:tcPr>
            <w:tcW w:w="1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1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681</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Amortization and impairment of intangible</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assets resulting from business combinations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5"/>
                <w:szCs w:val="15"/>
                <w:color w:val="auto"/>
              </w:rPr>
              <w:t>Add: Impairment of long-lived assets</w:t>
            </w:r>
          </w:p>
        </w:tc>
        <w:tc>
          <w:tcPr>
            <w:tcW w:w="6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16,190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One-time employee severance costs</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5"/>
                <w:szCs w:val="15"/>
                <w:color w:val="auto"/>
              </w:rPr>
              <w:t>Add: Disposal loss (gain)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6"/>
                <w:szCs w:val="16"/>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8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Impairment of long-term investments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5"/>
                <w:szCs w:val="15"/>
                <w:color w:val="auto"/>
              </w:rPr>
              <w:t>Add: Fair value loss (gain) of long-term</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investments and exchangeable bonds</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(288)</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(290)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1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1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923</w:t>
            </w:r>
          </w:p>
        </w:tc>
        <w:tc>
          <w:tcPr>
            <w:tcW w:w="1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10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Reconciling items on equity method</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shd w:val="clear" w:color="auto" w:fill="CCEEFF"/>
          </w:tcPr>
          <w:p>
            <w:pPr>
              <w:ind w:left="120"/>
              <w:spacing w:after="0" w:line="197" w:lineRule="exact"/>
              <w:rPr>
                <w:sz w:val="20"/>
                <w:szCs w:val="20"/>
                <w:color w:val="auto"/>
              </w:rPr>
            </w:pPr>
            <w:r>
              <w:rPr>
                <w:rFonts w:ascii="Times New Roman" w:cs="Times New Roman" w:eastAsia="Times New Roman" w:hAnsi="Times New Roman"/>
                <w:sz w:val="15"/>
                <w:szCs w:val="15"/>
                <w:color w:val="auto"/>
              </w:rPr>
              <w:t>investments</w:t>
            </w:r>
            <w:r>
              <w:rPr>
                <w:rFonts w:ascii="Times New Roman" w:cs="Times New Roman" w:eastAsia="Times New Roman" w:hAnsi="Times New Roman"/>
                <w:sz w:val="22"/>
                <w:szCs w:val="22"/>
                <w:color w:val="auto"/>
                <w:vertAlign w:val="superscript"/>
              </w:rPr>
              <w:t>(2)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(431)</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(431)</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(62)</w:t>
            </w:r>
          </w:p>
        </w:tc>
        <w:tc>
          <w:tcPr>
            <w:tcW w:w="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60" w:type="dxa"/>
            <w:vAlign w:val="bottom"/>
          </w:tcPr>
          <w:p>
            <w:pPr>
              <w:spacing w:after="0" w:line="185" w:lineRule="exact"/>
              <w:rPr>
                <w:sz w:val="20"/>
                <w:szCs w:val="20"/>
                <w:color w:val="auto"/>
              </w:rPr>
            </w:pPr>
            <w:r>
              <w:rPr>
                <w:rFonts w:ascii="Times New Roman" w:cs="Times New Roman" w:eastAsia="Times New Roman" w:hAnsi="Times New Roman"/>
                <w:sz w:val="14"/>
                <w:szCs w:val="14"/>
                <w:color w:val="auto"/>
              </w:rPr>
              <w:t>Add: Tax effects on non-GAAP adjustments</w:t>
            </w:r>
            <w:r>
              <w:rPr>
                <w:rFonts w:ascii="Times New Roman" w:cs="Times New Roman" w:eastAsia="Times New Roman" w:hAnsi="Times New Roman"/>
                <w:sz w:val="21"/>
                <w:szCs w:val="21"/>
                <w:color w:val="auto"/>
                <w:vertAlign w:val="superscript"/>
              </w:rPr>
              <w:t>(3)</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(30)</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(2,526)</w:t>
            </w:r>
          </w:p>
        </w:tc>
        <w:tc>
          <w:tcPr>
            <w:tcW w:w="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(2,526)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8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Net income (loss) attributable to Baidu</w:t>
            </w:r>
          </w:p>
        </w:tc>
        <w:tc>
          <w:tcPr>
            <w:tcW w:w="6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(non-GAAP)</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6,741</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(59)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6,709</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3,836</w:t>
            </w: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(148)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3,770</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3,869</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109</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3,907</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553</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Diluted earnings (loss) per ADS</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14.26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(33.88)</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3.71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0.53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Add: Accretion of the redeemable noncontrolling</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interests</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5"/>
                <w:szCs w:val="15"/>
                <w:color w:val="auto"/>
              </w:rPr>
              <w:t>Add: Non-GAAP adjustments to earnings per</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ADS</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44.25</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0.88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Diluted earnings per ADS (non-GAAP)</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19.18</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11.12</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10.62</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404" w:hanging="404"/>
        <w:spacing w:after="0"/>
        <w:tabs>
          <w:tab w:leader="none" w:pos="40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amortization of intangible assets excluding those resulting from business combinations.</w:t>
      </w:r>
    </w:p>
    <w:p>
      <w:pPr>
        <w:spacing w:after="0" w:line="30" w:lineRule="exact"/>
        <w:rPr>
          <w:rFonts w:ascii="Times New Roman" w:cs="Times New Roman" w:eastAsia="Times New Roman" w:hAnsi="Times New Roman"/>
          <w:sz w:val="16"/>
          <w:szCs w:val="16"/>
          <w:color w:val="auto"/>
        </w:rPr>
      </w:pPr>
    </w:p>
    <w:p>
      <w:pPr>
        <w:ind w:left="404" w:right="300" w:hanging="404"/>
        <w:spacing w:after="0" w:line="257" w:lineRule="auto"/>
        <w:tabs>
          <w:tab w:leader="none" w:pos="40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Baidu’s share of equity method investments for other non-GAAP reconciling items, amortization and impairment of intangible assets not on the investee’s books, accretion of their redeemable noncontrolling interests, and the gain or loss associated with the issuance of shares by the investees at a price higher or lower than the carrying value per share.</w:t>
      </w:r>
    </w:p>
    <w:p>
      <w:pPr>
        <w:ind w:left="404" w:hanging="404"/>
        <w:spacing w:after="0"/>
        <w:tabs>
          <w:tab w:leader="none" w:pos="40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tax impact of all non-GAAP adjustments.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064"/>
          </w:cols>
          <w:pgMar w:left="916" w:top="255" w:right="91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5025" cy="36195"/>
                    </a:xfrm>
                    <a:prstGeom prst="rect">
                      <a:avLst/>
                    </a:prstGeom>
                    <a:noFill/>
                  </pic:spPr>
                </pic:pic>
              </a:graphicData>
            </a:graphic>
          </wp:anchor>
        </w:drawing>
        <w:t>Baidu, Inc.</w:t>
      </w:r>
    </w:p>
    <w:p>
      <w:pPr>
        <w:spacing w:after="0" w:line="34" w:lineRule="exact"/>
        <w:rPr>
          <w:sz w:val="20"/>
          <w:szCs w:val="20"/>
          <w:color w:val="auto"/>
        </w:rPr>
      </w:pPr>
    </w:p>
    <w:p>
      <w:pPr>
        <w:ind w:left="4" w:right="3400"/>
        <w:spacing w:after="0" w:line="274" w:lineRule="auto"/>
        <w:rPr>
          <w:sz w:val="20"/>
          <w:szCs w:val="20"/>
          <w:color w:val="auto"/>
        </w:rPr>
      </w:pPr>
      <w:r>
        <w:rPr>
          <w:rFonts w:ascii="Times New Roman" w:cs="Times New Roman" w:eastAsia="Times New Roman" w:hAnsi="Times New Roman"/>
          <w:sz w:val="16"/>
          <w:szCs w:val="16"/>
          <w:b w:val="1"/>
          <w:bCs w:val="1"/>
          <w:color w:val="auto"/>
        </w:rPr>
        <w:t xml:space="preserve">Reconciliations of Non-GAAP Financial Measures to the Nearest Comparable GAAP Measures </w:t>
      </w:r>
      <w:r>
        <w:rPr>
          <w:rFonts w:ascii="Times New Roman" w:cs="Times New Roman" w:eastAsia="Times New Roman" w:hAnsi="Times New Roman"/>
          <w:sz w:val="16"/>
          <w:szCs w:val="16"/>
          <w:color w:val="auto"/>
        </w:rPr>
        <w:t>(In millions except for per ADS information, unaudited)</w:t>
      </w:r>
    </w:p>
    <w:p>
      <w:pPr>
        <w:spacing w:after="0" w:line="73"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6"/>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80" w:type="dxa"/>
            <w:vAlign w:val="bottom"/>
          </w:tcPr>
          <w:p>
            <w:pPr>
              <w:spacing w:after="0"/>
              <w:rPr>
                <w:sz w:val="12"/>
                <w:szCs w:val="12"/>
                <w:color w:val="auto"/>
              </w:rPr>
            </w:pPr>
          </w:p>
        </w:tc>
        <w:tc>
          <w:tcPr>
            <w:tcW w:w="1760" w:type="dxa"/>
            <w:vAlign w:val="bottom"/>
            <w:gridSpan w:val="7"/>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80" w:type="dxa"/>
            <w:vAlign w:val="bottom"/>
          </w:tcPr>
          <w:p>
            <w:pPr>
              <w:spacing w:after="0"/>
              <w:rPr>
                <w:sz w:val="12"/>
                <w:szCs w:val="12"/>
                <w:color w:val="auto"/>
              </w:rPr>
            </w:pPr>
          </w:p>
        </w:tc>
        <w:tc>
          <w:tcPr>
            <w:tcW w:w="1660" w:type="dxa"/>
            <w:vAlign w:val="bottom"/>
            <w:gridSpan w:val="8"/>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Borders>
              <w:bottom w:val="single" w:sz="8" w:color="auto"/>
            </w:tcBorders>
            <w:gridSpan w:val="5"/>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December 31, 2024 (RMB)</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Borders>
              <w:bottom w:val="single" w:sz="8" w:color="auto"/>
            </w:tcBorders>
            <w:gridSpan w:val="6"/>
          </w:tcPr>
          <w:p>
            <w:pPr>
              <w:jc w:val="right"/>
              <w:ind w:right="7"/>
              <w:spacing w:after="0"/>
              <w:rPr>
                <w:sz w:val="20"/>
                <w:szCs w:val="20"/>
                <w:color w:val="auto"/>
              </w:rPr>
            </w:pPr>
            <w:r>
              <w:rPr>
                <w:rFonts w:ascii="Times New Roman" w:cs="Times New Roman" w:eastAsia="Times New Roman" w:hAnsi="Times New Roman"/>
                <w:sz w:val="13"/>
                <w:szCs w:val="13"/>
                <w:b w:val="1"/>
                <w:bCs w:val="1"/>
                <w:color w:val="auto"/>
              </w:rPr>
              <w:t>December 31, 2025 (RMB)</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bottom w:val="single" w:sz="8" w:color="auto"/>
            </w:tcBorders>
            <w:gridSpan w:val="7"/>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December 31, 2025 (US$)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80" w:type="dxa"/>
            <w:vAlign w:val="bottom"/>
          </w:tcPr>
          <w:p>
            <w:pPr>
              <w:spacing w:after="0"/>
              <w:rPr>
                <w:sz w:val="9"/>
                <w:szCs w:val="9"/>
                <w:color w:val="auto"/>
              </w:rPr>
            </w:pPr>
          </w:p>
        </w:tc>
        <w:tc>
          <w:tcPr>
            <w:tcW w:w="60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80" w:type="dxa"/>
            <w:vAlign w:val="bottom"/>
          </w:tcPr>
          <w:p>
            <w:pPr>
              <w:spacing w:after="0"/>
              <w:rPr>
                <w:sz w:val="9"/>
                <w:szCs w:val="9"/>
                <w:color w:val="auto"/>
              </w:rPr>
            </w:pPr>
          </w:p>
        </w:tc>
        <w:tc>
          <w:tcPr>
            <w:tcW w:w="600" w:type="dxa"/>
            <w:vAlign w:val="bottom"/>
            <w:gridSpan w:val="2"/>
          </w:tcPr>
          <w:p>
            <w:pPr>
              <w:jc w:val="center"/>
              <w:ind w:right="140"/>
              <w:spacing w:after="0" w:line="106" w:lineRule="exact"/>
              <w:rPr>
                <w:sz w:val="20"/>
                <w:szCs w:val="20"/>
                <w:color w:val="auto"/>
              </w:rPr>
            </w:pPr>
            <w:r>
              <w:rPr>
                <w:rFonts w:ascii="Times New Roman" w:cs="Times New Roman" w:eastAsia="Times New Roman" w:hAnsi="Times New Roman"/>
                <w:sz w:val="12"/>
                <w:szCs w:val="12"/>
                <w:b w:val="1"/>
                <w:bCs w:val="1"/>
                <w:color w:val="auto"/>
              </w:rPr>
              <w:t>Baidu</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Baidu,</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w w:val="98"/>
              </w:rPr>
              <w:t>General</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iQIYI</w:t>
            </w: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3"/>
                <w:szCs w:val="13"/>
                <w:b w:val="1"/>
                <w:bCs w:val="1"/>
                <w:color w:val="auto"/>
                <w:w w:val="98"/>
              </w:rPr>
              <w:t>General</w:t>
            </w:r>
          </w:p>
        </w:tc>
        <w:tc>
          <w:tcPr>
            <w:tcW w:w="6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b w:val="1"/>
                <w:bCs w:val="1"/>
                <w:color w:val="auto"/>
              </w:rPr>
              <w:t>General</w:t>
            </w:r>
          </w:p>
        </w:tc>
        <w:tc>
          <w:tcPr>
            <w:tcW w:w="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iQIYI</w:t>
            </w:r>
          </w:p>
        </w:tc>
        <w:tc>
          <w:tcPr>
            <w:tcW w:w="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540" w:type="dxa"/>
            <w:vAlign w:val="bottom"/>
            <w:gridSpan w:val="2"/>
            <w:vMerge w:val="continue"/>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Inc.</w:t>
            </w: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600" w:type="dxa"/>
            <w:vAlign w:val="bottom"/>
            <w:gridSpan w:val="3"/>
            <w:vMerge w:val="continue"/>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Inc.</w:t>
            </w: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5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Inc.</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income (loss)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19,478</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1,811</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21,270</w:t>
            </w:r>
          </w:p>
        </w:tc>
        <w:tc>
          <w:tcPr>
            <w:tcW w:w="10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(6,044)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229</w:t>
            </w:r>
          </w:p>
        </w:tc>
        <w:tc>
          <w:tcPr>
            <w:tcW w:w="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(5,823)</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(864)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(833)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Add: Share-based compensation expenses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4,239</w:t>
            </w:r>
          </w:p>
        </w:tc>
        <w:tc>
          <w:tcPr>
            <w:tcW w:w="1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545</w:t>
            </w: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4,784</w:t>
            </w:r>
          </w:p>
        </w:tc>
        <w:tc>
          <w:tcPr>
            <w:tcW w:w="1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3,203</w:t>
            </w:r>
          </w:p>
        </w:tc>
        <w:tc>
          <w:tcPr>
            <w:tcW w:w="1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3,605</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12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Amortization and impairment of intangible assets resulting from</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business combinations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Add: Impairment of long-lived assets</w:t>
            </w:r>
          </w:p>
        </w:tc>
        <w:tc>
          <w:tcPr>
            <w:tcW w:w="20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16,190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16,190</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2,315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One-time employee severance costs</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Operating income (non-GAAP)</w:t>
            </w:r>
          </w:p>
        </w:tc>
        <w:tc>
          <w:tcPr>
            <w:tcW w:w="20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23,890</w:t>
            </w:r>
          </w:p>
        </w:tc>
        <w:tc>
          <w:tcPr>
            <w:tcW w:w="180" w:type="dxa"/>
            <w:vAlign w:val="bottom"/>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2,363</w:t>
            </w:r>
          </w:p>
        </w:tc>
        <w:tc>
          <w:tcPr>
            <w:tcW w:w="180" w:type="dxa"/>
            <w:vAlign w:val="bottom"/>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26,234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14,319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639</w:t>
            </w:r>
          </w:p>
        </w:tc>
        <w:tc>
          <w:tcPr>
            <w:tcW w:w="180" w:type="dxa"/>
            <w:vAlign w:val="bottom"/>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14,950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Add: Depreciation of fixed assets and amortization of intangible assets</w:t>
            </w:r>
            <w:r>
              <w:rPr>
                <w:rFonts w:ascii="Times New Roman" w:cs="Times New Roman" w:eastAsia="Times New Roman" w:hAnsi="Times New Roman"/>
                <w:sz w:val="21"/>
                <w:szCs w:val="21"/>
                <w:color w:val="auto"/>
                <w:vertAlign w:val="superscript"/>
              </w:rPr>
              <w:t>(1)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6,697</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6,844</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7,732</w:t>
            </w: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7,907</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1,105</w:t>
            </w:r>
          </w:p>
        </w:tc>
        <w:tc>
          <w:tcPr>
            <w:tcW w:w="1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20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30,587</w:t>
            </w:r>
          </w:p>
        </w:tc>
        <w:tc>
          <w:tcPr>
            <w:tcW w:w="180" w:type="dxa"/>
            <w:vAlign w:val="bottom"/>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2,510</w:t>
            </w:r>
          </w:p>
        </w:tc>
        <w:tc>
          <w:tcPr>
            <w:tcW w:w="180" w:type="dxa"/>
            <w:vAlign w:val="bottom"/>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33,078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22,051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815</w:t>
            </w:r>
          </w:p>
        </w:tc>
        <w:tc>
          <w:tcPr>
            <w:tcW w:w="180" w:type="dxa"/>
            <w:vAlign w:val="bottom"/>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22,857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3,153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3,269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 (loss) attributable to Baidu</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23,431</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764</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23,760</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5,691</w:t>
            </w:r>
          </w:p>
        </w:tc>
        <w:tc>
          <w:tcPr>
            <w:tcW w:w="1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(207)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5,589</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814</w:t>
            </w:r>
          </w:p>
        </w:tc>
        <w:tc>
          <w:tcPr>
            <w:tcW w:w="12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(30)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799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Add: Share-based compensation expenses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4,235</w:t>
            </w:r>
          </w:p>
        </w:tc>
        <w:tc>
          <w:tcPr>
            <w:tcW w:w="1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545</w:t>
            </w: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4,482</w:t>
            </w:r>
          </w:p>
        </w:tc>
        <w:tc>
          <w:tcPr>
            <w:tcW w:w="1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3,199</w:t>
            </w:r>
          </w:p>
        </w:tc>
        <w:tc>
          <w:tcPr>
            <w:tcW w:w="1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3,381</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457</w:t>
            </w:r>
          </w:p>
        </w:tc>
        <w:tc>
          <w:tcPr>
            <w:tcW w:w="12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Amortization and impairment of intangible assets resulting from</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business combinations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Add: Impairment of long-lived assets</w:t>
            </w:r>
          </w:p>
        </w:tc>
        <w:tc>
          <w:tcPr>
            <w:tcW w:w="20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16,190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16,190</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2,315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One-time employee severance costs</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Add: Disposal loss (gain)</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(1,982)</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8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(1,972)</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(423)</w:t>
            </w:r>
          </w:p>
        </w:tc>
        <w:tc>
          <w:tcPr>
            <w:tcW w:w="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(428)</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Impairment of long-term investments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Add: Fair value loss (gain) of long-term investments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(393)</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(19)</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(403)</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(4,004)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8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(3,989)</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(573)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(570)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Add: Reconciling items on equity method investments</w:t>
            </w:r>
            <w:r>
              <w:rPr>
                <w:rFonts w:ascii="Times New Roman" w:cs="Times New Roman" w:eastAsia="Times New Roman" w:hAnsi="Times New Roman"/>
                <w:sz w:val="21"/>
                <w:szCs w:val="21"/>
                <w:color w:val="auto"/>
                <w:vertAlign w:val="superscript"/>
              </w:rPr>
              <w:t>(2)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10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(603)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(601)</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line="185" w:lineRule="exact"/>
              <w:rPr>
                <w:sz w:val="20"/>
                <w:szCs w:val="20"/>
                <w:color w:val="auto"/>
              </w:rPr>
            </w:pPr>
            <w:r>
              <w:rPr>
                <w:rFonts w:ascii="Times New Roman" w:cs="Times New Roman" w:eastAsia="Times New Roman" w:hAnsi="Times New Roman"/>
                <w:sz w:val="14"/>
                <w:szCs w:val="14"/>
                <w:color w:val="auto"/>
              </w:rPr>
              <w:t>Add: Tax effects on non-GAAP adjustments</w:t>
            </w:r>
            <w:r>
              <w:rPr>
                <w:rFonts w:ascii="Times New Roman" w:cs="Times New Roman" w:eastAsia="Times New Roman" w:hAnsi="Times New Roman"/>
                <w:sz w:val="21"/>
                <w:szCs w:val="21"/>
                <w:color w:val="auto"/>
                <w:vertAlign w:val="superscript"/>
              </w:rPr>
              <w:t>(3)</w:t>
            </w:r>
          </w:p>
        </w:tc>
        <w:tc>
          <w:tcPr>
            <w:tcW w:w="2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(343)</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(343)</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(2,442)</w:t>
            </w:r>
          </w:p>
        </w:tc>
        <w:tc>
          <w:tcPr>
            <w:tcW w:w="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(2,442)</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(349)</w:t>
            </w:r>
          </w:p>
        </w:tc>
        <w:tc>
          <w:tcPr>
            <w:tcW w:w="8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(349)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 attributable to Baidu (non-GAAP)</w:t>
            </w:r>
          </w:p>
        </w:tc>
        <w:tc>
          <w:tcPr>
            <w:tcW w:w="20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26,335</w:t>
            </w:r>
          </w:p>
        </w:tc>
        <w:tc>
          <w:tcPr>
            <w:tcW w:w="18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1,512</w:t>
            </w:r>
          </w:p>
        </w:tc>
        <w:tc>
          <w:tcPr>
            <w:tcW w:w="18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27,002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18,827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280</w:t>
            </w:r>
          </w:p>
        </w:tc>
        <w:tc>
          <w:tcPr>
            <w:tcW w:w="18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18,941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2,692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2,709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Diluted earnings per ADS</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65.91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1.68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Accretion of the redeemable noncontrolling interests</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Add: Non-GAAP adjustments to earnings per ADS</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Diluted earnings per ADS (non-GAAP)</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76.85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53.41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404" w:hanging="404"/>
        <w:spacing w:after="0"/>
        <w:tabs>
          <w:tab w:leader="none" w:pos="40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amortization of intangible assets excluding those resulting from business combinations.</w:t>
      </w:r>
    </w:p>
    <w:p>
      <w:pPr>
        <w:spacing w:after="0" w:line="30" w:lineRule="exact"/>
        <w:rPr>
          <w:rFonts w:ascii="Times New Roman" w:cs="Times New Roman" w:eastAsia="Times New Roman" w:hAnsi="Times New Roman"/>
          <w:sz w:val="16"/>
          <w:szCs w:val="16"/>
          <w:color w:val="auto"/>
        </w:rPr>
      </w:pPr>
    </w:p>
    <w:p>
      <w:pPr>
        <w:ind w:left="404" w:right="300" w:hanging="404"/>
        <w:spacing w:after="0" w:line="257" w:lineRule="auto"/>
        <w:tabs>
          <w:tab w:leader="none" w:pos="40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Baidu’s share of equity method investments for other non-GAAP reconciling items, amortization and impairment of intangible assets not on the investee’s books, accretion of their redeemable noncontrolling interests, and the gain or loss associated with the issuance of shares by the investees at a price higher or lower than the carrying value per share.</w:t>
      </w:r>
    </w:p>
    <w:p>
      <w:pPr>
        <w:ind w:left="404" w:hanging="404"/>
        <w:spacing w:after="0"/>
        <w:tabs>
          <w:tab w:leader="none" w:pos="40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tax impact of all non-GAAP adjustments.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17</w:t>
      </w:r>
    </w:p>
    <w:sectPr>
      <w:pgSz w:w="11900" w:h="16838" w:orient="portrait"/>
      <w:cols w:equalWidth="0" w:num="1">
        <w:col w:w="10064"/>
      </w:cols>
      <w:pgMar w:left="916" w:top="255"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bullet"/>
      <w:start w:val="1"/>
    </w:lvl>
  </w:abstractNum>
  <w:abstractNum w:abstractNumId="1">
    <w:nsid w:val="216231B"/>
    <w:multiLevelType w:val="hybridMultilevel"/>
    <w:lvl w:ilvl="0">
      <w:lvlJc w:val="left"/>
      <w:lvlText w:val="2"/>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3"/>
      <w:numFmt w:val="bullet"/>
      <w:start w:val="1"/>
    </w:lvl>
  </w:abstractNum>
  <w:abstractNum w:abstractNumId="9">
    <w:nsid w:val="7FDCC233"/>
    <w:multiLevelType w:val="hybridMultilevel"/>
    <w:lvl w:ilvl="0">
      <w:lvlJc w:val="left"/>
      <w:lvlText w:val="4"/>
      <w:numFmt w:val="bullet"/>
      <w:start w:val="1"/>
    </w:lvl>
  </w:abstractNum>
  <w:abstractNum w:abstractNumId="10">
    <w:nsid w:val="1BEFD79F"/>
    <w:multiLevelType w:val="hybridMultilevel"/>
    <w:lvl w:ilvl="0">
      <w:lvlJc w:val="left"/>
      <w:lvlText w:val="5"/>
      <w:numFmt w:val="bullet"/>
      <w:start w:val="1"/>
    </w:lvl>
  </w:abstractNum>
  <w:abstractNum w:abstractNumId="11">
    <w:nsid w:val="41A7C4C9"/>
    <w:multiLevelType w:val="hybridMultilevel"/>
    <w:lvl w:ilvl="0">
      <w:lvlJc w:val="left"/>
      <w:lvlText w:val="4"/>
      <w:numFmt w:val="bullet"/>
      <w:start w:val="1"/>
    </w:lvl>
  </w:abstractNum>
  <w:abstractNum w:abstractNumId="12">
    <w:nsid w:val="6B68079A"/>
    <w:multiLevelType w:val="hybridMultilevel"/>
    <w:lvl w:ilvl="0">
      <w:lvlJc w:val="left"/>
      <w:lvlText w:val="5"/>
      <w:numFmt w:val="bullet"/>
      <w:start w:val="1"/>
    </w:lvl>
  </w:abstractNum>
  <w:abstractNum w:abstractNumId="13">
    <w:nsid w:val="4E6AFB66"/>
    <w:multiLevelType w:val="hybridMultilevel"/>
    <w:lvl w:ilvl="0">
      <w:lvlJc w:val="left"/>
      <w:lvlText w:val="(%1)"/>
      <w:numFmt w:val="decimal"/>
      <w:start w:val="2"/>
    </w:lvl>
  </w:abstractNum>
  <w:abstractNum w:abstractNumId="14">
    <w:nsid w:val="25E45D32"/>
    <w:multiLevelType w:val="hybridMultilevel"/>
    <w:lvl w:ilvl="0">
      <w:lvlJc w:val="left"/>
      <w:lvlText w:val="(%1)"/>
      <w:numFmt w:val="decimal"/>
      <w:start w:val="2"/>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2"/>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2026-02-26T15:42:24Z</dcterms:created>
  <dcterms:modified xsi:type="dcterms:W3CDTF">2026-02-26T15:42:24Z</dcterms:modified>
</cp:coreProperties>
</file>