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854d6k.htm"/>
      <w:bookmarkStart w:id="1" w:name="ksd11285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5"/>
        <w:gridCol w:w="697"/>
        <w:gridCol w:w="8653"/>
      </w:tblGrid>
      <w:tr>
        <w:trPr/>
        <w:tc>
          <w:tcPr>
            <w:tcW w:w="855" w:type="dxa"/>
            <w:tcBorders/>
            <w:vAlign w:val="center"/>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8653"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97" w:type="dxa"/>
            <w:tcBorders/>
            <w:vAlign w:val="bottom"/>
          </w:tcPr>
          <w:p>
            <w:pPr>
              <w:pStyle w:val="TableContents"/>
              <w:bidi w:val="0"/>
              <w:spacing w:before="0" w:after="283"/>
              <w:jc w:val="left"/>
              <w:rPr/>
            </w:pPr>
            <w:r>
              <w:rPr/>
              <w:t>  </w:t>
            </w:r>
          </w:p>
        </w:tc>
        <w:tc>
          <w:tcPr>
            <w:tcW w:w="86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99.1</w:t>
            </w:r>
          </w:p>
        </w:tc>
        <w:tc>
          <w:tcPr>
            <w:tcW w:w="697" w:type="dxa"/>
            <w:tcBorders/>
            <w:vAlign w:val="bottom"/>
          </w:tcPr>
          <w:p>
            <w:pPr>
              <w:pStyle w:val="TableContents"/>
              <w:bidi w:val="0"/>
              <w:spacing w:before="0" w:after="283"/>
              <w:jc w:val="left"/>
              <w:rPr/>
            </w:pPr>
            <w:r>
              <w:rPr/>
              <w:t>  </w:t>
            </w:r>
          </w:p>
        </w:tc>
        <w:tc>
          <w:tcPr>
            <w:tcW w:w="8653" w:type="dxa"/>
            <w:tcBorders/>
          </w:tcPr>
          <w:p>
            <w:pPr>
              <w:pStyle w:val="TableContents"/>
              <w:bidi w:val="0"/>
              <w:spacing w:before="0" w:after="283"/>
              <w:jc w:val="left"/>
              <w:rPr/>
            </w:pPr>
            <w:r>
              <w:rPr/>
              <w:t>Press Release—Baidu Announces Second Quarter 2026 Results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Haijian He</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18, 2026 </w:t>
      </w:r>
    </w:p>
    <w:p>
      <w:pPr>
        <w:pStyle w:val="TextBody"/>
        <w:bidi w:val="0"/>
        <w:spacing w:before="0" w:after="0"/>
        <w:jc w:val="right"/>
        <w:rPr>
          <w:rFonts w:ascii="Times New Roman" w:hAnsi="Times New Roman"/>
          <w:b/>
          <w:sz w:val="20"/>
        </w:rPr>
      </w:pPr>
      <w:bookmarkStart w:id="2" w:name="d112854dex991.htm"/>
      <w:bookmarkStart w:id="3" w:name="ksd112854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Baidu Announces Second Quarter 2026 Results </w:t>
      </w:r>
    </w:p>
    <w:p>
      <w:pPr>
        <w:pStyle w:val="TextBody"/>
        <w:bidi w:val="0"/>
        <w:spacing w:before="240" w:after="0"/>
        <w:jc w:val="left"/>
        <w:rPr>
          <w:rFonts w:ascii="Times New Roman" w:hAnsi="Times New Roman"/>
          <w:sz w:val="20"/>
        </w:rPr>
      </w:pPr>
      <w:r>
        <w:rPr>
          <w:rFonts w:ascii="Times New Roman" w:hAnsi="Times New Roman"/>
          <w:sz w:val="20"/>
        </w:rPr>
        <w:t xml:space="preserve">BEIJING, China, August 18, 2026 – Baidu, Inc. (NASDAQ: BIDU and HKEX: 9888 (HKD Counter) and 89888 (RMB Counter)), (“Baidu” or the “Company”), a leading AI company with strong Internet foundation, today announced its unaudited financial results for the second quarter ended June 30, 2026. </w:t>
      </w:r>
    </w:p>
    <w:p>
      <w:pPr>
        <w:pStyle w:val="TextBody"/>
        <w:bidi w:val="0"/>
        <w:spacing w:before="240" w:after="0"/>
        <w:jc w:val="left"/>
        <w:rPr/>
      </w:pPr>
      <w:r>
        <w:rPr/>
        <w:t>“</w:t>
      </w:r>
      <w:r>
        <w:rPr>
          <w:rFonts w:ascii="Times New Roman" w:hAnsi="Times New Roman"/>
          <w:sz w:val="20"/>
        </w:rPr>
        <w:t xml:space="preserve">With AI-powered Business now firmly established as the core of Baidu, we are strengthening the foundations for our next phase of AI-driven growth. AI Cloud Infra sustained strong momentum this quarter, with GPU Cloud1 growth accelerating further off an already high base. Our AI Applications portfolio also continued to flourish, with stronger capabilities and increasingly diverse use cases. Apollo Go made steady progress with its global expansion, while further strengthening its safety and operational capabilities and enhancing the rider experience,” said Robin Li, Co-founder and CEO of Baidu. “While our online marketing business remains under pressure, the growing momentum in our core AI-powered Business reaffirms Baidu’s transition from an internet-centric company to an AI-first company, and strengthens our confidence in our long-term growth potential.” </w:t>
      </w:r>
    </w:p>
    <w:p>
      <w:pPr>
        <w:pStyle w:val="TextBody"/>
        <w:bidi w:val="0"/>
        <w:spacing w:before="240" w:after="0"/>
        <w:jc w:val="left"/>
        <w:rPr/>
      </w:pPr>
      <w:r>
        <w:rPr/>
        <w:t>“</w:t>
      </w:r>
      <w:r>
        <w:rPr>
          <w:rFonts w:ascii="Times New Roman" w:hAnsi="Times New Roman"/>
          <w:sz w:val="20"/>
        </w:rPr>
        <w:t xml:space="preserve">The quarter was marked by several highlights. First, revenue from Baidu Core AI-powered Business2 reached RMB 12.5 billion and continued to account for half of Baidu General Business revenue. Second, operating cash flow for Baidu remained positive for the fourth consecutive quarter, reaching RMB 3.4 billion in the second quarter. Third, we are moving forward with our conversion to a dual-primary listing in Hong Kong and expect it to become effective within this year.” said Haijian He, CFO of Baidu. “Going forward, we remain firmly committed to investing in AI as the core driver of Baidu’s long-term growth.” </w:t>
      </w:r>
    </w:p>
    <w:p>
      <w:pPr>
        <w:pStyle w:val="TextBody"/>
        <w:bidi w:val="0"/>
        <w:spacing w:before="360" w:after="0"/>
        <w:jc w:val="left"/>
        <w:rPr>
          <w:rFonts w:ascii="Times New Roman" w:hAnsi="Times New Roman"/>
          <w:b/>
          <w:sz w:val="20"/>
        </w:rPr>
      </w:pPr>
      <w:r>
        <w:rPr>
          <w:rFonts w:ascii="Times New Roman" w:hAnsi="Times New Roman"/>
          <w:b/>
          <w:sz w:val="20"/>
        </w:rPr>
        <w:t xml:space="preserve">Operational Highlights2 </w:t>
      </w:r>
    </w:p>
    <w:p>
      <w:pPr>
        <w:pStyle w:val="TextBody"/>
        <w:bidi w:val="0"/>
        <w:spacing w:before="120" w:after="0"/>
        <w:jc w:val="left"/>
        <w:rPr>
          <w:rFonts w:ascii="Times New Roman" w:hAnsi="Times New Roman"/>
          <w:i/>
          <w:sz w:val="20"/>
        </w:rPr>
      </w:pPr>
      <w:r>
        <w:rPr>
          <w:rFonts w:ascii="Times New Roman" w:hAnsi="Times New Roman"/>
          <w:i/>
          <w:sz w:val="20"/>
        </w:rPr>
        <w:t xml:space="preserve">Corporate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following the Board’s approval of a motion to pursue a voluntary conversion to a dual-primary listing (the “Primary Conversion”), Baidu submitted its application for the Primary Conversion and received the Hong Kong Stock Exchange’s acknowledgement of the application. The Company will convene an extraordinary general meeting of shareholders on August 26, 2026 prior to the Primary Conversion to seek shareholder approval for related matters. The Primary Conversion is expected to become effective within this year, subject to the shareholder approval and the approval of the Hong Kong Stock Exchange.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from GPU Cloud was previously referred to as subscription-based revenue from AI accelerator infrastructure. The growth in GPU Cloud Revenue reflected mounting demand for public cloud-based AI computing.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and operational data presented are derived from the Company’s internal management accounts and records, which have not been audited.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2026 AI for Good Global Summit, three Baidu AI use cases—Apollo Go, Miaoda &amp; MeDo, and PaddlePaddle—were recognized as winning cases and featured in the Innovate for Impact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According to MSCI’s March 2026 ESG rating update, Baidu maintained its “AA” rating and continued to demonstrate industry-leading ESG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Baidu has returned US$259 million to shareholders since the beginning of Q1 2026 through repurchases of its shares under the current share repurchase program.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Baidu Core AI-powered Business </w:t>
      </w:r>
    </w:p>
    <w:p>
      <w:pPr>
        <w:pStyle w:val="TextBody"/>
        <w:bidi w:val="0"/>
        <w:spacing w:before="120" w:after="0"/>
        <w:jc w:val="left"/>
        <w:rPr>
          <w:rFonts w:ascii="Times New Roman" w:hAnsi="Times New Roman"/>
          <w:i/>
          <w:sz w:val="20"/>
        </w:rPr>
      </w:pPr>
      <w:r>
        <w:rPr>
          <w:rFonts w:ascii="Times New Roman" w:hAnsi="Times New Roman"/>
          <w:i/>
          <w:sz w:val="20"/>
        </w:rPr>
        <w:t xml:space="preserve">AI Cloud Infra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10"/>
        <w:gridCol w:w="9292"/>
      </w:tblGrid>
      <w:tr>
        <w:trPr/>
        <w:tc>
          <w:tcPr>
            <w:tcW w:w="4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from AI Cloud Infra was RMB 7.3 billion in the second quarter of 2026, up 50%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AI Cloud Infra, revenue from GPU Cloud1 increased by 283% year over year in the second quarter of 2026, further accelerating from 184% growth in the previous quarter.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AI Applications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from AI Applications was RMB 2.5 billion in the second quarter of 2026, up 3%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Baidu launched an enterprise edition of DuMate, its general-purpose agent for everyday productivity, in June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Baidu Wenku and Baidu Drive continued to strengthen their AI-powered features, expanding new capabilities and enhancing existing ones, including through upgrades to GenFlow. In June 2026, AI DAU penetration across Baidu Wenku and Baidu Drive increased by 27.4% year over year, reflecting broader adoption of their AI-powered features.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Robotaxi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9"/>
        <w:gridCol w:w="9293"/>
      </w:tblGrid>
      <w:tr>
        <w:trPr/>
        <w:tc>
          <w:tcPr>
            <w:tcW w:w="4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Apollo Go continued to advance its global expansion. </w:t>
            </w:r>
            <w:r>
              <w:rPr>
                <w:rFonts w:ascii="Times New Roman" w:hAnsi="Times New Roman"/>
                <w:b/>
                <w:sz w:val="20"/>
              </w:rPr>
              <w:t>In London</w:t>
            </w:r>
            <w:r>
              <w:rPr>
                <w:rFonts w:ascii="Times New Roman" w:hAnsi="Times New Roman"/>
                <w:sz w:val="20"/>
              </w:rPr>
              <w:t xml:space="preserve">, Apollo Go began open-road testing in partnership with Uber and Lyft. </w:t>
            </w:r>
            <w:r>
              <w:rPr>
                <w:rFonts w:ascii="Times New Roman" w:hAnsi="Times New Roman"/>
                <w:b/>
                <w:sz w:val="20"/>
              </w:rPr>
              <w:t>In Dubai</w:t>
            </w:r>
            <w:r>
              <w:rPr>
                <w:rFonts w:ascii="Times New Roman" w:hAnsi="Times New Roman"/>
                <w:sz w:val="20"/>
              </w:rPr>
              <w:t xml:space="preserve">, Apollo Go launched fully driverless commercial operations, with rides also available through the Uber app, in addition to its own app. </w:t>
            </w:r>
            <w:r>
              <w:rPr>
                <w:rFonts w:ascii="Times New Roman" w:hAnsi="Times New Roman"/>
                <w:b/>
                <w:sz w:val="20"/>
              </w:rPr>
              <w:t>In Hong Kong,</w:t>
            </w:r>
            <w:r>
              <w:rPr>
                <w:rFonts w:ascii="Times New Roman" w:hAnsi="Times New Roman"/>
                <w:sz w:val="20"/>
              </w:rPr>
              <w:t xml:space="preserve"> Apollo Go received the city’s first permits for fully driverless testing and commenced testing on Airport Island, becoming the first autonomous ride-hailing service provider globally to conduct fully driverless testing in a right-hand-drive, left-hand traffic robotaxi market. </w:t>
            </w:r>
            <w:r>
              <w:rPr>
                <w:rFonts w:ascii="Times New Roman" w:hAnsi="Times New Roman"/>
                <w:b/>
                <w:sz w:val="20"/>
              </w:rPr>
              <w:t>In Switzerland</w:t>
            </w:r>
            <w:r>
              <w:rPr>
                <w:rFonts w:ascii="Times New Roman" w:hAnsi="Times New Roman"/>
                <w:sz w:val="20"/>
              </w:rPr>
              <w:t xml:space="preserve">, Apollo Go conducted open-road testing in partnership with PostBus. Apollo Go also signed a Memorandum of Understanding with </w:t>
            </w:r>
            <w:r>
              <w:rPr>
                <w:rFonts w:ascii="Times New Roman" w:hAnsi="Times New Roman"/>
                <w:b/>
                <w:sz w:val="20"/>
              </w:rPr>
              <w:t>Kazakhstan’s</w:t>
            </w:r>
            <w:r>
              <w:rPr>
                <w:rFonts w:ascii="Times New Roman" w:hAnsi="Times New Roman"/>
                <w:sz w:val="20"/>
              </w:rPr>
              <w:t xml:space="preserve"> Turlov Private Holding Ltd. to jointly explore autonomous ride-hailing services in the country.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from GPU Cloud was previously referred to as subscription-based revenue from AI accelerator infrastructure. The growth in GPU Cloud Revenue reflected mounting demand for public cloud-based AI computing.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date, Apollo Go’s global footprint has reached 28 cities, and its fleets have accumulated over 350 million autonomous kilometers, including over 240 million fully driverless autonomous kilometers, with an outstanding safety record.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AI-native Marketing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10"/>
        <w:gridCol w:w="9292"/>
      </w:tblGrid>
      <w:tr>
        <w:trPr/>
        <w:tc>
          <w:tcPr>
            <w:tcW w:w="4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from AI-native marketing services reached RMB 2.6 billion in the second quarter of 2026, approximately flat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Baidu App’s MAUs reached 644 million in June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selected revenue highlights for our Baidu Core AI-powered Business for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6"/>
        <w:gridCol w:w="209"/>
        <w:gridCol w:w="70"/>
        <w:gridCol w:w="520"/>
        <w:gridCol w:w="275"/>
        <w:gridCol w:w="155"/>
        <w:gridCol w:w="70"/>
        <w:gridCol w:w="520"/>
        <w:gridCol w:w="320"/>
        <w:gridCol w:w="155"/>
        <w:gridCol w:w="70"/>
        <w:gridCol w:w="520"/>
        <w:gridCol w:w="320"/>
        <w:gridCol w:w="154"/>
        <w:gridCol w:w="62"/>
        <w:gridCol w:w="348"/>
        <w:gridCol w:w="350"/>
        <w:gridCol w:w="155"/>
        <w:gridCol w:w="75"/>
        <w:gridCol w:w="425"/>
        <w:gridCol w:w="356"/>
      </w:tblGrid>
      <w:tr>
        <w:trPr/>
        <w:tc>
          <w:tcPr>
            <w:tcW w:w="5076"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07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4564" w:type="dxa"/>
            <w:gridSpan w:val="18"/>
            <w:tcBorders/>
            <w:vAlign w:val="bottom"/>
          </w:tcPr>
          <w:p>
            <w:pPr>
              <w:pStyle w:val="TableContents"/>
              <w:bidi w:val="0"/>
              <w:spacing w:before="0" w:after="283"/>
              <w:jc w:val="center"/>
              <w:rPr>
                <w:b/>
              </w:rPr>
            </w:pPr>
            <w:r>
              <w:rPr>
                <w:b/>
              </w:rPr>
              <w:t>Baidu General Business</w:t>
            </w:r>
          </w:p>
        </w:tc>
        <w:tc>
          <w:tcPr>
            <w:tcW w:w="356" w:type="dxa"/>
            <w:tcBorders/>
            <w:vAlign w:val="bottom"/>
          </w:tcPr>
          <w:p>
            <w:pPr>
              <w:pStyle w:val="TableContents"/>
              <w:bidi w:val="0"/>
              <w:spacing w:before="0" w:after="283"/>
              <w:jc w:val="left"/>
              <w:rPr/>
            </w:pPr>
            <w:r>
              <w:rPr/>
              <w:t> </w:t>
            </w:r>
          </w:p>
        </w:tc>
      </w:tr>
      <w:tr>
        <w:trPr/>
        <w:tc>
          <w:tcPr>
            <w:tcW w:w="507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Q2</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Q1</w:t>
            </w:r>
          </w:p>
        </w:tc>
        <w:tc>
          <w:tcPr>
            <w:tcW w:w="3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Q2</w:t>
            </w:r>
          </w:p>
        </w:tc>
        <w:tc>
          <w:tcPr>
            <w:tcW w:w="3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1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r>
      <w:tr>
        <w:trPr/>
        <w:tc>
          <w:tcPr>
            <w:tcW w:w="5076" w:type="dxa"/>
            <w:tcBorders/>
            <w:vAlign w:val="bottom"/>
          </w:tcPr>
          <w:p>
            <w:pPr>
              <w:pStyle w:val="TableContents"/>
              <w:bidi w:val="0"/>
              <w:spacing w:before="0" w:after="283"/>
              <w:jc w:val="left"/>
              <w:rPr/>
            </w:pPr>
            <w:r>
              <w:rPr/>
              <w:t>(In billions)</w:t>
            </w:r>
          </w:p>
        </w:tc>
        <w:tc>
          <w:tcPr>
            <w:tcW w:w="209"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1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YoY</w:t>
            </w:r>
          </w:p>
        </w:tc>
        <w:tc>
          <w:tcPr>
            <w:tcW w:w="3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QoQ</w:t>
            </w:r>
          </w:p>
        </w:tc>
        <w:tc>
          <w:tcPr>
            <w:tcW w:w="356" w:type="dxa"/>
            <w:tcBorders/>
            <w:vAlign w:val="bottom"/>
          </w:tcPr>
          <w:p>
            <w:pPr>
              <w:pStyle w:val="TableContents"/>
              <w:bidi w:val="0"/>
              <w:spacing w:before="0" w:after="283"/>
              <w:jc w:val="left"/>
              <w:rPr/>
            </w:pPr>
            <w:r>
              <w:rPr/>
              <w:t> </w:t>
            </w:r>
          </w:p>
        </w:tc>
      </w:tr>
      <w:tr>
        <w:trPr/>
        <w:tc>
          <w:tcPr>
            <w:tcW w:w="507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RMB</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1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r>
      <w:tr>
        <w:trPr/>
        <w:tc>
          <w:tcPr>
            <w:tcW w:w="50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Baidu Core AI-powered Business2</w:t>
            </w:r>
          </w:p>
        </w:tc>
        <w:tc>
          <w:tcPr>
            <w:tcW w:w="2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b/>
              </w:rPr>
            </w:pPr>
            <w:r>
              <w:rPr>
                <w:b/>
              </w:rPr>
              <w:t>10.0</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b/>
              </w:rPr>
            </w:pPr>
            <w:r>
              <w:rPr>
                <w:b/>
              </w:rPr>
              <w:t>13.6</w:t>
            </w:r>
          </w:p>
        </w:tc>
        <w:tc>
          <w:tcPr>
            <w:tcW w:w="3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b/>
              </w:rPr>
            </w:pPr>
            <w:r>
              <w:rPr>
                <w:b/>
              </w:rPr>
              <w:t>12.5</w:t>
            </w:r>
          </w:p>
        </w:tc>
        <w:tc>
          <w:tcPr>
            <w:tcW w:w="3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i/>
              </w:rPr>
            </w:pPr>
            <w:r>
              <w:rPr>
                <w:i/>
              </w:rPr>
              <w:t>25</w:t>
            </w:r>
          </w:p>
        </w:tc>
        <w:tc>
          <w:tcPr>
            <w:tcW w:w="350" w:type="dxa"/>
            <w:tcBorders/>
            <w:shd w:fill="CCEEFF" w:val="clear"/>
            <w:vAlign w:val="bottom"/>
          </w:tcPr>
          <w:p>
            <w:pPr>
              <w:pStyle w:val="TableContents"/>
              <w:bidi w:val="0"/>
              <w:spacing w:before="0" w:after="283"/>
              <w:jc w:val="left"/>
              <w:rPr>
                <w:i/>
              </w:rPr>
            </w:pPr>
            <w:r>
              <w:rPr>
                <w:i/>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i/>
              </w:rPr>
            </w:pPr>
            <w:r>
              <w:rPr>
                <w:i/>
              </w:rPr>
              <w:t>(8</w:t>
            </w:r>
          </w:p>
        </w:tc>
        <w:tc>
          <w:tcPr>
            <w:tcW w:w="356" w:type="dxa"/>
            <w:tcBorders/>
            <w:shd w:fill="CCEEFF" w:val="clear"/>
            <w:vAlign w:val="bottom"/>
          </w:tcPr>
          <w:p>
            <w:pPr>
              <w:pStyle w:val="TableContents"/>
              <w:bidi w:val="0"/>
              <w:spacing w:before="0" w:after="283"/>
              <w:jc w:val="left"/>
              <w:rPr>
                <w:i/>
              </w:rPr>
            </w:pPr>
            <w:r>
              <w:rPr>
                <w:i/>
              </w:rPr>
              <w:t>%) </w:t>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 AI Cloud Infra</w:t>
            </w:r>
          </w:p>
        </w:tc>
        <w:tc>
          <w:tcPr>
            <w:tcW w:w="2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8.8</w:t>
            </w:r>
          </w:p>
        </w:tc>
        <w:tc>
          <w:tcPr>
            <w:tcW w:w="3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7.3</w:t>
            </w:r>
          </w:p>
        </w:tc>
        <w:tc>
          <w:tcPr>
            <w:tcW w:w="3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i/>
              </w:rPr>
            </w:pPr>
            <w:r>
              <w:rPr>
                <w:i/>
              </w:rPr>
              <w:t>50</w:t>
            </w:r>
          </w:p>
        </w:tc>
        <w:tc>
          <w:tcPr>
            <w:tcW w:w="350" w:type="dxa"/>
            <w:tcBorders/>
            <w:vAlign w:val="bottom"/>
          </w:tcPr>
          <w:p>
            <w:pPr>
              <w:pStyle w:val="TableContents"/>
              <w:bidi w:val="0"/>
              <w:spacing w:before="0" w:after="283"/>
              <w:jc w:val="left"/>
              <w:rPr>
                <w:i/>
              </w:rPr>
            </w:pPr>
            <w:r>
              <w:rPr>
                <w:i/>
              </w:rPr>
              <w:t>% </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i/>
              </w:rPr>
            </w:pPr>
            <w:r>
              <w:rPr>
                <w:i/>
              </w:rPr>
              <w:t>(17</w:t>
            </w:r>
          </w:p>
        </w:tc>
        <w:tc>
          <w:tcPr>
            <w:tcW w:w="356" w:type="dxa"/>
            <w:tcBorders/>
            <w:vAlign w:val="bottom"/>
          </w:tcPr>
          <w:p>
            <w:pPr>
              <w:pStyle w:val="TableContents"/>
              <w:bidi w:val="0"/>
              <w:spacing w:before="0" w:after="283"/>
              <w:jc w:val="left"/>
              <w:rPr>
                <w:i/>
              </w:rPr>
            </w:pPr>
            <w:r>
              <w:rPr>
                <w:i/>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AI Applications</w:t>
            </w:r>
          </w:p>
        </w:tc>
        <w:tc>
          <w:tcPr>
            <w:tcW w:w="2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2.5</w:t>
            </w:r>
          </w:p>
        </w:tc>
        <w:tc>
          <w:tcPr>
            <w:tcW w:w="3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2.5</w:t>
            </w:r>
          </w:p>
        </w:tc>
        <w:tc>
          <w:tcPr>
            <w:tcW w:w="3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i/>
              </w:rPr>
            </w:pPr>
            <w:r>
              <w:rPr>
                <w:i/>
              </w:rPr>
              <w:t>3</w:t>
            </w:r>
          </w:p>
        </w:tc>
        <w:tc>
          <w:tcPr>
            <w:tcW w:w="350" w:type="dxa"/>
            <w:tcBorders/>
            <w:shd w:fill="CCEEFF" w:val="clear"/>
            <w:vAlign w:val="bottom"/>
          </w:tcPr>
          <w:p>
            <w:pPr>
              <w:pStyle w:val="TableContents"/>
              <w:bidi w:val="0"/>
              <w:spacing w:before="0" w:after="283"/>
              <w:jc w:val="left"/>
              <w:rPr>
                <w:i/>
              </w:rPr>
            </w:pPr>
            <w:r>
              <w:rPr>
                <w:i/>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i/>
              </w:rPr>
            </w:pPr>
            <w:r>
              <w:rPr>
                <w:i/>
              </w:rPr>
              <w:t>3</w:t>
            </w:r>
          </w:p>
        </w:tc>
        <w:tc>
          <w:tcPr>
            <w:tcW w:w="356" w:type="dxa"/>
            <w:tcBorders/>
            <w:shd w:fill="CCEEFF" w:val="clear"/>
            <w:vAlign w:val="bottom"/>
          </w:tcPr>
          <w:p>
            <w:pPr>
              <w:pStyle w:val="TableContents"/>
              <w:bidi w:val="0"/>
              <w:spacing w:before="0" w:after="283"/>
              <w:jc w:val="left"/>
              <w:rPr>
                <w:i/>
              </w:rPr>
            </w:pPr>
            <w:r>
              <w:rPr>
                <w:i/>
              </w:rPr>
              <w:t>% </w:t>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 AI-native Marketing Services</w:t>
            </w:r>
          </w:p>
        </w:tc>
        <w:tc>
          <w:tcPr>
            <w:tcW w:w="2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2.3</w:t>
            </w:r>
          </w:p>
        </w:tc>
        <w:tc>
          <w:tcPr>
            <w:tcW w:w="3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2.6</w:t>
            </w:r>
          </w:p>
        </w:tc>
        <w:tc>
          <w:tcPr>
            <w:tcW w:w="3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i/>
              </w:rPr>
            </w:pPr>
            <w:r>
              <w:rPr>
                <w:i/>
              </w:rPr>
              <w:t>0</w:t>
            </w:r>
          </w:p>
        </w:tc>
        <w:tc>
          <w:tcPr>
            <w:tcW w:w="350" w:type="dxa"/>
            <w:tcBorders/>
            <w:vAlign w:val="bottom"/>
          </w:tcPr>
          <w:p>
            <w:pPr>
              <w:pStyle w:val="TableContents"/>
              <w:bidi w:val="0"/>
              <w:spacing w:before="0" w:after="283"/>
              <w:jc w:val="left"/>
              <w:rPr>
                <w:i/>
              </w:rPr>
            </w:pPr>
            <w:r>
              <w:rPr>
                <w:i/>
              </w:rPr>
              <w:t>% </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i/>
              </w:rPr>
            </w:pPr>
            <w:r>
              <w:rPr>
                <w:i/>
              </w:rPr>
              <w:t>11</w:t>
            </w:r>
          </w:p>
        </w:tc>
        <w:tc>
          <w:tcPr>
            <w:tcW w:w="356" w:type="dxa"/>
            <w:tcBorders/>
            <w:vAlign w:val="bottom"/>
          </w:tcPr>
          <w:p>
            <w:pPr>
              <w:pStyle w:val="TableContents"/>
              <w:bidi w:val="0"/>
              <w:spacing w:before="0" w:after="283"/>
              <w:jc w:val="left"/>
              <w:rPr>
                <w:i/>
              </w:rPr>
            </w:pPr>
            <w:r>
              <w:rPr>
                <w:i/>
              </w:rPr>
              <w:t>% </w:t>
            </w:r>
          </w:p>
        </w:tc>
      </w:tr>
      <w:tr>
        <w:trPr/>
        <w:tc>
          <w:tcPr>
            <w:tcW w:w="50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 of Baidu General Business</w:t>
            </w:r>
          </w:p>
        </w:tc>
        <w:tc>
          <w:tcPr>
            <w:tcW w:w="2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b/>
              </w:rPr>
            </w:pPr>
            <w:r>
              <w:rPr>
                <w:b/>
              </w:rPr>
              <w:t>52</w:t>
            </w:r>
          </w:p>
        </w:tc>
        <w:tc>
          <w:tcPr>
            <w:tcW w:w="320" w:type="dxa"/>
            <w:tcBorders/>
            <w:shd w:fill="CCEEFF" w:val="clear"/>
            <w:vAlign w:val="bottom"/>
          </w:tcPr>
          <w:p>
            <w:pPr>
              <w:pStyle w:val="TableContents"/>
              <w:bidi w:val="0"/>
              <w:spacing w:before="0" w:after="283"/>
              <w:jc w:val="lef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b/>
              </w:rPr>
            </w:pPr>
            <w:r>
              <w:rPr>
                <w:b/>
              </w:rPr>
              <w:t>50</w:t>
            </w:r>
          </w:p>
        </w:tc>
        <w:tc>
          <w:tcPr>
            <w:tcW w:w="320" w:type="dxa"/>
            <w:tcBorders/>
            <w:shd w:fill="CCEEFF" w:val="clear"/>
            <w:vAlign w:val="bottom"/>
          </w:tcPr>
          <w:p>
            <w:pPr>
              <w:pStyle w:val="TableContents"/>
              <w:bidi w:val="0"/>
              <w:spacing w:before="0" w:after="283"/>
              <w:jc w:val="left"/>
              <w:rPr>
                <w:b/>
              </w:rPr>
            </w:pPr>
            <w:r>
              <w:rPr>
                <w:b/>
              </w:rPr>
              <w:t>% </w:t>
            </w:r>
          </w:p>
        </w:tc>
        <w:tc>
          <w:tcPr>
            <w:tcW w:w="15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sz w:val="4"/>
                <w:szCs w:val="4"/>
              </w:rPr>
            </w:pPr>
            <w:r>
              <w:rPr>
                <w:sz w:val="4"/>
                <w:szCs w:val="4"/>
              </w:rPr>
            </w:r>
          </w:p>
        </w:tc>
      </w:tr>
      <w:tr>
        <w:trPr/>
        <w:tc>
          <w:tcPr>
            <w:tcW w:w="5076"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52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52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Legacy Business2</w:t>
            </w:r>
          </w:p>
        </w:tc>
        <w:tc>
          <w:tcPr>
            <w:tcW w:w="2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13.6</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10.2</w:t>
            </w:r>
          </w:p>
        </w:tc>
        <w:tc>
          <w:tcPr>
            <w:tcW w:w="3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10.4</w:t>
            </w:r>
          </w:p>
        </w:tc>
        <w:tc>
          <w:tcPr>
            <w:tcW w:w="3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i/>
              </w:rPr>
            </w:pPr>
            <w:r>
              <w:rPr>
                <w:i/>
              </w:rPr>
              <w:t>(23</w:t>
            </w:r>
          </w:p>
        </w:tc>
        <w:tc>
          <w:tcPr>
            <w:tcW w:w="350" w:type="dxa"/>
            <w:tcBorders/>
            <w:vAlign w:val="bottom"/>
          </w:tcPr>
          <w:p>
            <w:pPr>
              <w:pStyle w:val="TableContents"/>
              <w:bidi w:val="0"/>
              <w:spacing w:before="0" w:after="283"/>
              <w:jc w:val="left"/>
              <w:rPr>
                <w:i/>
              </w:rPr>
            </w:pPr>
            <w:r>
              <w:rPr>
                <w:i/>
              </w:rPr>
              <w:t>%) </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i/>
              </w:rPr>
            </w:pPr>
            <w:r>
              <w:rPr>
                <w:i/>
              </w:rPr>
              <w:t>3</w:t>
            </w:r>
          </w:p>
        </w:tc>
        <w:tc>
          <w:tcPr>
            <w:tcW w:w="356" w:type="dxa"/>
            <w:tcBorders/>
            <w:vAlign w:val="bottom"/>
          </w:tcPr>
          <w:p>
            <w:pPr>
              <w:pStyle w:val="TableContents"/>
              <w:bidi w:val="0"/>
              <w:spacing w:before="0" w:after="283"/>
              <w:jc w:val="left"/>
              <w:rPr>
                <w:i/>
              </w:rPr>
            </w:pPr>
            <w:r>
              <w:rPr>
                <w:i/>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Others2</w:t>
            </w:r>
          </w:p>
        </w:tc>
        <w:tc>
          <w:tcPr>
            <w:tcW w:w="2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2.2</w:t>
            </w:r>
          </w:p>
        </w:tc>
        <w:tc>
          <w:tcPr>
            <w:tcW w:w="3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2.3</w:t>
            </w:r>
          </w:p>
        </w:tc>
        <w:tc>
          <w:tcPr>
            <w:tcW w:w="3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i/>
              </w:rPr>
            </w:pPr>
            <w:r>
              <w:rPr>
                <w:i/>
              </w:rPr>
              <w:t>(15</w:t>
            </w:r>
          </w:p>
        </w:tc>
        <w:tc>
          <w:tcPr>
            <w:tcW w:w="350" w:type="dxa"/>
            <w:tcBorders/>
            <w:shd w:fill="CCEEFF" w:val="clear"/>
            <w:vAlign w:val="bottom"/>
          </w:tcPr>
          <w:p>
            <w:pPr>
              <w:pStyle w:val="TableContents"/>
              <w:bidi w:val="0"/>
              <w:spacing w:before="0" w:after="283"/>
              <w:jc w:val="left"/>
              <w:rPr>
                <w:i/>
              </w:rPr>
            </w:pPr>
            <w:r>
              <w:rPr>
                <w:i/>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i/>
              </w:rPr>
            </w:pPr>
            <w:r>
              <w:rPr>
                <w:i/>
              </w:rPr>
              <w:t>2</w:t>
            </w:r>
          </w:p>
        </w:tc>
        <w:tc>
          <w:tcPr>
            <w:tcW w:w="356" w:type="dxa"/>
            <w:tcBorders/>
            <w:shd w:fill="CCEEFF" w:val="clear"/>
            <w:vAlign w:val="bottom"/>
          </w:tcPr>
          <w:p>
            <w:pPr>
              <w:pStyle w:val="TableContents"/>
              <w:bidi w:val="0"/>
              <w:spacing w:before="0" w:after="283"/>
              <w:jc w:val="left"/>
              <w:rPr>
                <w:i/>
              </w:rPr>
            </w:pPr>
            <w:r>
              <w:rPr>
                <w:i/>
              </w:rPr>
              <w:t>% </w:t>
            </w:r>
          </w:p>
        </w:tc>
      </w:tr>
      <w:tr>
        <w:trPr/>
        <w:tc>
          <w:tcPr>
            <w:tcW w:w="50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Baidu General Business</w:t>
            </w:r>
          </w:p>
        </w:tc>
        <w:tc>
          <w:tcPr>
            <w:tcW w:w="2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b/>
              </w:rPr>
            </w:pPr>
            <w:r>
              <w:rPr>
                <w:b/>
              </w:rPr>
              <w:t>26.3</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b/>
              </w:rPr>
            </w:pPr>
            <w:r>
              <w:rPr>
                <w:b/>
              </w:rPr>
              <w:t>26.0</w:t>
            </w:r>
          </w:p>
        </w:tc>
        <w:tc>
          <w:tcPr>
            <w:tcW w:w="3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b/>
              </w:rPr>
            </w:pPr>
            <w:r>
              <w:rPr>
                <w:b/>
              </w:rPr>
              <w:t>25.2</w:t>
            </w:r>
          </w:p>
        </w:tc>
        <w:tc>
          <w:tcPr>
            <w:tcW w:w="3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i/>
              </w:rPr>
            </w:pPr>
            <w:r>
              <w:rPr>
                <w:i/>
              </w:rPr>
              <w:t>(4</w:t>
            </w:r>
          </w:p>
        </w:tc>
        <w:tc>
          <w:tcPr>
            <w:tcW w:w="350" w:type="dxa"/>
            <w:tcBorders/>
            <w:vAlign w:val="bottom"/>
          </w:tcPr>
          <w:p>
            <w:pPr>
              <w:pStyle w:val="TableContents"/>
              <w:bidi w:val="0"/>
              <w:spacing w:before="0" w:after="283"/>
              <w:jc w:val="left"/>
              <w:rPr>
                <w:i/>
              </w:rPr>
            </w:pPr>
            <w:r>
              <w:rPr>
                <w:i/>
              </w:rPr>
              <w:t>%) </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i/>
              </w:rPr>
            </w:pPr>
            <w:r>
              <w:rPr>
                <w:i/>
              </w:rPr>
              <w:t>(3</w:t>
            </w:r>
          </w:p>
        </w:tc>
        <w:tc>
          <w:tcPr>
            <w:tcW w:w="356" w:type="dxa"/>
            <w:tcBorders/>
            <w:vAlign w:val="bottom"/>
          </w:tcPr>
          <w:p>
            <w:pPr>
              <w:pStyle w:val="TableContents"/>
              <w:bidi w:val="0"/>
              <w:spacing w:before="0" w:after="283"/>
              <w:jc w:val="left"/>
              <w:rPr>
                <w:i/>
              </w:rPr>
            </w:pPr>
            <w:r>
              <w:rPr>
                <w:i/>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for Baidu3,4 </w:t>
      </w:r>
    </w:p>
    <w:p>
      <w:pPr>
        <w:pStyle w:val="TextBody"/>
        <w:bidi w:val="0"/>
        <w:spacing w:before="120" w:after="0"/>
        <w:jc w:val="left"/>
        <w:rPr>
          <w:rFonts w:ascii="Times New Roman" w:hAnsi="Times New Roman"/>
          <w:b/>
          <w:i/>
          <w:sz w:val="20"/>
        </w:rPr>
      </w:pPr>
      <w:r>
        <w:rPr>
          <w:rFonts w:ascii="Times New Roman" w:hAnsi="Times New Roman"/>
          <w:b/>
          <w:i/>
          <w:sz w:val="20"/>
        </w:rPr>
        <w:t xml:space="preserve">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revenue highlights for Baidu General Business: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2 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and operational data presented are derived from the Company’s internal management accounts and records, which have not been audited.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3 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measures are defined in the Non-GAAP Financial Measures section (see also “Reconciliations of Non-GAAP Financial Measures to the Nearest Comparable GAAP Measures” for more details). </w:t>
            </w:r>
          </w:p>
        </w:tc>
      </w:tr>
    </w:tbl>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4 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RMB to USD was converted at an exchange rate of RMB6.7851 as of June 30, 2026, as set forth in the H.10 statistical release of the Board of Governors of the Federal Reserve System. Translations are provided solely for the convenience of the reader.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438"/>
        <w:gridCol w:w="153"/>
        <w:gridCol w:w="70"/>
        <w:gridCol w:w="522"/>
        <w:gridCol w:w="275"/>
        <w:gridCol w:w="97"/>
        <w:gridCol w:w="70"/>
        <w:gridCol w:w="522"/>
        <w:gridCol w:w="275"/>
        <w:gridCol w:w="97"/>
        <w:gridCol w:w="70"/>
        <w:gridCol w:w="522"/>
        <w:gridCol w:w="275"/>
        <w:gridCol w:w="97"/>
        <w:gridCol w:w="62"/>
        <w:gridCol w:w="347"/>
        <w:gridCol w:w="350"/>
        <w:gridCol w:w="97"/>
        <w:gridCol w:w="75"/>
        <w:gridCol w:w="434"/>
        <w:gridCol w:w="357"/>
      </w:tblGrid>
      <w:tr>
        <w:trPr/>
        <w:tc>
          <w:tcPr>
            <w:tcW w:w="5438"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4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center"/>
              <w:rPr>
                <w:b/>
              </w:rPr>
            </w:pPr>
            <w:r>
              <w:rPr>
                <w:b/>
              </w:rPr>
              <w:t>Q2</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center"/>
              <w:rPr>
                <w:b/>
              </w:rPr>
            </w:pPr>
            <w:r>
              <w:rPr>
                <w:b/>
              </w:rPr>
              <w:t>Q1</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center"/>
              <w:rPr>
                <w:b/>
              </w:rPr>
            </w:pPr>
            <w:r>
              <w:rPr>
                <w:b/>
              </w:rPr>
              <w:t>Q2</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09"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09"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5438" w:type="dxa"/>
            <w:tcBorders/>
            <w:vAlign w:val="bottom"/>
          </w:tcPr>
          <w:p>
            <w:pPr>
              <w:pStyle w:val="TableContents"/>
              <w:bidi w:val="0"/>
              <w:spacing w:before="0" w:after="283"/>
              <w:jc w:val="left"/>
              <w:rPr/>
            </w:pPr>
            <w:r>
              <w:rPr/>
              <w:t>(In billions, unaudited)</w:t>
            </w:r>
          </w:p>
        </w:tc>
        <w:tc>
          <w:tcPr>
            <w:tcW w:w="153" w:type="dxa"/>
            <w:tcBorders/>
            <w:vAlign w:val="bottom"/>
          </w:tcPr>
          <w:p>
            <w:pPr>
              <w:pStyle w:val="TableContents"/>
              <w:bidi w:val="0"/>
              <w:spacing w:before="0" w:after="283"/>
              <w:jc w:val="left"/>
              <w:rPr/>
            </w:pPr>
            <w:r>
              <w:rPr/>
              <w:t>  </w:t>
            </w:r>
          </w:p>
        </w:tc>
        <w:tc>
          <w:tcPr>
            <w:tcW w:w="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09" w:type="dxa"/>
            <w:gridSpan w:val="2"/>
            <w:tcBorders>
              <w:bottom w:val="single" w:sz="8" w:space="0" w:color="000000"/>
            </w:tcBorders>
            <w:tcMar>
              <w:bottom w:w="28" w:type="dxa"/>
            </w:tcMar>
            <w:vAlign w:val="bottom"/>
          </w:tcPr>
          <w:p>
            <w:pPr>
              <w:pStyle w:val="TableContents"/>
              <w:bidi w:val="0"/>
              <w:spacing w:before="0" w:after="283"/>
              <w:jc w:val="center"/>
              <w:rPr>
                <w:i/>
              </w:rPr>
            </w:pPr>
            <w:r>
              <w:rPr>
                <w:i/>
              </w:rPr>
              <w:t>YoY</w:t>
            </w:r>
          </w:p>
        </w:tc>
        <w:tc>
          <w:tcPr>
            <w:tcW w:w="35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09" w:type="dxa"/>
            <w:gridSpan w:val="2"/>
            <w:tcBorders>
              <w:bottom w:val="single" w:sz="8" w:space="0" w:color="000000"/>
            </w:tcBorders>
            <w:tcMar>
              <w:bottom w:w="28" w:type="dxa"/>
            </w:tcMar>
            <w:vAlign w:val="bottom"/>
          </w:tcPr>
          <w:p>
            <w:pPr>
              <w:pStyle w:val="TableContents"/>
              <w:bidi w:val="0"/>
              <w:spacing w:before="0" w:after="283"/>
              <w:jc w:val="center"/>
              <w:rPr>
                <w:i/>
              </w:rPr>
            </w:pPr>
            <w:r>
              <w:rPr>
                <w:i/>
              </w:rPr>
              <w:t>QoQ</w:t>
            </w:r>
          </w:p>
        </w:tc>
        <w:tc>
          <w:tcPr>
            <w:tcW w:w="357" w:type="dxa"/>
            <w:tcBorders/>
            <w:vAlign w:val="bottom"/>
          </w:tcPr>
          <w:p>
            <w:pPr>
              <w:pStyle w:val="TableContents"/>
              <w:bidi w:val="0"/>
              <w:spacing w:before="0" w:after="283"/>
              <w:jc w:val="left"/>
              <w:rPr/>
            </w:pPr>
            <w:r>
              <w:rPr/>
              <w:t> </w:t>
            </w:r>
          </w:p>
        </w:tc>
      </w:tr>
      <w:tr>
        <w:trPr/>
        <w:tc>
          <w:tcPr>
            <w:tcW w:w="54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center"/>
              <w:rPr>
                <w:b/>
              </w:rPr>
            </w:pPr>
            <w:r>
              <w:rPr>
                <w:b/>
              </w:rPr>
              <w:t>RMB</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center"/>
              <w:rPr>
                <w:b/>
              </w:rPr>
            </w:pPr>
            <w:r>
              <w:rPr>
                <w:b/>
              </w:rPr>
              <w:t>RMB</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center"/>
              <w:rPr>
                <w:b/>
              </w:rPr>
            </w:pPr>
            <w:r>
              <w:rPr>
                <w:b/>
              </w:rPr>
              <w:t>RMB</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09"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09"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54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Online Marketing Services</w:t>
            </w:r>
          </w:p>
        </w:tc>
        <w:tc>
          <w:tcPr>
            <w:tcW w:w="1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16.2</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12.6</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13.1</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right"/>
              <w:rPr>
                <w:i/>
              </w:rPr>
            </w:pPr>
            <w:r>
              <w:rPr>
                <w:i/>
              </w:rPr>
              <w:t>(19</w:t>
            </w:r>
          </w:p>
        </w:tc>
        <w:tc>
          <w:tcPr>
            <w:tcW w:w="350" w:type="dxa"/>
            <w:tcBorders/>
            <w:shd w:fill="CCEEFF" w:val="clear"/>
            <w:vAlign w:val="bottom"/>
          </w:tcPr>
          <w:p>
            <w:pPr>
              <w:pStyle w:val="TableContents"/>
              <w:bidi w:val="0"/>
              <w:spacing w:before="0" w:after="283"/>
              <w:jc w:val="left"/>
              <w:rPr>
                <w:i/>
              </w:rPr>
            </w:pPr>
            <w:r>
              <w:rPr>
                <w:i/>
              </w:rPr>
              <w:t>%) </w:t>
            </w:r>
          </w:p>
        </w:tc>
        <w:tc>
          <w:tcPr>
            <w:tcW w:w="9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i/>
              </w:rPr>
            </w:pPr>
            <w:r>
              <w:rPr>
                <w:i/>
              </w:rPr>
              <w:t>4</w:t>
            </w:r>
          </w:p>
        </w:tc>
        <w:tc>
          <w:tcPr>
            <w:tcW w:w="357" w:type="dxa"/>
            <w:tcBorders/>
            <w:shd w:fill="CCEEFF" w:val="clear"/>
            <w:vAlign w:val="bottom"/>
          </w:tcPr>
          <w:p>
            <w:pPr>
              <w:pStyle w:val="TableContents"/>
              <w:bidi w:val="0"/>
              <w:spacing w:before="0" w:after="283"/>
              <w:jc w:val="left"/>
              <w:rPr>
                <w:i/>
              </w:rPr>
            </w:pPr>
            <w:r>
              <w:rPr>
                <w:i/>
              </w:rPr>
              <w:t>% </w:t>
            </w:r>
          </w:p>
        </w:tc>
      </w:tr>
      <w:tr>
        <w:trPr/>
        <w:tc>
          <w:tcPr>
            <w:tcW w:w="5438" w:type="dxa"/>
            <w:tcBorders/>
          </w:tcPr>
          <w:p>
            <w:pPr>
              <w:pStyle w:val="TableContents"/>
              <w:bidi w:val="0"/>
              <w:spacing w:before="0" w:after="0"/>
              <w:jc w:val="left"/>
              <w:rPr>
                <w:rFonts w:ascii="Times New Roman" w:hAnsi="Times New Roman"/>
                <w:i/>
                <w:sz w:val="20"/>
              </w:rPr>
            </w:pPr>
            <w:r>
              <w:rPr>
                <w:rFonts w:ascii="Times New Roman" w:hAnsi="Times New Roman"/>
                <w:i/>
                <w:sz w:val="20"/>
              </w:rPr>
              <w:t>Online Marketing Services % of Baidu General Business</w:t>
            </w:r>
          </w:p>
        </w:tc>
        <w:tc>
          <w:tcPr>
            <w:tcW w:w="1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i/>
              </w:rPr>
            </w:pPr>
            <w:r>
              <w:rPr>
                <w:i/>
              </w:rPr>
              <w:t>62</w:t>
            </w:r>
          </w:p>
        </w:tc>
        <w:tc>
          <w:tcPr>
            <w:tcW w:w="275" w:type="dxa"/>
            <w:tcBorders/>
            <w:vAlign w:val="bottom"/>
          </w:tcPr>
          <w:p>
            <w:pPr>
              <w:pStyle w:val="TableContents"/>
              <w:bidi w:val="0"/>
              <w:spacing w:before="0" w:after="283"/>
              <w:jc w:val="left"/>
              <w:rPr>
                <w:i/>
              </w:rPr>
            </w:pPr>
            <w:r>
              <w:rPr>
                <w:i/>
              </w:rPr>
              <w:t>% </w:t>
            </w:r>
          </w:p>
        </w:tc>
        <w:tc>
          <w:tcPr>
            <w:tcW w:w="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i/>
              </w:rPr>
            </w:pPr>
            <w:r>
              <w:rPr>
                <w:i/>
              </w:rPr>
              <w:t>48</w:t>
            </w:r>
          </w:p>
        </w:tc>
        <w:tc>
          <w:tcPr>
            <w:tcW w:w="275" w:type="dxa"/>
            <w:tcBorders/>
            <w:vAlign w:val="bottom"/>
          </w:tcPr>
          <w:p>
            <w:pPr>
              <w:pStyle w:val="TableContents"/>
              <w:bidi w:val="0"/>
              <w:spacing w:before="0" w:after="283"/>
              <w:jc w:val="left"/>
              <w:rPr>
                <w:i/>
              </w:rPr>
            </w:pPr>
            <w:r>
              <w:rPr>
                <w:i/>
              </w:rPr>
              <w:t>% </w:t>
            </w:r>
          </w:p>
        </w:tc>
        <w:tc>
          <w:tcPr>
            <w:tcW w:w="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i/>
              </w:rPr>
            </w:pPr>
            <w:r>
              <w:rPr>
                <w:i/>
              </w:rPr>
              <w:t>52</w:t>
            </w:r>
          </w:p>
        </w:tc>
        <w:tc>
          <w:tcPr>
            <w:tcW w:w="275" w:type="dxa"/>
            <w:tcBorders/>
            <w:vAlign w:val="bottom"/>
          </w:tcPr>
          <w:p>
            <w:pPr>
              <w:pStyle w:val="TableContents"/>
              <w:bidi w:val="0"/>
              <w:spacing w:before="0" w:after="283"/>
              <w:jc w:val="left"/>
              <w:rPr>
                <w:i/>
              </w:rPr>
            </w:pPr>
            <w:r>
              <w:rPr>
                <w:i/>
              </w:rPr>
              <w:t>% </w:t>
            </w:r>
          </w:p>
        </w:tc>
        <w:tc>
          <w:tcPr>
            <w:tcW w:w="9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4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Others</w:t>
            </w:r>
          </w:p>
        </w:tc>
        <w:tc>
          <w:tcPr>
            <w:tcW w:w="1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13.4</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12.1</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right"/>
              <w:rPr>
                <w:i/>
              </w:rPr>
            </w:pPr>
            <w:r>
              <w:rPr>
                <w:i/>
              </w:rPr>
              <w:t>21</w:t>
            </w:r>
          </w:p>
        </w:tc>
        <w:tc>
          <w:tcPr>
            <w:tcW w:w="350" w:type="dxa"/>
            <w:tcBorders/>
            <w:shd w:fill="CCEEFF" w:val="clear"/>
            <w:vAlign w:val="bottom"/>
          </w:tcPr>
          <w:p>
            <w:pPr>
              <w:pStyle w:val="TableContents"/>
              <w:bidi w:val="0"/>
              <w:spacing w:before="0" w:after="283"/>
              <w:jc w:val="left"/>
              <w:rPr>
                <w:i/>
              </w:rPr>
            </w:pPr>
            <w:r>
              <w:rPr>
                <w:i/>
              </w:rPr>
              <w:t>% </w:t>
            </w:r>
          </w:p>
        </w:tc>
        <w:tc>
          <w:tcPr>
            <w:tcW w:w="9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i/>
              </w:rPr>
            </w:pPr>
            <w:r>
              <w:rPr>
                <w:i/>
              </w:rPr>
              <w:t>(10</w:t>
            </w:r>
          </w:p>
        </w:tc>
        <w:tc>
          <w:tcPr>
            <w:tcW w:w="357" w:type="dxa"/>
            <w:tcBorders/>
            <w:shd w:fill="CCEEFF" w:val="clear"/>
            <w:vAlign w:val="bottom"/>
          </w:tcPr>
          <w:p>
            <w:pPr>
              <w:pStyle w:val="TableContents"/>
              <w:bidi w:val="0"/>
              <w:spacing w:before="0" w:after="283"/>
              <w:jc w:val="left"/>
              <w:rPr>
                <w:i/>
              </w:rPr>
            </w:pPr>
            <w:r>
              <w:rPr>
                <w:i/>
              </w:rPr>
              <w:t>%) </w:t>
            </w:r>
          </w:p>
        </w:tc>
      </w:tr>
      <w:tr>
        <w:trPr/>
        <w:tc>
          <w:tcPr>
            <w:tcW w:w="5438" w:type="dxa"/>
            <w:tcBorders/>
          </w:tcPr>
          <w:p>
            <w:pPr>
              <w:pStyle w:val="TableContents"/>
              <w:bidi w:val="0"/>
              <w:spacing w:before="0" w:after="0"/>
              <w:jc w:val="left"/>
              <w:rPr>
                <w:rFonts w:ascii="Times New Roman" w:hAnsi="Times New Roman"/>
                <w:i/>
                <w:sz w:val="20"/>
              </w:rPr>
            </w:pPr>
            <w:r>
              <w:rPr>
                <w:rFonts w:ascii="Times New Roman" w:hAnsi="Times New Roman"/>
                <w:i/>
                <w:sz w:val="20"/>
              </w:rPr>
              <w:t>Others % of Baidu General Business</w:t>
            </w:r>
          </w:p>
        </w:tc>
        <w:tc>
          <w:tcPr>
            <w:tcW w:w="1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i/>
              </w:rPr>
            </w:pPr>
            <w:r>
              <w:rPr>
                <w:i/>
              </w:rPr>
              <w:t>38</w:t>
            </w:r>
          </w:p>
        </w:tc>
        <w:tc>
          <w:tcPr>
            <w:tcW w:w="275" w:type="dxa"/>
            <w:tcBorders/>
            <w:vAlign w:val="bottom"/>
          </w:tcPr>
          <w:p>
            <w:pPr>
              <w:pStyle w:val="TableContents"/>
              <w:bidi w:val="0"/>
              <w:spacing w:before="0" w:after="283"/>
              <w:jc w:val="left"/>
              <w:rPr>
                <w:i/>
              </w:rPr>
            </w:pPr>
            <w:r>
              <w:rPr>
                <w:i/>
              </w:rPr>
              <w:t>% </w:t>
            </w:r>
          </w:p>
        </w:tc>
        <w:tc>
          <w:tcPr>
            <w:tcW w:w="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i/>
              </w:rPr>
            </w:pPr>
            <w:r>
              <w:rPr>
                <w:i/>
              </w:rPr>
              <w:t>52</w:t>
            </w:r>
          </w:p>
        </w:tc>
        <w:tc>
          <w:tcPr>
            <w:tcW w:w="275" w:type="dxa"/>
            <w:tcBorders/>
            <w:vAlign w:val="bottom"/>
          </w:tcPr>
          <w:p>
            <w:pPr>
              <w:pStyle w:val="TableContents"/>
              <w:bidi w:val="0"/>
              <w:spacing w:before="0" w:after="283"/>
              <w:jc w:val="left"/>
              <w:rPr>
                <w:i/>
              </w:rPr>
            </w:pPr>
            <w:r>
              <w:rPr>
                <w:i/>
              </w:rPr>
              <w:t>% </w:t>
            </w:r>
          </w:p>
        </w:tc>
        <w:tc>
          <w:tcPr>
            <w:tcW w:w="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i/>
              </w:rPr>
            </w:pPr>
            <w:r>
              <w:rPr>
                <w:i/>
              </w:rPr>
              <w:t>48</w:t>
            </w:r>
          </w:p>
        </w:tc>
        <w:tc>
          <w:tcPr>
            <w:tcW w:w="275" w:type="dxa"/>
            <w:tcBorders/>
            <w:vAlign w:val="bottom"/>
          </w:tcPr>
          <w:p>
            <w:pPr>
              <w:pStyle w:val="TableContents"/>
              <w:bidi w:val="0"/>
              <w:spacing w:before="0" w:after="283"/>
              <w:jc w:val="left"/>
              <w:rPr>
                <w:i/>
              </w:rPr>
            </w:pPr>
            <w:r>
              <w:rPr>
                <w:i/>
              </w:rPr>
              <w:t>% </w:t>
            </w:r>
          </w:p>
        </w:tc>
        <w:tc>
          <w:tcPr>
            <w:tcW w:w="9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4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Baidu General Business</w:t>
            </w:r>
          </w:p>
        </w:tc>
        <w:tc>
          <w:tcPr>
            <w:tcW w:w="1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b/>
              </w:rPr>
            </w:pPr>
            <w:r>
              <w:rPr>
                <w:b/>
              </w:rPr>
              <w:t>26.3</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b/>
              </w:rPr>
            </w:pPr>
            <w:r>
              <w:rPr>
                <w:b/>
              </w:rPr>
              <w:t>26.0</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b/>
              </w:rPr>
            </w:pPr>
            <w:r>
              <w:rPr>
                <w:b/>
              </w:rPr>
              <w:t>25.2</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right"/>
              <w:rPr>
                <w:b/>
                <w:i/>
              </w:rPr>
            </w:pPr>
            <w:r>
              <w:rPr>
                <w:b/>
                <w:i/>
              </w:rPr>
              <w:t>(4</w:t>
            </w:r>
          </w:p>
        </w:tc>
        <w:tc>
          <w:tcPr>
            <w:tcW w:w="350" w:type="dxa"/>
            <w:tcBorders/>
            <w:shd w:fill="CCEEFF" w:val="clear"/>
            <w:vAlign w:val="bottom"/>
          </w:tcPr>
          <w:p>
            <w:pPr>
              <w:pStyle w:val="TableContents"/>
              <w:bidi w:val="0"/>
              <w:spacing w:before="0" w:after="283"/>
              <w:jc w:val="left"/>
              <w:rPr>
                <w:b/>
                <w:i/>
              </w:rPr>
            </w:pPr>
            <w:r>
              <w:rPr>
                <w:b/>
                <w:i/>
              </w:rPr>
              <w:t>%) </w:t>
            </w:r>
          </w:p>
        </w:tc>
        <w:tc>
          <w:tcPr>
            <w:tcW w:w="9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b/>
                <w:i/>
              </w:rPr>
            </w:pPr>
            <w:r>
              <w:rPr>
                <w:b/>
                <w:i/>
              </w:rPr>
              <w:t>(3</w:t>
            </w:r>
          </w:p>
        </w:tc>
        <w:tc>
          <w:tcPr>
            <w:tcW w:w="357" w:type="dxa"/>
            <w:tcBorders/>
            <w:shd w:fill="CCEEFF" w:val="clear"/>
            <w:vAlign w:val="bottom"/>
          </w:tcPr>
          <w:p>
            <w:pPr>
              <w:pStyle w:val="TableContents"/>
              <w:bidi w:val="0"/>
              <w:spacing w:before="0" w:after="283"/>
              <w:jc w:val="left"/>
              <w:rPr>
                <w:b/>
                <w:i/>
              </w:rPr>
            </w:pPr>
            <w:r>
              <w:rPr>
                <w:b/>
                <w:i/>
              </w:rPr>
              <w:t>%) </w:t>
            </w:r>
          </w:p>
        </w:tc>
      </w:tr>
    </w:tbl>
    <w:p>
      <w:pPr>
        <w:pStyle w:val="TextBody"/>
        <w:bidi w:val="0"/>
        <w:spacing w:before="240" w:after="0"/>
        <w:jc w:val="left"/>
        <w:rPr>
          <w:rFonts w:ascii="Times New Roman" w:hAnsi="Times New Roman"/>
          <w:sz w:val="20"/>
        </w:rPr>
      </w:pPr>
      <w:r>
        <w:rPr>
          <w:rFonts w:ascii="Times New Roman" w:hAnsi="Times New Roman"/>
          <w:b/>
          <w:sz w:val="20"/>
        </w:rPr>
        <w:t>Revenue</w:t>
      </w:r>
      <w:r>
        <w:rPr>
          <w:rFonts w:ascii="Times New Roman" w:hAnsi="Times New Roman"/>
          <w:sz w:val="20"/>
        </w:rPr>
        <w:t xml:space="preserve"> was RMB31.3 billion ($4.62 billion), decreasing 2% quarter over quarter and 4% year over year. </w:t>
      </w:r>
      <w:r>
        <w:rPr>
          <w:rFonts w:ascii="Times New Roman" w:hAnsi="Times New Roman"/>
          <w:b/>
          <w:sz w:val="20"/>
        </w:rPr>
        <w:t>Revenue from Baidu General Business</w:t>
      </w:r>
      <w:r>
        <w:rPr>
          <w:rFonts w:ascii="Times New Roman" w:hAnsi="Times New Roman"/>
          <w:sz w:val="20"/>
        </w:rPr>
        <w:t xml:space="preserve"> was RMB25.2 billion ($3.71 billion), decreasing 3% quarter over quarter and 4% year over year. </w:t>
      </w:r>
      <w:r>
        <w:rPr>
          <w:rFonts w:ascii="Times New Roman" w:hAnsi="Times New Roman"/>
          <w:b/>
          <w:sz w:val="20"/>
        </w:rPr>
        <w:t>Revenue from iQIYI</w:t>
      </w:r>
      <w:r>
        <w:rPr>
          <w:rFonts w:ascii="Times New Roman" w:hAnsi="Times New Roman"/>
          <w:sz w:val="20"/>
        </w:rPr>
        <w:t xml:space="preserve"> was RMB6.3 billion ($927 million), increasing 1% quarter over quarter and decreasing 5% year over year. </w:t>
      </w:r>
    </w:p>
    <w:p>
      <w:pPr>
        <w:pStyle w:val="TextBody"/>
        <w:bidi w:val="0"/>
        <w:spacing w:before="240" w:after="0"/>
        <w:jc w:val="left"/>
        <w:rPr>
          <w:rFonts w:ascii="Times New Roman" w:hAnsi="Times New Roman"/>
          <w:sz w:val="20"/>
        </w:rPr>
      </w:pPr>
      <w:r>
        <w:rPr>
          <w:rFonts w:ascii="Times New Roman" w:hAnsi="Times New Roman"/>
          <w:b/>
          <w:sz w:val="20"/>
        </w:rPr>
        <w:t>Cost of revenue</w:t>
      </w:r>
      <w:r>
        <w:rPr>
          <w:rFonts w:ascii="Times New Roman" w:hAnsi="Times New Roman"/>
          <w:sz w:val="20"/>
        </w:rPr>
        <w:t xml:space="preserve"> was RMB19.1 billion ($2.82 billion), decreasing 3% quarter over quarter, primarily due to a decrease in costs related to AI Cloud business, partially offset by an increase in traffic acquisition costs, and increasing 4% year over year, primarily due to increases in costs related to AI Cloud business. </w:t>
      </w:r>
    </w:p>
    <w:p>
      <w:pPr>
        <w:pStyle w:val="TextBody"/>
        <w:bidi w:val="0"/>
        <w:spacing w:before="240" w:after="0"/>
        <w:jc w:val="left"/>
        <w:rPr>
          <w:rFonts w:ascii="Times New Roman" w:hAnsi="Times New Roman"/>
          <w:sz w:val="20"/>
        </w:rPr>
      </w:pPr>
      <w:r>
        <w:rPr>
          <w:rFonts w:ascii="Times New Roman" w:hAnsi="Times New Roman"/>
          <w:b/>
          <w:sz w:val="20"/>
        </w:rPr>
        <w:t xml:space="preserve">Selling, general and administrative expenses </w:t>
      </w:r>
      <w:r>
        <w:rPr>
          <w:rFonts w:ascii="Times New Roman" w:hAnsi="Times New Roman"/>
          <w:sz w:val="20"/>
        </w:rPr>
        <w:t xml:space="preserve">were RMB4.6 billion ($677 million), decreasing 6% quarter over quarter and 23% year over year. The year over year decrease was primarily due to decreases in expected credit losses and channel spending expenses. </w:t>
      </w:r>
    </w:p>
    <w:p>
      <w:pPr>
        <w:pStyle w:val="TextBody"/>
        <w:bidi w:val="0"/>
        <w:spacing w:before="240" w:after="0"/>
        <w:jc w:val="left"/>
        <w:rPr>
          <w:rFonts w:ascii="Times New Roman" w:hAnsi="Times New Roman"/>
          <w:sz w:val="20"/>
        </w:rPr>
      </w:pPr>
      <w:r>
        <w:rPr>
          <w:rFonts w:ascii="Times New Roman" w:hAnsi="Times New Roman"/>
          <w:b/>
          <w:sz w:val="20"/>
        </w:rPr>
        <w:t xml:space="preserve">Research and development expenses </w:t>
      </w:r>
      <w:r>
        <w:rPr>
          <w:rFonts w:ascii="Times New Roman" w:hAnsi="Times New Roman"/>
          <w:sz w:val="20"/>
        </w:rPr>
        <w:t xml:space="preserve">were RMB4.6 billion ($679 million), increasing 5% quarter over quarter and decreasing 10% year over year, both of which were primarily due to fluctuations in personnel-related expenses. </w:t>
      </w:r>
    </w:p>
    <w:p>
      <w:pPr>
        <w:pStyle w:val="TextBody"/>
        <w:bidi w:val="0"/>
        <w:spacing w:before="240" w:after="0"/>
        <w:jc w:val="left"/>
        <w:rPr>
          <w:rFonts w:ascii="Times New Roman" w:hAnsi="Times New Roman"/>
          <w:sz w:val="20"/>
        </w:rPr>
      </w:pPr>
      <w:r>
        <w:rPr>
          <w:rFonts w:ascii="Times New Roman" w:hAnsi="Times New Roman"/>
          <w:b/>
          <w:sz w:val="20"/>
        </w:rPr>
        <w:t>Operating income</w:t>
      </w:r>
      <w:r>
        <w:rPr>
          <w:rFonts w:ascii="Times New Roman" w:hAnsi="Times New Roman"/>
          <w:sz w:val="20"/>
        </w:rPr>
        <w:t xml:space="preserve"> was RMB3.0 billion ($446 million) and </w:t>
      </w:r>
      <w:r>
        <w:rPr>
          <w:rFonts w:ascii="Times New Roman" w:hAnsi="Times New Roman"/>
          <w:b/>
          <w:sz w:val="20"/>
        </w:rPr>
        <w:t>operating margin</w:t>
      </w:r>
      <w:r>
        <w:rPr>
          <w:rFonts w:ascii="Times New Roman" w:hAnsi="Times New Roman"/>
          <w:sz w:val="20"/>
        </w:rPr>
        <w:t xml:space="preserve"> was 10%. </w:t>
      </w:r>
      <w:r>
        <w:rPr>
          <w:rFonts w:ascii="Times New Roman" w:hAnsi="Times New Roman"/>
          <w:b/>
          <w:sz w:val="20"/>
        </w:rPr>
        <w:t>Non-GAAP operating income</w:t>
      </w:r>
      <w:r>
        <w:rPr>
          <w:rFonts w:ascii="Times New Roman" w:hAnsi="Times New Roman"/>
          <w:sz w:val="20"/>
        </w:rPr>
        <w:t xml:space="preserve"> was RMB3.8 billion ($558 million) and </w:t>
      </w:r>
      <w:r>
        <w:rPr>
          <w:rFonts w:ascii="Times New Roman" w:hAnsi="Times New Roman"/>
          <w:b/>
          <w:sz w:val="20"/>
        </w:rPr>
        <w:t>non-GAAP operating margin</w:t>
      </w:r>
      <w:r>
        <w:rPr>
          <w:rFonts w:ascii="Times New Roman" w:hAnsi="Times New Roman"/>
          <w:sz w:val="20"/>
        </w:rPr>
        <w:t xml:space="preserve"> was 12%. </w:t>
      </w:r>
    </w:p>
    <w:p>
      <w:pPr>
        <w:pStyle w:val="TextBody"/>
        <w:bidi w:val="0"/>
        <w:spacing w:before="240" w:after="0"/>
        <w:jc w:val="left"/>
        <w:rPr>
          <w:rFonts w:ascii="Times New Roman" w:hAnsi="Times New Roman"/>
          <w:sz w:val="20"/>
        </w:rPr>
      </w:pPr>
      <w:r>
        <w:rPr>
          <w:rFonts w:ascii="Times New Roman" w:hAnsi="Times New Roman"/>
          <w:b/>
          <w:sz w:val="20"/>
        </w:rPr>
        <w:t xml:space="preserve">Total other income, net </w:t>
      </w:r>
      <w:r>
        <w:rPr>
          <w:rFonts w:ascii="Times New Roman" w:hAnsi="Times New Roman"/>
          <w:sz w:val="20"/>
        </w:rPr>
        <w:t xml:space="preserve">was RMB184 million ($27 million), compared to RMB626 million last quarter and RMB4.9 billion for the same period last year. The year over year decrease was primarily due to a decrease in fair value gain from long-term investments and an increase in net foreign exchange loss arising from exchange rate fluctuation between Renminbi and U.S. dollar.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Income tax expense </w:t>
      </w:r>
      <w:r>
        <w:rPr>
          <w:rFonts w:ascii="Times New Roman" w:hAnsi="Times New Roman"/>
          <w:sz w:val="20"/>
        </w:rPr>
        <w:t xml:space="preserve">was RMB1.0 billion ($147 million), compared to RMB528 million last quarter and RMB881 million for the same period last year. </w:t>
      </w:r>
    </w:p>
    <w:p>
      <w:pPr>
        <w:pStyle w:val="TextBody"/>
        <w:bidi w:val="0"/>
        <w:spacing w:before="240" w:after="0"/>
        <w:jc w:val="left"/>
        <w:rPr>
          <w:rFonts w:ascii="Times New Roman" w:hAnsi="Times New Roman"/>
          <w:sz w:val="20"/>
        </w:rPr>
      </w:pPr>
      <w:r>
        <w:rPr>
          <w:rFonts w:ascii="Times New Roman" w:hAnsi="Times New Roman"/>
          <w:b/>
          <w:sz w:val="20"/>
        </w:rPr>
        <w:t>Net income attributable to Baidu</w:t>
      </w:r>
      <w:r>
        <w:rPr>
          <w:rFonts w:ascii="Times New Roman" w:hAnsi="Times New Roman"/>
          <w:sz w:val="20"/>
        </w:rPr>
        <w:t xml:space="preserve"> was RMB2.3 billion ($342 million), </w:t>
      </w:r>
      <w:r>
        <w:rPr>
          <w:rFonts w:ascii="Times New Roman" w:hAnsi="Times New Roman"/>
          <w:b/>
          <w:sz w:val="20"/>
        </w:rPr>
        <w:t>net margin for Baidu</w:t>
      </w:r>
      <w:r>
        <w:rPr>
          <w:rFonts w:ascii="Times New Roman" w:hAnsi="Times New Roman"/>
          <w:sz w:val="20"/>
        </w:rPr>
        <w:t xml:space="preserve"> was 7% and </w:t>
      </w:r>
      <w:r>
        <w:rPr>
          <w:rFonts w:ascii="Times New Roman" w:hAnsi="Times New Roman"/>
          <w:b/>
          <w:sz w:val="20"/>
        </w:rPr>
        <w:t>diluted earnings per ADS</w:t>
      </w:r>
      <w:r>
        <w:rPr>
          <w:rFonts w:ascii="Times New Roman" w:hAnsi="Times New Roman"/>
          <w:sz w:val="20"/>
        </w:rPr>
        <w:t xml:space="preserve"> was RMB5.74 ($0.85). </w:t>
      </w:r>
      <w:r>
        <w:rPr>
          <w:rFonts w:ascii="Times New Roman" w:hAnsi="Times New Roman"/>
          <w:b/>
          <w:sz w:val="20"/>
        </w:rPr>
        <w:t>Non-GAAP net income attributable to Baidu</w:t>
      </w:r>
      <w:r>
        <w:rPr>
          <w:rFonts w:ascii="Times New Roman" w:hAnsi="Times New Roman"/>
          <w:sz w:val="20"/>
        </w:rPr>
        <w:t xml:space="preserve"> was RMB2.6 billion ($379 million), </w:t>
      </w:r>
      <w:r>
        <w:rPr>
          <w:rFonts w:ascii="Times New Roman" w:hAnsi="Times New Roman"/>
          <w:b/>
          <w:sz w:val="20"/>
        </w:rPr>
        <w:t>non-GAAP net margin for Baidu</w:t>
      </w:r>
      <w:r>
        <w:rPr>
          <w:rFonts w:ascii="Times New Roman" w:hAnsi="Times New Roman"/>
          <w:sz w:val="20"/>
        </w:rPr>
        <w:t xml:space="preserve"> was 8% and </w:t>
      </w:r>
      <w:r>
        <w:rPr>
          <w:rFonts w:ascii="Times New Roman" w:hAnsi="Times New Roman"/>
          <w:b/>
          <w:sz w:val="20"/>
        </w:rPr>
        <w:t>non-GAAP diluted earnings per ADS</w:t>
      </w:r>
      <w:r>
        <w:rPr>
          <w:rFonts w:ascii="Times New Roman" w:hAnsi="Times New Roman"/>
          <w:sz w:val="20"/>
        </w:rPr>
        <w:t xml:space="preserve"> was RMB7.22 ($1.06). </w:t>
      </w:r>
    </w:p>
    <w:p>
      <w:pPr>
        <w:pStyle w:val="TextBody"/>
        <w:bidi w:val="0"/>
        <w:spacing w:before="240" w:after="0"/>
        <w:jc w:val="left"/>
        <w:rPr>
          <w:rFonts w:ascii="Times New Roman" w:hAnsi="Times New Roman"/>
          <w:sz w:val="20"/>
        </w:rPr>
      </w:pPr>
      <w:r>
        <w:rPr>
          <w:rFonts w:ascii="Times New Roman" w:hAnsi="Times New Roman"/>
          <w:b/>
          <w:sz w:val="20"/>
        </w:rPr>
        <w:t>Adjusted EBITDA</w:t>
      </w:r>
      <w:r>
        <w:rPr>
          <w:rFonts w:ascii="Times New Roman" w:hAnsi="Times New Roman"/>
          <w:sz w:val="20"/>
        </w:rPr>
        <w:t xml:space="preserve"> was RMB6.2 billion ($906 million) and </w:t>
      </w:r>
      <w:r>
        <w:rPr>
          <w:rFonts w:ascii="Times New Roman" w:hAnsi="Times New Roman"/>
          <w:b/>
          <w:sz w:val="20"/>
        </w:rPr>
        <w:t>adjusted EBITDA margin</w:t>
      </w:r>
      <w:r>
        <w:rPr>
          <w:rFonts w:ascii="Times New Roman" w:hAnsi="Times New Roman"/>
          <w:sz w:val="20"/>
        </w:rPr>
        <w:t xml:space="preserve"> was 20%. </w:t>
      </w:r>
    </w:p>
    <w:p>
      <w:pPr>
        <w:pStyle w:val="TextBody"/>
        <w:bidi w:val="0"/>
        <w:spacing w:before="240" w:after="0"/>
        <w:jc w:val="left"/>
        <w:rPr>
          <w:rFonts w:ascii="Times New Roman" w:hAnsi="Times New Roman"/>
          <w:sz w:val="20"/>
        </w:rPr>
      </w:pPr>
      <w:r>
        <w:rPr>
          <w:rFonts w:ascii="Times New Roman" w:hAnsi="Times New Roman"/>
          <w:sz w:val="20"/>
        </w:rPr>
        <w:t xml:space="preserve">We define total cash and investments as cash, cash equivalents, restricted cash, short-term investments, net, long-term time deposits and held-to-maturity investments, and adjusted long-term investments. As of June 30, 2026, </w:t>
      </w:r>
      <w:r>
        <w:rPr>
          <w:rFonts w:ascii="Times New Roman" w:hAnsi="Times New Roman"/>
          <w:b/>
          <w:sz w:val="20"/>
        </w:rPr>
        <w:t>total</w:t>
      </w:r>
      <w:r>
        <w:rPr>
          <w:rFonts w:ascii="Times New Roman" w:hAnsi="Times New Roman"/>
          <w:sz w:val="20"/>
        </w:rPr>
        <w:t xml:space="preserve"> </w:t>
      </w:r>
      <w:r>
        <w:rPr>
          <w:rFonts w:ascii="Times New Roman" w:hAnsi="Times New Roman"/>
          <w:b/>
          <w:sz w:val="20"/>
        </w:rPr>
        <w:t>cash and investments</w:t>
      </w:r>
      <w:r>
        <w:rPr>
          <w:rFonts w:ascii="Times New Roman" w:hAnsi="Times New Roman"/>
          <w:sz w:val="20"/>
        </w:rPr>
        <w:t xml:space="preserve"> were RMB283.1 billion ($41.72 billion). </w:t>
      </w:r>
      <w:r>
        <w:rPr>
          <w:rFonts w:ascii="Times New Roman" w:hAnsi="Times New Roman"/>
          <w:b/>
          <w:sz w:val="20"/>
        </w:rPr>
        <w:t>Operating cash flow</w:t>
      </w:r>
      <w:r>
        <w:rPr>
          <w:rFonts w:ascii="Times New Roman" w:hAnsi="Times New Roman"/>
          <w:sz w:val="20"/>
        </w:rPr>
        <w:t xml:space="preserve"> was RMB3.4 billion ($506 million). </w:t>
      </w:r>
    </w:p>
    <w:p>
      <w:pPr>
        <w:pStyle w:val="TextBody"/>
        <w:bidi w:val="0"/>
        <w:spacing w:before="240" w:after="0"/>
        <w:jc w:val="left"/>
        <w:rPr>
          <w:rFonts w:ascii="Times New Roman" w:hAnsi="Times New Roman"/>
          <w:sz w:val="20"/>
        </w:rPr>
      </w:pPr>
      <w:r>
        <w:rPr>
          <w:rFonts w:ascii="Times New Roman" w:hAnsi="Times New Roman"/>
          <w:sz w:val="20"/>
        </w:rPr>
        <w:t xml:space="preserve">For detailed financial information of Baidu General Business and iQIYI, please see the appended financial tables.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the Composition of 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Primary Conversion, the board of directors of the Company (the “Board”) has approved the following changes to the composition of the committees of the Board, with effect from the date on which the Primary Conversion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Mr. Yuanqing Yang, an independent director of the Company, will be appointed as an additional member of the audit committee of the Board. Following such appointment, the audit committee will comprise Ms. Xiaodan Liu (chairperson), Mr. Jixun Foo and Mr. Yuanqing Yang. </w:t>
      </w:r>
    </w:p>
    <w:p>
      <w:pPr>
        <w:pStyle w:val="TextBody"/>
        <w:bidi w:val="0"/>
        <w:spacing w:before="240" w:after="0"/>
        <w:jc w:val="left"/>
        <w:rPr>
          <w:rFonts w:ascii="Times New Roman" w:hAnsi="Times New Roman"/>
          <w:sz w:val="20"/>
        </w:rPr>
      </w:pPr>
      <w:r>
        <w:rPr>
          <w:rFonts w:ascii="Times New Roman" w:hAnsi="Times New Roman"/>
          <w:sz w:val="20"/>
        </w:rPr>
        <w:t xml:space="preserve">Ms. Xiaodan Liu, an independent director of the Company, will be appointed as an additional member of the corporate governance and nominating committee of the Board. Following such appointment, the corporate governance and nominating committee will comprise Mr. Jixun Foo (chairperson), Mr. Yuanqing Yang and Ms. Xiaodan Liu.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Baidu’s management will hold an earnings conference call at 8:00 AM on Aug 18, 2026, U.S. Eastern Time (8:00 PM on Aug 18, 2026, Beijing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register in advance of the conference call using the link provided below. It will automatically direct you to the registration page of “Baidu Inc. Q2 2026 Earnings Conference Call”. Please follow the steps to enter your registration details, then click “Register”. Upon registering, you will then be provided with the dial-in number, the passcode, and your unique access PIN. This information will also be emailed to you as a calendar invite. </w:t>
      </w:r>
    </w:p>
    <w:p>
      <w:pPr>
        <w:pStyle w:val="TextBody"/>
        <w:bidi w:val="0"/>
        <w:spacing w:before="240" w:after="0"/>
        <w:jc w:val="left"/>
        <w:rPr>
          <w:rFonts w:ascii="Times New Roman" w:hAnsi="Times New Roman"/>
          <w:sz w:val="20"/>
        </w:rPr>
      </w:pPr>
      <w:r>
        <w:rPr>
          <w:rFonts w:ascii="Times New Roman" w:hAnsi="Times New Roman"/>
          <w:sz w:val="20"/>
        </w:rPr>
        <w:t xml:space="preserve">For pre-registration, please click: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https://s1.c-conf.com/diamondpass/10056174-8o7ckp.html </w:t>
      </w:r>
    </w:p>
    <w:p>
      <w:pPr>
        <w:pStyle w:val="TextBody"/>
        <w:bidi w:val="0"/>
        <w:spacing w:before="120" w:after="0"/>
        <w:jc w:val="left"/>
        <w:rPr>
          <w:rFonts w:ascii="Times New Roman" w:hAnsi="Times New Roman"/>
          <w:sz w:val="20"/>
        </w:rPr>
      </w:pPr>
      <w:r>
        <w:rPr>
          <w:rFonts w:ascii="Times New Roman" w:hAnsi="Times New Roman"/>
          <w:sz w:val="20"/>
        </w:rPr>
        <w:t xml:space="preserve">In the 10 minutes prior to the call start time, you may use the conference access information (including dial-in number(s), the passcode and unique access PIN) provided in the calendar invite that you have received following your pre-registration.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live and archived webcast of this conference call will be available at https://ir.baidu.com.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HKEX under “9888”. One Baidu ADS represents eight Class A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Relations, Baidu, Inc. </w:t>
      </w:r>
    </w:p>
    <w:p>
      <w:pPr>
        <w:pStyle w:val="TextBody"/>
        <w:bidi w:val="0"/>
        <w:spacing w:before="0" w:after="0"/>
        <w:jc w:val="left"/>
        <w:rPr>
          <w:rFonts w:ascii="Times New Roman" w:hAnsi="Times New Roman"/>
          <w:sz w:val="20"/>
        </w:rPr>
      </w:pPr>
      <w:r>
        <w:rPr>
          <w:rFonts w:ascii="Times New Roman" w:hAnsi="Times New Roman"/>
          <w:sz w:val="20"/>
        </w:rPr>
        <w:t xml:space="preserve">Tel: +86-10-5992-8888 </w:t>
      </w:r>
    </w:p>
    <w:p>
      <w:pPr>
        <w:pStyle w:val="TextBody"/>
        <w:bidi w:val="0"/>
        <w:spacing w:before="0" w:after="0"/>
        <w:jc w:val="left"/>
        <w:rPr>
          <w:rFonts w:ascii="Times New Roman" w:hAnsi="Times New Roman"/>
          <w:sz w:val="20"/>
        </w:rPr>
      </w:pPr>
      <w:r>
        <w:rPr>
          <w:rFonts w:ascii="Times New Roman" w:hAnsi="Times New Roman"/>
          <w:sz w:val="20"/>
        </w:rPr>
        <w:t xml:space="preserve">Email: ir@baidu.com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Baidu’s and other parties’ strategic and operational plans, contain forward-looking statements. Baidu may also make written or oral forward-looking statements in its periodic reports to the U.S. Securities and Exchange Commission,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Securities and Exchange Commission, and announcements on the website of the Hong Kong Stock Exchange. Baidu does not undertake any obligation to update any forward-looking statement, except as required under applicable law. All information provided in this press release and in the attachments is as of the date of the press release, and Baidu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Baidu’s consolidated financial results presented in accordance with GAAP, Baidu uses the following non-GAAP financial measures: non-GAAP operating income, non-GAAP operating margin, non-GAAP net income attributable to Baidu, non-GAAP net margin, non-GAAP diluted earnings per ADS, adjusted EBITDA, adjusted EBITDA margin, adjusted long-term investments and free cash flow. The presentation of these non-GAAP financial measures is not intended to be considered in isolation or as a substitute for the financial information prepared and presented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Baidu believes that these non-GAAP financial measures provide meaningful supplemental information regarding its performance and liquidity by excluding certain items that may not be indicative of its recurring core business operating results, such as operating performance excluding non-cash charges or non-operating in nature. The Company believes that both management and investors benefit from referring to these non-GAAP financial measures in assessing its performance and when planning and forecasting future periods. These non-GAAP financial measures also facilitate management’s internal comparisons to Baidu’s historical performance and liquidity. The Company believes these non-GAAP financial measures are useful to investors in allowing for greater transparency with respect to supplemental information used by management in its financial and operational decision making. A limitation of using these non-GAAP financial measures is that these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Non-GAAP operating income represents operating income excluding share-based compensation expenses, and amortization and impairment of intangible assets resulting from business combinations. </w:t>
      </w:r>
    </w:p>
    <w:p>
      <w:pPr>
        <w:pStyle w:val="TextBody"/>
        <w:bidi w:val="0"/>
        <w:spacing w:before="240" w:after="0"/>
        <w:jc w:val="left"/>
        <w:rPr>
          <w:rFonts w:ascii="Times New Roman" w:hAnsi="Times New Roman"/>
          <w:sz w:val="20"/>
        </w:rPr>
      </w:pPr>
      <w:r>
        <w:rPr>
          <w:rFonts w:ascii="Times New Roman" w:hAnsi="Times New Roman"/>
          <w:sz w:val="20"/>
        </w:rPr>
        <w:t xml:space="preserve">Non-GAAP net income attributable to Baidu represents net income attributable to Baidu excluding share-based compensation expenses, amortization and impairment of intangible assets resulting from business combinations, disposal gain or loss, impairment of long-term investments, and fair value gain or loss of long-term investments and exchangeable bonds, adjusted for related income tax effects. Baidu’s share of equity method investments for these non-GAAP reconciling items, amortization and impairment of intangible assets not on the investees’ books, accretion of their redeemable non-controlling interests, and the gain or loss associated with the issuance of shares by the investees at a price higher or lower than the carrying value per share, adjusted for related income tax effects, are also excluded. </w:t>
      </w:r>
    </w:p>
    <w:p>
      <w:pPr>
        <w:pStyle w:val="TextBody"/>
        <w:bidi w:val="0"/>
        <w:spacing w:before="240" w:after="0"/>
        <w:jc w:val="left"/>
        <w:rPr>
          <w:rFonts w:ascii="Times New Roman" w:hAnsi="Times New Roman"/>
          <w:sz w:val="20"/>
        </w:rPr>
      </w:pPr>
      <w:r>
        <w:rPr>
          <w:rFonts w:ascii="Times New Roman" w:hAnsi="Times New Roman"/>
          <w:sz w:val="20"/>
        </w:rPr>
        <w:t xml:space="preserve">Non-GAAP diluted earnings per ADS represents diluted earnings per ADS calculated by dividing non-GAAP net income attributable to Baidu, by the weighted average number of ordinary shares expressed in ADS. Adjusted EBITDA represents non-GAAP operating income excluding depreciation of fixed assets, and amortization of intangible assets excluding those resulting from business combinations. Adjusted long-term investments represent long-term investments, net, with publicly listed equity method investments adjusted to fair value based on quoted market prices.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non-GAAP financial measures, please see the tables captioned “Reconciliations of non-GAAP financial measures to the nearest comparable GAAP measure.”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Baidu,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Statements of Income </w:t>
      </w:r>
    </w:p>
    <w:p>
      <w:pPr>
        <w:pStyle w:val="TextBody"/>
        <w:bidi w:val="0"/>
        <w:spacing w:before="0" w:after="0"/>
        <w:jc w:val="left"/>
        <w:rPr>
          <w:rFonts w:ascii="Times New Roman" w:hAnsi="Times New Roman"/>
          <w:sz w:val="20"/>
        </w:rPr>
      </w:pPr>
      <w:r>
        <w:rPr>
          <w:rFonts w:ascii="Times New Roman" w:hAnsi="Times New Roman"/>
          <w:sz w:val="20"/>
        </w:rPr>
        <w:t xml:space="preserve">(In millions except for per share (or ADS) information,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5"/>
        <w:gridCol w:w="137"/>
        <w:gridCol w:w="66"/>
        <w:gridCol w:w="753"/>
        <w:gridCol w:w="155"/>
        <w:gridCol w:w="78"/>
        <w:gridCol w:w="81"/>
        <w:gridCol w:w="929"/>
        <w:gridCol w:w="155"/>
        <w:gridCol w:w="77"/>
        <w:gridCol w:w="66"/>
        <w:gridCol w:w="753"/>
        <w:gridCol w:w="155"/>
        <w:gridCol w:w="78"/>
        <w:gridCol w:w="78"/>
        <w:gridCol w:w="741"/>
        <w:gridCol w:w="155"/>
        <w:gridCol w:w="78"/>
        <w:gridCol w:w="65"/>
        <w:gridCol w:w="753"/>
        <w:gridCol w:w="155"/>
        <w:gridCol w:w="78"/>
        <w:gridCol w:w="66"/>
        <w:gridCol w:w="753"/>
        <w:gridCol w:w="155"/>
        <w:gridCol w:w="78"/>
        <w:gridCol w:w="78"/>
        <w:gridCol w:w="740"/>
        <w:gridCol w:w="164"/>
      </w:tblGrid>
      <w:tr>
        <w:trPr/>
        <w:tc>
          <w:tcPr>
            <w:tcW w:w="258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16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9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4"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center"/>
              <w:rPr>
                <w:b/>
              </w:rPr>
            </w:pPr>
            <w:r>
              <w:rPr>
                <w:b/>
              </w:rPr>
              <w:t>March 31,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8"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8" w:type="dxa"/>
            <w:gridSpan w:val="2"/>
            <w:tcBorders/>
            <w:vAlign w:val="bottom"/>
          </w:tcPr>
          <w:p>
            <w:pPr>
              <w:pStyle w:val="TableContents"/>
              <w:bidi w:val="0"/>
              <w:spacing w:before="0" w:after="283"/>
              <w:jc w:val="center"/>
              <w:rPr>
                <w:b/>
              </w:rPr>
            </w:pPr>
            <w:r>
              <w:rPr>
                <w:b/>
              </w:rPr>
              <w:t>June 30,</w:t>
            </w:r>
          </w:p>
        </w:tc>
        <w:tc>
          <w:tcPr>
            <w:tcW w:w="164"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center"/>
              <w:rPr>
                <w:b/>
              </w:rPr>
            </w:pPr>
            <w:r>
              <w:rPr>
                <w:b/>
              </w:rPr>
              <w:t>US$(2)</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8"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8" w:type="dxa"/>
            <w:gridSpan w:val="2"/>
            <w:tcBorders/>
            <w:vAlign w:val="bottom"/>
          </w:tcPr>
          <w:p>
            <w:pPr>
              <w:pStyle w:val="TableContents"/>
              <w:bidi w:val="0"/>
              <w:spacing w:before="0" w:after="283"/>
              <w:jc w:val="center"/>
              <w:rPr>
                <w:b/>
              </w:rPr>
            </w:pPr>
            <w:r>
              <w:rPr>
                <w:b/>
              </w:rPr>
              <w:t>US$(2)</w:t>
            </w:r>
          </w:p>
        </w:tc>
        <w:tc>
          <w:tcPr>
            <w:tcW w:w="164"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Revenue</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32,713</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b/>
              </w:rPr>
            </w:pPr>
            <w:r>
              <w:rPr>
                <w:b/>
              </w:rPr>
              <w:t>32,075</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31,325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4,617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65,165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63,400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9,344</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16"/>
              </w:rPr>
            </w:pPr>
            <w:r>
              <w:rPr>
                <w:rFonts w:ascii="Times New Roman" w:hAnsi="Times New Roman"/>
                <w:b/>
                <w:sz w:val="16"/>
              </w:rPr>
              <w:t>Costs and expenses:</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Cost of revenue(1)</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18,357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19,589</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19,098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2,815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35,844</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38,687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5,702</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Selling, general and administrative(1)</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5,960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4,912</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4,596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677</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11,873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9,508</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1,401</w:t>
            </w:r>
          </w:p>
        </w:tc>
        <w:tc>
          <w:tcPr>
            <w:tcW w:w="164"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Research and development(1)</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5,119</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4,381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4,607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679</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9,663</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8,988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1,325</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Total costs and expenses</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b/>
              </w:rPr>
            </w:pPr>
            <w:r>
              <w:rPr>
                <w:b/>
              </w:rPr>
              <w:t>29,436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b/>
              </w:rPr>
            </w:pPr>
            <w:r>
              <w:rPr>
                <w:b/>
              </w:rPr>
              <w:t>28,882</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b/>
              </w:rPr>
            </w:pPr>
            <w:r>
              <w:rPr>
                <w:b/>
              </w:rPr>
              <w:t>28,301</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4,171</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b/>
              </w:rPr>
            </w:pPr>
            <w:r>
              <w:rPr>
                <w:b/>
              </w:rPr>
              <w:t>57,380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b/>
              </w:rPr>
            </w:pPr>
            <w:r>
              <w:rPr>
                <w:b/>
              </w:rPr>
              <w:t>57,183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8,428</w:t>
            </w:r>
          </w:p>
        </w:tc>
        <w:tc>
          <w:tcPr>
            <w:tcW w:w="164"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Operating income</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3,277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b/>
              </w:rPr>
            </w:pPr>
            <w:r>
              <w:rPr>
                <w:b/>
              </w:rPr>
              <w:t>3,193</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3,024</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446</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7,785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6,217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916</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16"/>
              </w:rPr>
            </w:pPr>
            <w:r>
              <w:rPr>
                <w:rFonts w:ascii="Times New Roman" w:hAnsi="Times New Roman"/>
                <w:b/>
                <w:sz w:val="16"/>
              </w:rPr>
              <w:t>Other income:</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income</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1,957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1,963</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1,685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248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4,621</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3,648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538</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Interest expense</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(701</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(636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(608</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(90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(1,502</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(1,244</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(183</w:t>
            </w:r>
          </w:p>
        </w:tc>
        <w:tc>
          <w:tcPr>
            <w:tcW w:w="164"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Foreign exchange loss, net</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(621</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(989</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(1,160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(171</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(831</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(2,149</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(317</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Share of earnings from equity method investments</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694</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536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357</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1,268</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893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132</w:t>
            </w:r>
          </w:p>
        </w:tc>
        <w:tc>
          <w:tcPr>
            <w:tcW w:w="164"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Others, net</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3,534</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(248</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5,794</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(338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(50</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Total other income, net</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b/>
              </w:rPr>
            </w:pPr>
            <w:r>
              <w:rPr>
                <w:b/>
              </w:rPr>
              <w:t>4,863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b/>
              </w:rPr>
            </w:pPr>
            <w:r>
              <w:rPr>
                <w:b/>
              </w:rPr>
              <w:t>626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b/>
              </w:rPr>
            </w:pPr>
            <w:r>
              <w:rPr>
                <w:b/>
              </w:rPr>
              <w:t>184</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27</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b/>
              </w:rPr>
            </w:pPr>
            <w:r>
              <w:rPr>
                <w:b/>
              </w:rPr>
              <w:t>9,350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b/>
              </w:rPr>
            </w:pPr>
            <w:r>
              <w:rPr>
                <w:b/>
              </w:rPr>
              <w:t>810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120</w:t>
            </w:r>
          </w:p>
        </w:tc>
        <w:tc>
          <w:tcPr>
            <w:tcW w:w="164"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Income before income taxes</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8,140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b/>
              </w:rPr>
            </w:pPr>
            <w:r>
              <w:rPr>
                <w:b/>
              </w:rPr>
              <w:t>3,819</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3,208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473</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17,135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7,027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1,036</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Income tax expense</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881</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528</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2,058</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1,528</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225</w:t>
            </w:r>
          </w:p>
        </w:tc>
        <w:tc>
          <w:tcPr>
            <w:tcW w:w="164"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Net income</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7,2 59</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b/>
              </w:rPr>
            </w:pPr>
            <w:r>
              <w:rPr>
                <w:b/>
              </w:rPr>
              <w:t>3,291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2,208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326</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15,077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5,499</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811</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Net income (loss) attributable to noncontrolling interests</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(63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(154</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(265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(39</w:t>
            </w:r>
          </w:p>
        </w:tc>
        <w:tc>
          <w:tcPr>
            <w:tcW w:w="164"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Net income attributable to Baidu</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7,322</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b/>
              </w:rPr>
            </w:pPr>
            <w:r>
              <w:rPr>
                <w:b/>
              </w:rPr>
              <w:t>3,445</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2,319</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342</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15,039</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b/>
              </w:rPr>
            </w:pPr>
            <w:r>
              <w:rPr>
                <w:b/>
              </w:rPr>
              <w:t>5,764</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850</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Earnings per ADS (1 ADS representing 8 Class A ordinary shares):</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20.90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9.38</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0.90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42.76</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15.46</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2.28</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20.35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5.74</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0.85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41.95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14.50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2.14</w:t>
            </w:r>
          </w:p>
        </w:tc>
        <w:tc>
          <w:tcPr>
            <w:tcW w:w="164"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Earnings per share for Class A and Class B ordinary shares:</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9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0.76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0.11</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1.93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0.28</w:t>
            </w:r>
          </w:p>
        </w:tc>
        <w:tc>
          <w:tcPr>
            <w:tcW w:w="164"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2.54</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0.72</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0.11</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5.24</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0.27</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Weighted average number of Class A and Class B ordinary shares outstanding (in millions):</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2,720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2,721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2,716</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2,716</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2,735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2,719</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2,719</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2,730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2,764</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2,755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2,755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2,746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2,760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2,760</w:t>
            </w:r>
          </w:p>
        </w:tc>
        <w:tc>
          <w:tcPr>
            <w:tcW w:w="164" w:type="dxa"/>
            <w:tcBorders/>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t>(1) Includes share-based compensation expenses as follows:</w:t>
            </w:r>
          </w:p>
          <w:p>
            <w:pPr>
              <w:pStyle w:val="TableContents"/>
              <w:bidi w:val="0"/>
              <w:spacing w:before="0" w:after="20"/>
              <w:jc w:val="left"/>
              <w:rPr/>
            </w:pPr>
            <w:r>
              <w:rPr/>
              <w:t> </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Cost of revenue</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91</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197</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173</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25</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Selling, general and administrative</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276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190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589</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410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60</w:t>
            </w:r>
          </w:p>
        </w:tc>
        <w:tc>
          <w:tcPr>
            <w:tcW w:w="164"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Research and development</w:t>
            </w:r>
          </w:p>
        </w:tc>
        <w:tc>
          <w:tcPr>
            <w:tcW w:w="13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685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291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398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1,046</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689</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102</w:t>
            </w:r>
          </w:p>
        </w:tc>
        <w:tc>
          <w:tcPr>
            <w:tcW w:w="164"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6"/>
              </w:rPr>
            </w:pPr>
            <w:r>
              <w:rPr>
                <w:rFonts w:ascii="Times New Roman" w:hAnsi="Times New Roman"/>
                <w:sz w:val="16"/>
              </w:rPr>
              <w:t>Total share-based compensation expenses</w:t>
            </w:r>
          </w:p>
        </w:tc>
        <w:tc>
          <w:tcPr>
            <w:tcW w:w="13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1,081</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563</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1,832</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1,272</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187</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All translations from RMB to U.S. dollars are made at a rate of RMB6.7851 to US$1.00, the exchange rate in effect as of June 30, 2026 as set forth in the H.10 statistical release of The Board of Governors of the Federal Reserve System.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Baidu,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left"/>
        <w:rPr>
          <w:rFonts w:ascii="Times New Roman" w:hAnsi="Times New Roman"/>
          <w:sz w:val="20"/>
        </w:rPr>
      </w:pPr>
      <w:r>
        <w:rPr>
          <w:rFonts w:ascii="Times New Roman" w:hAnsi="Times New Roman"/>
          <w:sz w:val="20"/>
        </w:rPr>
        <w:t xml:space="preserve">(In millions,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81"/>
        <w:gridCol w:w="150"/>
        <w:gridCol w:w="94"/>
        <w:gridCol w:w="1268"/>
        <w:gridCol w:w="60"/>
        <w:gridCol w:w="150"/>
        <w:gridCol w:w="60"/>
        <w:gridCol w:w="818"/>
        <w:gridCol w:w="60"/>
        <w:gridCol w:w="150"/>
        <w:gridCol w:w="66"/>
        <w:gridCol w:w="783"/>
        <w:gridCol w:w="65"/>
      </w:tblGrid>
      <w:tr>
        <w:trPr/>
        <w:tc>
          <w:tcPr>
            <w:tcW w:w="6481"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4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center"/>
              <w:rPr>
                <w:b/>
              </w:rPr>
            </w:pPr>
            <w:r>
              <w:rPr>
                <w:b/>
              </w:rPr>
              <w:t>June 30,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49" w:type="dxa"/>
            <w:gridSpan w:val="2"/>
            <w:tcBorders/>
            <w:vAlign w:val="bottom"/>
          </w:tcPr>
          <w:p>
            <w:pPr>
              <w:pStyle w:val="TableContents"/>
              <w:bidi w:val="0"/>
              <w:spacing w:before="0" w:after="283"/>
              <w:jc w:val="center"/>
              <w:rPr>
                <w:b/>
              </w:rPr>
            </w:pPr>
            <w:r>
              <w:rPr>
                <w:b/>
              </w:rPr>
              <w:t>June 30,</w:t>
            </w:r>
          </w:p>
        </w:tc>
        <w:tc>
          <w:tcPr>
            <w:tcW w:w="65"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5"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49" w:type="dxa"/>
            <w:gridSpan w:val="2"/>
            <w:tcBorders/>
            <w:vAlign w:val="bottom"/>
          </w:tcPr>
          <w:p>
            <w:pPr>
              <w:pStyle w:val="TableContents"/>
              <w:bidi w:val="0"/>
              <w:spacing w:before="0" w:after="283"/>
              <w:jc w:val="center"/>
              <w:rPr>
                <w:b/>
              </w:rPr>
            </w:pPr>
            <w:r>
              <w:rPr>
                <w:b/>
              </w:rPr>
              <w:t>US$</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81"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8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24,606</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24,524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3,614</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225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170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 net</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90,661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141,727</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20,888</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12,972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13,493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1,989</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761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721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106</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22,745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26,729</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3,940</w:t>
            </w:r>
          </w:p>
        </w:tc>
        <w:tc>
          <w:tcPr>
            <w:tcW w:w="65"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b/>
              </w:rPr>
            </w:pPr>
            <w:r>
              <w:rPr>
                <w:b/>
              </w:rPr>
              <w:t>151,970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207,364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rPr>
            </w:pPr>
            <w:r>
              <w:rPr>
                <w:b/>
              </w:rPr>
              <w:t>30,562</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8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 net</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26,281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28,484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4,198</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Licensed copyrights, net</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5,963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6,068</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894</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Produced content, net</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14,575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13,903</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2,049</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3,891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4,997</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736</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36,783</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36,783</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5,421</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Long-term investments, net</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44,918</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42,855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6,316</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time deposits and held-to-maturity investments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123,862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74,311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10,952</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167</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4,582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4,480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660</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Lease right-of-use assets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9,287</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18,574</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2,737</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26,878</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31,969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4,713</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b/>
              </w:rPr>
            </w:pPr>
            <w:r>
              <w:rPr>
                <w:b/>
              </w:rPr>
              <w:t>297,187</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262,568</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b/>
              </w:rPr>
            </w:pPr>
            <w:r>
              <w:rPr>
                <w:b/>
              </w:rPr>
              <w:t>38,697</w:t>
            </w:r>
          </w:p>
        </w:tc>
        <w:tc>
          <w:tcPr>
            <w:tcW w:w="65"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b/>
              </w:rPr>
            </w:pPr>
            <w:r>
              <w:rPr>
                <w:b/>
              </w:rPr>
              <w:t>449,157</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469,932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rPr>
            </w:pPr>
            <w:r>
              <w:rPr>
                <w:b/>
              </w:rPr>
              <w:t>69,259</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993" w:type="dxa"/>
            <w:gridSpan w:val="4"/>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NONCONTROLLING INTERESTS AND EQUITY</w:t>
            </w:r>
          </w:p>
        </w:tc>
        <w:tc>
          <w:tcPr>
            <w:tcW w:w="60" w:type="dxa"/>
            <w:tcBorders/>
          </w:tcPr>
          <w:p>
            <w:pPr>
              <w:pStyle w:val="TableContents"/>
              <w:bidi w:val="0"/>
              <w:spacing w:before="0" w:after="0"/>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8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4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Short-term loans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7,626</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26,311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3,878</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38,846</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40,040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5,901</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Customer deposits and deferred revenue</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13,051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12,819</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1,889</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531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431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64</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Long-term loans, current portion</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14,765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2,027</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299</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senior notes, current portion</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1,459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current portion</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4,560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2,038</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300</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1,988</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1,818</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268</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3,502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3,631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535</w:t>
            </w:r>
          </w:p>
        </w:tc>
        <w:tc>
          <w:tcPr>
            <w:tcW w:w="65"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b/>
              </w:rPr>
            </w:pPr>
            <w:r>
              <w:rPr>
                <w:b/>
              </w:rPr>
              <w:t>86,328</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89,116</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rPr>
            </w:pPr>
            <w:r>
              <w:rPr>
                <w:b/>
              </w:rPr>
              <w:t>13,134</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8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198</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152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22</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723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775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114</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4</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Long-term loans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3,369</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20,779</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3,062</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payable</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51,021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46,089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6,793</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senior notes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6,712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6,615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975</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4,985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5,426</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800</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4,885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5,406</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797</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452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66</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b/>
              </w:rPr>
            </w:pPr>
            <w:r>
              <w:rPr>
                <w:b/>
              </w:rPr>
              <w:t>73,103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85,719</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b/>
              </w:rPr>
            </w:pPr>
            <w:r>
              <w:rPr>
                <w:b/>
              </w:rPr>
              <w:t>12,633</w:t>
            </w:r>
          </w:p>
        </w:tc>
        <w:tc>
          <w:tcPr>
            <w:tcW w:w="65"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b/>
              </w:rPr>
            </w:pPr>
            <w:r>
              <w:rPr>
                <w:b/>
              </w:rPr>
              <w:t>159,431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174,835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rPr>
            </w:pPr>
            <w:r>
              <w:rPr>
                <w:b/>
              </w:rPr>
              <w:t>25,767</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Redeemable noncontrolling interests</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b/>
              </w:rPr>
            </w:pPr>
            <w:r>
              <w:rPr>
                <w:b/>
              </w:rPr>
              <w:t>13,166</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13,685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b/>
              </w:rPr>
            </w:pPr>
            <w:r>
              <w:rPr>
                <w:b/>
              </w:rPr>
              <w:t>2,017</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81" w:type="dxa"/>
            <w:tcBorders/>
          </w:tcPr>
          <w:p>
            <w:pPr>
              <w:pStyle w:val="TableContents"/>
              <w:bidi w:val="0"/>
              <w:spacing w:before="0" w:after="0"/>
              <w:jc w:val="left"/>
              <w:rPr>
                <w:rFonts w:ascii="Times New Roman" w:hAnsi="Times New Roman"/>
                <w:sz w:val="20"/>
              </w:rPr>
            </w:pPr>
            <w:r>
              <w:rPr>
                <w:rFonts w:ascii="Times New Roman" w:hAnsi="Times New Roman"/>
                <w:sz w:val="20"/>
              </w:rPr>
              <w:t>Total Baidu shareholders’ equity</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266,330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271,752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40,051</w:t>
            </w:r>
          </w:p>
        </w:tc>
        <w:tc>
          <w:tcPr>
            <w:tcW w:w="65"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10,230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9,660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1,424</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b/>
              </w:rPr>
            </w:pPr>
            <w:r>
              <w:rPr>
                <w:b/>
              </w:rPr>
              <w:t>276,560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281,412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b/>
              </w:rPr>
            </w:pPr>
            <w:r>
              <w:rPr>
                <w:b/>
              </w:rPr>
              <w:t>41,475</w:t>
            </w:r>
          </w:p>
        </w:tc>
        <w:tc>
          <w:tcPr>
            <w:tcW w:w="65"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redeemable noncontrolling interests, and equity</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b/>
              </w:rPr>
            </w:pPr>
            <w:r>
              <w:rPr>
                <w:b/>
              </w:rPr>
              <w:t>449,157</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469,932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rPr>
            </w:pPr>
            <w:r>
              <w:rPr>
                <w:b/>
              </w:rPr>
              <w:t>69,259</w:t>
            </w:r>
          </w:p>
        </w:tc>
        <w:tc>
          <w:tcPr>
            <w:tcW w:w="65"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18"/>
        </w:rPr>
      </w:pPr>
      <w:r>
        <w:rPr>
          <w:rFonts w:ascii="Times New Roman" w:hAnsi="Times New Roman"/>
          <w:b/>
          <w:sz w:val="18"/>
        </w:rPr>
        <w:t xml:space="preserve">Baidu, Inc. </w:t>
      </w:r>
    </w:p>
    <w:p>
      <w:pPr>
        <w:pStyle w:val="TextBody"/>
        <w:bidi w:val="0"/>
        <w:spacing w:before="0" w:after="0"/>
        <w:jc w:val="left"/>
        <w:rPr>
          <w:rFonts w:ascii="Times New Roman" w:hAnsi="Times New Roman"/>
          <w:b/>
          <w:sz w:val="18"/>
        </w:rPr>
      </w:pPr>
      <w:r>
        <w:rPr>
          <w:rFonts w:ascii="Times New Roman" w:hAnsi="Times New Roman"/>
          <w:b/>
          <w:sz w:val="18"/>
        </w:rPr>
        <w:t xml:space="preserve">Selected Information </w:t>
      </w:r>
    </w:p>
    <w:p>
      <w:pPr>
        <w:pStyle w:val="TextBody"/>
        <w:bidi w:val="0"/>
        <w:spacing w:before="0" w:after="0"/>
        <w:jc w:val="left"/>
        <w:rPr>
          <w:rFonts w:ascii="Times New Roman" w:hAnsi="Times New Roman"/>
          <w:sz w:val="18"/>
        </w:rPr>
      </w:pPr>
      <w:r>
        <w:rPr>
          <w:rFonts w:ascii="Times New Roman" w:hAnsi="Times New Roman"/>
          <w:sz w:val="18"/>
        </w:rPr>
        <w:t xml:space="preserve">(In millions, unaudited) </w:t>
      </w:r>
    </w:p>
    <w:p>
      <w:pPr>
        <w:pStyle w:val="TextBody"/>
        <w:bidi w:val="0"/>
        <w:spacing w:before="0" w:after="0"/>
        <w:jc w:val="left"/>
        <w:rPr/>
      </w:pPr>
      <w:r>
        <w:rPr/>
        <w:t> </w:t>
      </w:r>
    </w:p>
    <w:tbl>
      <w:tblPr>
        <w:tblW w:w="18730" w:type="dxa"/>
        <w:jc w:val="center"/>
        <w:tblInd w:w="0" w:type="dxa"/>
        <w:tblLayout w:type="fixed"/>
        <w:tblCellMar>
          <w:top w:w="0" w:type="dxa"/>
          <w:left w:w="0" w:type="dxa"/>
          <w:bottom w:w="0" w:type="dxa"/>
          <w:right w:w="0" w:type="dxa"/>
        </w:tblCellMar>
      </w:tblPr>
      <w:tblGrid>
        <w:gridCol w:w="905"/>
        <w:gridCol w:w="120"/>
        <w:gridCol w:w="72"/>
        <w:gridCol w:w="818"/>
        <w:gridCol w:w="275"/>
        <w:gridCol w:w="60"/>
        <w:gridCol w:w="60"/>
        <w:gridCol w:w="560"/>
        <w:gridCol w:w="350"/>
        <w:gridCol w:w="60"/>
        <w:gridCol w:w="87"/>
        <w:gridCol w:w="668"/>
        <w:gridCol w:w="425"/>
        <w:gridCol w:w="60"/>
        <w:gridCol w:w="60"/>
        <w:gridCol w:w="680"/>
        <w:gridCol w:w="275"/>
        <w:gridCol w:w="60"/>
        <w:gridCol w:w="72"/>
        <w:gridCol w:w="818"/>
        <w:gridCol w:w="275"/>
        <w:gridCol w:w="60"/>
        <w:gridCol w:w="60"/>
        <w:gridCol w:w="560"/>
        <w:gridCol w:w="350"/>
        <w:gridCol w:w="60"/>
        <w:gridCol w:w="87"/>
        <w:gridCol w:w="668"/>
        <w:gridCol w:w="425"/>
        <w:gridCol w:w="60"/>
        <w:gridCol w:w="60"/>
        <w:gridCol w:w="680"/>
        <w:gridCol w:w="275"/>
        <w:gridCol w:w="60"/>
        <w:gridCol w:w="72"/>
        <w:gridCol w:w="818"/>
        <w:gridCol w:w="275"/>
        <w:gridCol w:w="60"/>
        <w:gridCol w:w="60"/>
        <w:gridCol w:w="560"/>
        <w:gridCol w:w="350"/>
        <w:gridCol w:w="60"/>
        <w:gridCol w:w="87"/>
        <w:gridCol w:w="668"/>
        <w:gridCol w:w="425"/>
        <w:gridCol w:w="60"/>
        <w:gridCol w:w="60"/>
        <w:gridCol w:w="680"/>
        <w:gridCol w:w="275"/>
        <w:gridCol w:w="60"/>
        <w:gridCol w:w="86"/>
        <w:gridCol w:w="804"/>
        <w:gridCol w:w="60"/>
        <w:gridCol w:w="120"/>
        <w:gridCol w:w="84"/>
        <w:gridCol w:w="536"/>
        <w:gridCol w:w="155"/>
        <w:gridCol w:w="60"/>
        <w:gridCol w:w="102"/>
        <w:gridCol w:w="653"/>
        <w:gridCol w:w="425"/>
        <w:gridCol w:w="60"/>
        <w:gridCol w:w="67"/>
        <w:gridCol w:w="628"/>
        <w:gridCol w:w="155"/>
      </w:tblGrid>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35" w:type="dxa"/>
            <w:gridSpan w:val="14"/>
            <w:tcBorders/>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0" w:type="dxa"/>
            <w:gridSpan w:val="14"/>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2025 (RMB)</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2026 (RMB)</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2026 (RMB)</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2026 (US$)</w:t>
            </w:r>
          </w:p>
        </w:tc>
        <w:tc>
          <w:tcPr>
            <w:tcW w:w="155" w:type="dxa"/>
            <w:tcBorders/>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Baidu</w:t>
              <w:br/>
              <w:t>General</w:t>
              <w:br/>
              <w:t>Business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center"/>
              <w:rPr>
                <w:b/>
              </w:rPr>
            </w:pPr>
            <w:r>
              <w:rPr>
                <w:b/>
              </w:rPr>
              <w:t>Elim &amp;</w:t>
              <w:br/>
              <w:t>adj(2)</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center"/>
              <w:rPr>
                <w:b/>
              </w:rPr>
            </w:pPr>
            <w:r>
              <w:rPr>
                <w:b/>
              </w:rPr>
              <w:t>Baidu,</w:t>
              <w:br/>
              <w:t>Inc.</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Baidu</w:t>
              <w:br/>
              <w:t>General</w:t>
              <w:br/>
              <w:t>Business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center"/>
              <w:rPr>
                <w:b/>
              </w:rPr>
            </w:pPr>
            <w:r>
              <w:rPr>
                <w:b/>
              </w:rPr>
              <w:t>Elim &amp;</w:t>
              <w:br/>
              <w:t>adj(2)</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center"/>
              <w:rPr>
                <w:b/>
              </w:rPr>
            </w:pPr>
            <w:r>
              <w:rPr>
                <w:b/>
              </w:rPr>
              <w:t>Baidu,</w:t>
              <w:br/>
              <w:t>Inc.</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Baidu</w:t>
              <w:br/>
              <w:t>General</w:t>
              <w:br/>
              <w:t>Business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center"/>
              <w:rPr>
                <w:b/>
              </w:rPr>
            </w:pPr>
            <w:r>
              <w:rPr>
                <w:b/>
              </w:rPr>
              <w:t>Elim &amp;</w:t>
              <w:br/>
              <w:t>adj(2)</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center"/>
              <w:rPr>
                <w:b/>
              </w:rPr>
            </w:pPr>
            <w:r>
              <w:rPr>
                <w:b/>
              </w:rPr>
              <w:t>Baidu,</w:t>
              <w:br/>
              <w:t>Inc.</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Baidu</w:t>
              <w:br/>
              <w:t>General</w:t>
              <w:br/>
              <w:t>Business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center"/>
              <w:rPr>
                <w:b/>
              </w:rPr>
            </w:pPr>
            <w:r>
              <w:rPr>
                <w:b/>
              </w:rPr>
              <w:t>Elim &amp;</w:t>
              <w:br/>
              <w:t>adj(2)</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Baidu,</w:t>
              <w:br/>
              <w:t>Inc.</w:t>
            </w:r>
          </w:p>
        </w:tc>
        <w:tc>
          <w:tcPr>
            <w:tcW w:w="155" w:type="dxa"/>
            <w:tcBorders/>
            <w:vAlign w:val="bottom"/>
          </w:tcPr>
          <w:p>
            <w:pPr>
              <w:pStyle w:val="TableContents"/>
              <w:bidi w:val="0"/>
              <w:spacing w:before="0" w:after="283"/>
              <w:jc w:val="left"/>
              <w:rPr/>
            </w:pPr>
            <w:r>
              <w:rPr/>
              <w:t> </w:t>
            </w:r>
          </w:p>
        </w:tc>
      </w:tr>
      <w:tr>
        <w:trPr/>
        <w:tc>
          <w:tcPr>
            <w:tcW w:w="905" w:type="dxa"/>
            <w:tcBorders/>
            <w:shd w:fill="CCEEFF" w:val="clear"/>
            <w:vAlign w:val="bottom"/>
          </w:tcPr>
          <w:p>
            <w:pPr>
              <w:pStyle w:val="TableContents"/>
              <w:bidi w:val="0"/>
              <w:spacing w:before="0" w:after="0"/>
              <w:jc w:val="left"/>
              <w:rPr>
                <w:rFonts w:ascii="Times New Roman" w:hAnsi="Times New Roman"/>
                <w:b/>
                <w:sz w:val="14"/>
              </w:rPr>
            </w:pPr>
            <w:r>
              <w:rPr>
                <w:rFonts w:ascii="Times New Roman" w:hAnsi="Times New Roman"/>
                <w:b/>
                <w:sz w:val="14"/>
              </w:rPr>
              <w:t>Revenue</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26,251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6,628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(166</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32,713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26,001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6,226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(152</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32,075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25,183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6,287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(145</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31,325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3,712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927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(22</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b/>
              </w:rPr>
            </w:pPr>
            <w:r>
              <w:rPr>
                <w:b/>
              </w:rPr>
              <w:t>4,617</w:t>
            </w:r>
          </w:p>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b/>
                <w:sz w:val="14"/>
              </w:rPr>
            </w:pPr>
            <w:r>
              <w:rPr>
                <w:rFonts w:ascii="Times New Roman" w:hAnsi="Times New Roman"/>
                <w:b/>
                <w:sz w:val="14"/>
              </w:rPr>
              <w:t>Costs and expenses:</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Cost of revenue(1)</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13,214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5,292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(149</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18,357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14,498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5,233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(142</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19,589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13,982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5,250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(134</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19,098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2,062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774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(21</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2,815</w:t>
            </w:r>
          </w:p>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4"/>
              </w:rPr>
            </w:pPr>
            <w:r>
              <w:rPr>
                <w:rFonts w:ascii="Times New Roman" w:hAnsi="Times New Roman"/>
                <w:sz w:val="14"/>
              </w:rPr>
              <w:t>Selling, general and administrative(1)</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5,018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960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(18</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5,960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4,109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817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(14</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4,912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3,861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744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(9</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4,596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(2</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p>
            <w:pPr>
              <w:pStyle w:val="TableContents"/>
              <w:bidi w:val="0"/>
              <w:spacing w:before="0" w:after="283"/>
              <w:jc w:val="right"/>
              <w:rPr/>
            </w:pPr>
            <w:r>
              <w:rPr/>
              <w:t>677</w:t>
            </w:r>
          </w:p>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Research and development(1)</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4,697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422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5,119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3,978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404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4,381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4,209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398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4,607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679</w:t>
            </w:r>
          </w:p>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905" w:type="dxa"/>
            <w:tcBorders/>
            <w:vAlign w:val="bottom"/>
          </w:tcPr>
          <w:p>
            <w:pPr>
              <w:pStyle w:val="TableContents"/>
              <w:bidi w:val="0"/>
              <w:spacing w:before="0" w:after="0"/>
              <w:jc w:val="left"/>
              <w:rPr>
                <w:rFonts w:ascii="Times New Roman" w:hAnsi="Times New Roman"/>
                <w:b/>
                <w:sz w:val="14"/>
              </w:rPr>
            </w:pPr>
            <w:r>
              <w:rPr>
                <w:rFonts w:ascii="Times New Roman" w:hAnsi="Times New Roman"/>
                <w:b/>
                <w:sz w:val="14"/>
              </w:rPr>
              <w:t>Total costs and expenses</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22,929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6,674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(167</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29,436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22,585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6,454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(157</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28,882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22,052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6,392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(143</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28,301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b/>
              </w:rPr>
            </w:pPr>
            <w:r>
              <w:rPr>
                <w:b/>
              </w:rPr>
              <w:t>3,251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b/>
              </w:rPr>
            </w:pPr>
            <w:r>
              <w:rPr>
                <w:b/>
              </w:rPr>
              <w:t>943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(23</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p>
            <w:pPr>
              <w:pStyle w:val="TableContents"/>
              <w:bidi w:val="0"/>
              <w:spacing w:before="0" w:after="283"/>
              <w:jc w:val="right"/>
              <w:rPr>
                <w:b/>
              </w:rPr>
            </w:pPr>
            <w:r>
              <w:rPr>
                <w:b/>
              </w:rPr>
              <w:t>4,171</w:t>
            </w:r>
          </w:p>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905" w:type="dxa"/>
            <w:tcBorders/>
            <w:shd w:fill="CCEEFF" w:val="clear"/>
            <w:vAlign w:val="bottom"/>
          </w:tcPr>
          <w:p>
            <w:pPr>
              <w:pStyle w:val="TableContents"/>
              <w:bidi w:val="0"/>
              <w:spacing w:before="0" w:after="0"/>
              <w:jc w:val="left"/>
              <w:rPr>
                <w:rFonts w:ascii="Times New Roman" w:hAnsi="Times New Roman"/>
                <w:b/>
                <w:sz w:val="14"/>
              </w:rPr>
            </w:pPr>
            <w:r>
              <w:rPr>
                <w:rFonts w:ascii="Times New Roman" w:hAnsi="Times New Roman"/>
                <w:b/>
                <w:sz w:val="14"/>
              </w:rPr>
              <w:t>Operating income (loss)</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3,322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(46</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3,277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3,416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(228</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5</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3,193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3,131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(105</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(2</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3,024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461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(16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1</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b/>
              </w:rPr>
            </w:pPr>
            <w:r>
              <w:rPr>
                <w:b/>
              </w:rPr>
              <w:t>446</w:t>
            </w:r>
          </w:p>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i/>
                <w:sz w:val="14"/>
              </w:rPr>
            </w:pPr>
            <w:r>
              <w:rPr>
                <w:rFonts w:ascii="Times New Roman" w:hAnsi="Times New Roman"/>
                <w:i/>
                <w:sz w:val="14"/>
              </w:rPr>
              <w:t>Operating margin</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13</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(1</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10</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13</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(4</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10</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12</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(2</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10</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Add: total other income (loss), net</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4,925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4,863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27</w:t>
            </w:r>
          </w:p>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4"/>
              </w:rPr>
            </w:pPr>
            <w:r>
              <w:rPr>
                <w:rFonts w:ascii="Times New Roman" w:hAnsi="Times New Roman"/>
                <w:sz w:val="14"/>
              </w:rPr>
              <w:t>Less: income tax expense</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854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491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780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p>
            <w:pPr>
              <w:pStyle w:val="TableContents"/>
              <w:bidi w:val="0"/>
              <w:spacing w:before="0" w:after="283"/>
              <w:jc w:val="right"/>
              <w:rPr/>
            </w:pPr>
            <w:r>
              <w:rPr/>
              <w:t>147</w:t>
            </w:r>
          </w:p>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Less: net income (loss) attributable to NCI</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(73</w:t>
            </w:r>
          </w:p>
        </w:tc>
        <w:tc>
          <w:tcPr>
            <w:tcW w:w="425"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(161</w:t>
            </w:r>
          </w:p>
        </w:tc>
        <w:tc>
          <w:tcPr>
            <w:tcW w:w="425"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(155</w:t>
            </w:r>
          </w:p>
        </w:tc>
        <w:tc>
          <w:tcPr>
            <w:tcW w:w="425"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(22</w:t>
            </w:r>
          </w:p>
        </w:tc>
        <w:tc>
          <w:tcPr>
            <w:tcW w:w="425"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(16</w:t>
            </w:r>
          </w:p>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905" w:type="dxa"/>
            <w:tcBorders/>
            <w:vAlign w:val="bottom"/>
          </w:tcPr>
          <w:p>
            <w:pPr>
              <w:pStyle w:val="TableContents"/>
              <w:bidi w:val="0"/>
              <w:spacing w:before="0" w:after="0"/>
              <w:jc w:val="left"/>
              <w:rPr>
                <w:rFonts w:ascii="Times New Roman" w:hAnsi="Times New Roman"/>
                <w:b/>
                <w:sz w:val="14"/>
              </w:rPr>
            </w:pPr>
            <w:r>
              <w:rPr>
                <w:rFonts w:ascii="Times New Roman" w:hAnsi="Times New Roman"/>
                <w:b/>
                <w:sz w:val="14"/>
              </w:rPr>
              <w:t>Net income (loss) attributable to Baidu</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7,382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(134</w:t>
            </w:r>
          </w:p>
        </w:tc>
        <w:tc>
          <w:tcPr>
            <w:tcW w:w="35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74</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7,322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3,573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(294</w:t>
            </w:r>
          </w:p>
        </w:tc>
        <w:tc>
          <w:tcPr>
            <w:tcW w:w="35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166</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3,445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2,453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(287</w:t>
            </w:r>
          </w:p>
        </w:tc>
        <w:tc>
          <w:tcPr>
            <w:tcW w:w="35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153</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2,319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b/>
              </w:rPr>
            </w:pPr>
            <w:r>
              <w:rPr>
                <w:b/>
              </w:rPr>
              <w:t>362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b/>
              </w:rPr>
            </w:pPr>
            <w:r>
              <w:rPr>
                <w:b/>
              </w:rPr>
              <w:t>(43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23</w:t>
            </w:r>
          </w:p>
        </w:tc>
        <w:tc>
          <w:tcPr>
            <w:tcW w:w="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p>
            <w:pPr>
              <w:pStyle w:val="TableContents"/>
              <w:bidi w:val="0"/>
              <w:spacing w:before="0" w:after="283"/>
              <w:jc w:val="right"/>
              <w:rPr>
                <w:b/>
              </w:rPr>
            </w:pPr>
            <w:r>
              <w:rPr>
                <w:b/>
              </w:rPr>
              <w:t>342</w:t>
            </w:r>
          </w:p>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i/>
                <w:sz w:val="14"/>
              </w:rPr>
            </w:pPr>
            <w:r>
              <w:rPr>
                <w:rFonts w:ascii="Times New Roman" w:hAnsi="Times New Roman"/>
                <w:i/>
                <w:sz w:val="14"/>
              </w:rPr>
              <w:t>Net margin</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i/>
              </w:rPr>
            </w:pPr>
            <w:r>
              <w:rPr>
                <w:i/>
              </w:rPr>
              <w:t>28</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i/>
              </w:rPr>
            </w:pPr>
            <w:r>
              <w:rPr>
                <w:i/>
              </w:rPr>
              <w:t>(2</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i/>
              </w:rPr>
            </w:pPr>
            <w:r>
              <w:rPr>
                <w:i/>
              </w:rPr>
              <w:t>22</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i/>
              </w:rPr>
            </w:pPr>
            <w:r>
              <w:rPr>
                <w:i/>
              </w:rPr>
              <w:t>14</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i/>
              </w:rPr>
            </w:pPr>
            <w:r>
              <w:rPr>
                <w:i/>
              </w:rPr>
              <w:t>(5</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i/>
              </w:rPr>
            </w:pPr>
            <w:r>
              <w:rPr>
                <w:i/>
              </w:rPr>
              <w:t>11</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i/>
              </w:rPr>
            </w:pPr>
            <w:r>
              <w:rPr>
                <w:i/>
              </w:rPr>
              <w:t>10</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i/>
              </w:rPr>
            </w:pPr>
            <w:r>
              <w:rPr>
                <w:i/>
              </w:rPr>
              <w:t>(5</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i/>
              </w:rPr>
            </w:pPr>
            <w:r>
              <w:rPr>
                <w:i/>
              </w:rPr>
              <w:t>7</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0"/>
              <w:jc w:val="left"/>
              <w:rPr>
                <w:rFonts w:ascii="Times New Roman" w:hAnsi="Times New Roman"/>
                <w:i/>
                <w:sz w:val="14"/>
              </w:rPr>
            </w:pPr>
            <w:r>
              <w:rPr>
                <w:rFonts w:ascii="Times New Roman" w:hAnsi="Times New Roman"/>
                <w:i/>
                <w:sz w:val="14"/>
              </w:rPr>
              <w:t>Non-GAAP financial measures:</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5" w:type="dxa"/>
            <w:tcBorders/>
            <w:shd w:fill="CCEEFF" w:val="clear"/>
            <w:vAlign w:val="bottom"/>
          </w:tcPr>
          <w:p>
            <w:pPr>
              <w:pStyle w:val="TableContents"/>
              <w:bidi w:val="0"/>
              <w:spacing w:before="0" w:after="0"/>
              <w:jc w:val="left"/>
              <w:rPr>
                <w:rFonts w:ascii="Times New Roman" w:hAnsi="Times New Roman"/>
                <w:b/>
                <w:sz w:val="14"/>
              </w:rPr>
            </w:pPr>
            <w:r>
              <w:rPr>
                <w:rFonts w:ascii="Times New Roman" w:hAnsi="Times New Roman"/>
                <w:b/>
                <w:sz w:val="14"/>
              </w:rPr>
              <w:t>Operating income (loss) (non-GAAP)</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4,385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59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4,445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3,950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(148</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3,807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3,818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(31</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3,785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563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b/>
              </w:rPr>
            </w:pPr>
            <w:r>
              <w:rPr>
                <w:b/>
              </w:rPr>
              <w:t>558</w:t>
            </w:r>
          </w:p>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i/>
                <w:sz w:val="14"/>
              </w:rPr>
            </w:pPr>
            <w:r>
              <w:rPr>
                <w:rFonts w:ascii="Times New Roman" w:hAnsi="Times New Roman"/>
                <w:i/>
                <w:sz w:val="14"/>
              </w:rPr>
              <w:t>Operating margin (non-GAAP)</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17</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1</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14</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15</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(2</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12</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15</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(0</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12</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5" w:type="dxa"/>
            <w:tcBorders/>
            <w:shd w:fill="CCEEFF" w:val="clear"/>
            <w:vAlign w:val="bottom"/>
          </w:tcPr>
          <w:p>
            <w:pPr>
              <w:pStyle w:val="TableContents"/>
              <w:bidi w:val="0"/>
              <w:spacing w:before="0" w:after="0"/>
              <w:jc w:val="left"/>
              <w:rPr>
                <w:rFonts w:ascii="Times New Roman" w:hAnsi="Times New Roman"/>
                <w:b/>
                <w:sz w:val="14"/>
              </w:rPr>
            </w:pPr>
            <w:r>
              <w:rPr>
                <w:rFonts w:ascii="Times New Roman" w:hAnsi="Times New Roman"/>
                <w:b/>
                <w:sz w:val="14"/>
              </w:rPr>
              <w:t>Net income (loss) attributable to Baidu (non-GAAP)</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4,792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4,795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4,433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(233</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4,332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2,672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(210</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2,573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394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(32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b/>
              </w:rPr>
            </w:pPr>
            <w:r>
              <w:rPr>
                <w:b/>
              </w:rPr>
              <w:t>379</w:t>
            </w:r>
          </w:p>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i/>
                <w:sz w:val="14"/>
              </w:rPr>
            </w:pPr>
            <w:r>
              <w:rPr>
                <w:rFonts w:ascii="Times New Roman" w:hAnsi="Times New Roman"/>
                <w:i/>
                <w:sz w:val="14"/>
              </w:rPr>
              <w:t>Net margin (non-GAAP)</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18</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0</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15</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17</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(4</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14</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11</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(3</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8</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5" w:type="dxa"/>
            <w:tcBorders/>
            <w:shd w:fill="CCEEFF" w:val="clear"/>
            <w:vAlign w:val="bottom"/>
          </w:tcPr>
          <w:p>
            <w:pPr>
              <w:pStyle w:val="TableContents"/>
              <w:bidi w:val="0"/>
              <w:spacing w:before="0" w:after="0"/>
              <w:jc w:val="left"/>
              <w:rPr>
                <w:rFonts w:ascii="Times New Roman" w:hAnsi="Times New Roman"/>
                <w:b/>
                <w:sz w:val="14"/>
              </w:rPr>
            </w:pPr>
            <w:r>
              <w:rPr>
                <w:rFonts w:ascii="Times New Roman" w:hAnsi="Times New Roman"/>
                <w:b/>
                <w:sz w:val="14"/>
              </w:rPr>
              <w:t>Adjusted EBITDA</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6,397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94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6,492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6,050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(101</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5,954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6,141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6,150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905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b/>
              </w:rPr>
            </w:pPr>
            <w:r>
              <w:rPr>
                <w:b/>
              </w:rPr>
              <w:t>906</w:t>
            </w:r>
          </w:p>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i/>
                <w:sz w:val="14"/>
              </w:rPr>
            </w:pPr>
            <w:r>
              <w:rPr>
                <w:rFonts w:ascii="Times New Roman" w:hAnsi="Times New Roman"/>
                <w:i/>
                <w:sz w:val="14"/>
              </w:rPr>
              <w:t>Adjusted EBITDA margin</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24</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1</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20</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23</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(2</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19</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i/>
              </w:rPr>
            </w:pPr>
            <w:r>
              <w:rPr>
                <w:i/>
              </w:rPr>
              <w:t>24</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i/>
              </w:rPr>
            </w:pPr>
            <w:r>
              <w:rPr>
                <w:i/>
              </w:rPr>
              <w:t>0</w:t>
            </w:r>
          </w:p>
        </w:tc>
        <w:tc>
          <w:tcPr>
            <w:tcW w:w="350"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i/>
              </w:rPr>
            </w:pPr>
            <w:r>
              <w:rPr>
                <w:i/>
              </w:rPr>
              <w:t>20</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rHeight w:val="120" w:hRule="atLeast"/>
        </w:trPr>
        <w:tc>
          <w:tcPr>
            <w:tcW w:w="17820" w:type="dxa"/>
            <w:gridSpan w:val="61"/>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r>
      <w:tr>
        <w:trPr/>
        <w:tc>
          <w:tcPr>
            <w:tcW w:w="17395" w:type="dxa"/>
            <w:gridSpan w:val="60"/>
            <w:tcBorders/>
          </w:tcPr>
          <w:p>
            <w:pPr>
              <w:pStyle w:val="TableContents"/>
              <w:bidi w:val="0"/>
              <w:spacing w:before="0" w:after="0"/>
              <w:jc w:val="left"/>
              <w:rPr>
                <w:rFonts w:ascii="Times New Roman" w:hAnsi="Times New Roman"/>
                <w:sz w:val="14"/>
              </w:rPr>
            </w:pPr>
            <w:r>
              <w:rPr>
                <w:rFonts w:ascii="Times New Roman" w:hAnsi="Times New Roman"/>
                <w:sz w:val="14"/>
              </w:rPr>
              <w:t>(1) Includes share-based compensation as follows:</w:t>
            </w:r>
          </w:p>
        </w:tc>
        <w:tc>
          <w:tcPr>
            <w:tcW w:w="425"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90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Cost of revenue</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13</w:t>
            </w:r>
          </w:p>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4"/>
              </w:rPr>
            </w:pPr>
            <w:r>
              <w:rPr>
                <w:rFonts w:ascii="Times New Roman" w:hAnsi="Times New Roman"/>
                <w:sz w:val="14"/>
              </w:rPr>
              <w:t>Selling, general and administrative</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238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194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p>
            <w:pPr>
              <w:pStyle w:val="TableContents"/>
              <w:bidi w:val="0"/>
              <w:spacing w:before="0" w:after="283"/>
              <w:jc w:val="right"/>
              <w:rPr/>
            </w:pPr>
            <w:r>
              <w:rPr/>
              <w:t>33</w:t>
            </w:r>
          </w:p>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Research and development</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58</w:t>
            </w:r>
          </w:p>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4"/>
              </w:rPr>
            </w:pPr>
            <w:r>
              <w:rPr>
                <w:rFonts w:ascii="Times New Roman" w:hAnsi="Times New Roman"/>
                <w:sz w:val="14"/>
              </w:rPr>
              <w:t>Total share-based compensation</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978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637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p>
            <w:pPr>
              <w:pStyle w:val="TableContents"/>
              <w:bidi w:val="0"/>
              <w:spacing w:before="0" w:after="283"/>
              <w:jc w:val="right"/>
              <w:rPr/>
            </w:pPr>
            <w:r>
              <w:rPr/>
              <w:t>104</w:t>
            </w:r>
          </w:p>
          <w:p>
            <w:pPr>
              <w:pStyle w:val="TableContents"/>
              <w:bidi w:val="0"/>
              <w:spacing w:before="0" w:after="283"/>
              <w:jc w:val="left"/>
              <w:rPr/>
            </w:pPr>
            <w:r>
              <w:rPr/>
              <w:t> </w:t>
            </w:r>
          </w:p>
        </w:tc>
      </w:tr>
      <w:tr>
        <w:trPr>
          <w:trHeight w:val="120" w:hRule="atLeast"/>
        </w:trPr>
        <w:tc>
          <w:tcPr>
            <w:tcW w:w="16580" w:type="dxa"/>
            <w:gridSpan w:val="57"/>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r>
      <w:tr>
        <w:trPr/>
        <w:tc>
          <w:tcPr>
            <w:tcW w:w="16425" w:type="dxa"/>
            <w:gridSpan w:val="56"/>
            <w:tcBorders/>
          </w:tcPr>
          <w:p>
            <w:pPr>
              <w:pStyle w:val="TableContents"/>
              <w:bidi w:val="0"/>
              <w:spacing w:before="0" w:after="0"/>
              <w:jc w:val="left"/>
              <w:rPr>
                <w:rFonts w:ascii="Times New Roman" w:hAnsi="Times New Roman"/>
                <w:sz w:val="14"/>
              </w:rPr>
            </w:pPr>
            <w:r>
              <w:rPr>
                <w:rFonts w:ascii="Times New Roman" w:hAnsi="Times New Roman"/>
                <w:sz w:val="14"/>
              </w:rPr>
              <w:t>(2)   Relates to intersegment eliminations and adjustments</w:t>
            </w:r>
          </w:p>
          <w:p>
            <w:pPr>
              <w:pStyle w:val="TableContents"/>
              <w:bidi w:val="0"/>
              <w:spacing w:before="0" w:after="20"/>
              <w:jc w:val="left"/>
              <w:rPr>
                <w:rFonts w:ascii="Times New Roman" w:hAnsi="Times New Roman"/>
                <w:sz w:val="14"/>
              </w:rPr>
            </w:pPr>
            <w:r>
              <w:rPr>
                <w:rFonts w:ascii="Times New Roman" w:hAnsi="Times New Roman"/>
                <w:sz w:val="14"/>
              </w:rPr>
              <w:t>(3)   Relates to the net income attributable to iQIYI noncontrolling interests</w:t>
            </w:r>
          </w:p>
        </w:tc>
        <w:tc>
          <w:tcPr>
            <w:tcW w:w="155" w:type="dxa"/>
            <w:tcBorders/>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Baidu,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left"/>
        <w:rPr>
          <w:rFonts w:ascii="Times New Roman" w:hAnsi="Times New Roman"/>
          <w:sz w:val="20"/>
        </w:rPr>
      </w:pPr>
      <w:r>
        <w:rPr>
          <w:rFonts w:ascii="Times New Roman" w:hAnsi="Times New Roman"/>
          <w:sz w:val="20"/>
        </w:rPr>
        <w:t xml:space="preserve">(In millions,unaudited) </w:t>
      </w:r>
    </w:p>
    <w:p>
      <w:pPr>
        <w:pStyle w:val="TextBody"/>
        <w:bidi w:val="0"/>
        <w:spacing w:before="0" w:after="0"/>
        <w:jc w:val="left"/>
        <w:rPr/>
      </w:pPr>
      <w:r>
        <w:rPr/>
        <w:t> </w:t>
      </w:r>
    </w:p>
    <w:tbl>
      <w:tblPr>
        <w:tblW w:w="12395" w:type="dxa"/>
        <w:jc w:val="center"/>
        <w:tblInd w:w="0" w:type="dxa"/>
        <w:tblLayout w:type="fixed"/>
        <w:tblCellMar>
          <w:top w:w="0" w:type="dxa"/>
          <w:left w:w="0" w:type="dxa"/>
          <w:bottom w:w="0" w:type="dxa"/>
          <w:right w:w="0" w:type="dxa"/>
        </w:tblCellMar>
      </w:tblPr>
      <w:tblGrid>
        <w:gridCol w:w="1070"/>
        <w:gridCol w:w="120"/>
        <w:gridCol w:w="60"/>
        <w:gridCol w:w="755"/>
        <w:gridCol w:w="155"/>
        <w:gridCol w:w="60"/>
        <w:gridCol w:w="60"/>
        <w:gridCol w:w="560"/>
        <w:gridCol w:w="155"/>
        <w:gridCol w:w="60"/>
        <w:gridCol w:w="60"/>
        <w:gridCol w:w="755"/>
        <w:gridCol w:w="155"/>
        <w:gridCol w:w="60"/>
        <w:gridCol w:w="60"/>
        <w:gridCol w:w="680"/>
        <w:gridCol w:w="155"/>
        <w:gridCol w:w="60"/>
        <w:gridCol w:w="60"/>
        <w:gridCol w:w="635"/>
        <w:gridCol w:w="155"/>
        <w:gridCol w:w="60"/>
        <w:gridCol w:w="60"/>
        <w:gridCol w:w="680"/>
        <w:gridCol w:w="155"/>
        <w:gridCol w:w="60"/>
        <w:gridCol w:w="60"/>
        <w:gridCol w:w="755"/>
        <w:gridCol w:w="155"/>
        <w:gridCol w:w="60"/>
        <w:gridCol w:w="60"/>
        <w:gridCol w:w="560"/>
        <w:gridCol w:w="155"/>
        <w:gridCol w:w="60"/>
        <w:gridCol w:w="60"/>
        <w:gridCol w:w="755"/>
        <w:gridCol w:w="155"/>
        <w:gridCol w:w="60"/>
        <w:gridCol w:w="60"/>
        <w:gridCol w:w="635"/>
        <w:gridCol w:w="155"/>
        <w:gridCol w:w="60"/>
        <w:gridCol w:w="84"/>
        <w:gridCol w:w="536"/>
        <w:gridCol w:w="155"/>
        <w:gridCol w:w="60"/>
        <w:gridCol w:w="60"/>
        <w:gridCol w:w="635"/>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0" w:type="dxa"/>
            <w:gridSpan w:val="10"/>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5" w:type="dxa"/>
            <w:gridSpan w:val="10"/>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0" w:type="dxa"/>
            <w:gridSpan w:val="10"/>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0" w:type="dxa"/>
            <w:gridSpan w:val="10"/>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2025 (RMB)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 31, 2026 (RMB)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2026 (RMB)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2026 (US$)</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Baidu</w:t>
              <w:br/>
              <w:t>excl.</w:t>
              <w:b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Baidu,</w:t>
              <w:br/>
              <w:t>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center"/>
              <w:rPr>
                <w:b/>
              </w:rPr>
            </w:pPr>
            <w:r>
              <w:rPr>
                <w:b/>
              </w:rPr>
              <w:t>Baidu</w:t>
              <w:br/>
              <w:t>excl.</w:t>
              <w:b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center"/>
              <w:rPr>
                <w:b/>
              </w:rPr>
            </w:pPr>
            <w:r>
              <w:rPr>
                <w:b/>
              </w:rPr>
              <w:t>Baidu,</w:t>
              <w:br/>
              <w:t>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Baidu</w:t>
              <w:br/>
              <w:t>excl.</w:t>
              <w:b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Baidu,</w:t>
              <w:br/>
              <w:t>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Baidu</w:t>
              <w:br/>
              <w:t>excl.</w:t>
              <w:b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Baidu,</w:t>
              <w:br/>
              <w:t>Inc.</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operating activities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(864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(877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2,484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186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2,670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3,096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340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3,436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506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(8,428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5,217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4,942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(26,217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(26,463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(3,864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(3,900</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(8,688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17,606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17,405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2,595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2,565</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cash equivalents and restricted cash</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 cash</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(18,190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(619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(18,809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6,758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(1,057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5,701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(5,723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(5,838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(843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(17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(860</w:t>
            </w:r>
          </w:p>
        </w:tc>
        <w:tc>
          <w:tcPr>
            <w:tcW w:w="155" w:type="dxa"/>
            <w:tcBorders/>
            <w:shd w:fill="CCEEFF" w:val="clear"/>
            <w:vAlign w:val="bottom"/>
          </w:tcPr>
          <w:p>
            <w:pPr>
              <w:pStyle w:val="TableContents"/>
              <w:bidi w:val="0"/>
              <w:spacing w:before="0" w:after="283"/>
              <w:jc w:val="left"/>
              <w:rPr>
                <w:b/>
              </w:rPr>
            </w:pPr>
            <w:r>
              <w:rPr>
                <w:b/>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beginning of period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45,118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49,876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20,453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4,378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24,831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27,211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3,321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30,532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4,010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489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4,499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At end of period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26,928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4,139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31,067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27,211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3,321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30,532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21,488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3,206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24,694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3,167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472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3,639</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operating activities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(864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(877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2,484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186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2,670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3,096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340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3,436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506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Less: Capital expenditures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(3,779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(3,800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(5,916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(11,370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(11,390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(1,676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(1,679</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(4,643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(4,677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(3,355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109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(3,246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(8,274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320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(7,954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(1,220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(1,173</w:t>
            </w:r>
          </w:p>
        </w:tc>
        <w:tc>
          <w:tcPr>
            <w:tcW w:w="155"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Baidu excl. iQIYI represents Baidu, Inc. minus iQIYI’s consolidated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Baidu, Inc.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Reconciliations of Non-GAAP Financial Measures to the Nearest Comparable GAAP Measures </w:t>
      </w:r>
    </w:p>
    <w:p>
      <w:pPr>
        <w:pStyle w:val="TextBody"/>
        <w:bidi w:val="0"/>
        <w:spacing w:before="0" w:after="0"/>
        <w:jc w:val="left"/>
        <w:rPr>
          <w:rFonts w:ascii="Times New Roman" w:hAnsi="Times New Roman"/>
          <w:sz w:val="20"/>
        </w:rPr>
      </w:pPr>
      <w:r>
        <w:rPr>
          <w:rFonts w:ascii="Times New Roman" w:hAnsi="Times New Roman"/>
          <w:sz w:val="20"/>
        </w:rPr>
        <w:t xml:space="preserve">(In millions except for per ADS information, unaudited) </w:t>
      </w:r>
    </w:p>
    <w:p>
      <w:pPr>
        <w:pStyle w:val="TextBody"/>
        <w:bidi w:val="0"/>
        <w:spacing w:before="0" w:after="0"/>
        <w:jc w:val="left"/>
        <w:rPr/>
      </w:pPr>
      <w:r>
        <w:rPr/>
        <w:t> </w:t>
      </w:r>
    </w:p>
    <w:tbl>
      <w:tblPr>
        <w:tblW w:w="12515" w:type="dxa"/>
        <w:jc w:val="center"/>
        <w:tblInd w:w="0" w:type="dxa"/>
        <w:tblLayout w:type="fixed"/>
        <w:tblCellMar>
          <w:top w:w="0" w:type="dxa"/>
          <w:left w:w="0" w:type="dxa"/>
          <w:bottom w:w="0" w:type="dxa"/>
          <w:right w:w="0" w:type="dxa"/>
        </w:tblCellMar>
      </w:tblPr>
      <w:tblGrid>
        <w:gridCol w:w="1055"/>
        <w:gridCol w:w="120"/>
        <w:gridCol w:w="76"/>
        <w:gridCol w:w="814"/>
        <w:gridCol w:w="155"/>
        <w:gridCol w:w="60"/>
        <w:gridCol w:w="72"/>
        <w:gridCol w:w="548"/>
        <w:gridCol w:w="155"/>
        <w:gridCol w:w="60"/>
        <w:gridCol w:w="60"/>
        <w:gridCol w:w="635"/>
        <w:gridCol w:w="155"/>
        <w:gridCol w:w="60"/>
        <w:gridCol w:w="86"/>
        <w:gridCol w:w="804"/>
        <w:gridCol w:w="155"/>
        <w:gridCol w:w="60"/>
        <w:gridCol w:w="72"/>
        <w:gridCol w:w="548"/>
        <w:gridCol w:w="155"/>
        <w:gridCol w:w="60"/>
        <w:gridCol w:w="67"/>
        <w:gridCol w:w="628"/>
        <w:gridCol w:w="155"/>
        <w:gridCol w:w="60"/>
        <w:gridCol w:w="76"/>
        <w:gridCol w:w="814"/>
        <w:gridCol w:w="155"/>
        <w:gridCol w:w="60"/>
        <w:gridCol w:w="72"/>
        <w:gridCol w:w="548"/>
        <w:gridCol w:w="155"/>
        <w:gridCol w:w="60"/>
        <w:gridCol w:w="60"/>
        <w:gridCol w:w="635"/>
        <w:gridCol w:w="155"/>
        <w:gridCol w:w="60"/>
        <w:gridCol w:w="103"/>
        <w:gridCol w:w="787"/>
        <w:gridCol w:w="155"/>
        <w:gridCol w:w="60"/>
        <w:gridCol w:w="84"/>
        <w:gridCol w:w="536"/>
        <w:gridCol w:w="155"/>
        <w:gridCol w:w="60"/>
        <w:gridCol w:w="80"/>
        <w:gridCol w:w="615"/>
        <w:gridCol w:w="15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35" w:type="dxa"/>
            <w:gridSpan w:val="10"/>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10"/>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10"/>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10"/>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3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2025 (RMB)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 31, 2026 (RMB)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2026 (RMB)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2026 (US$)</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Baidu</w:t>
              <w:br/>
              <w:t>General</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Baidu,</w:t>
              <w:br/>
              <w:t>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Baidu</w:t>
              <w:br/>
              <w:t>General</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Baidu,</w:t>
              <w:br/>
              <w:t>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Baidu</w:t>
              <w:br/>
              <w:t>General</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Baidu,</w:t>
              <w:br/>
              <w:t>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Baidu</w:t>
              <w:br/>
              <w:t>General</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iQIYI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Baidu,</w:t>
              <w:br/>
              <w:t>Inc.</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Operating income (loss)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3,322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(46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3,277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3,416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(228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b/>
              </w:rPr>
            </w:pPr>
            <w:r>
              <w:rPr>
                <w:b/>
              </w:rPr>
              <w:t>3,193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3,131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(105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3,024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461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(16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b/>
              </w:rPr>
            </w:pPr>
            <w:r>
              <w:rPr>
                <w:b/>
              </w:rPr>
              <w:t>446</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Add: Share-based compensation expenses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1,081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563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 Amortization and impairment of intangible assets resulting from business combinations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Operating income (loss) (non-GAAP)</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4,385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b/>
              </w:rPr>
            </w:pPr>
            <w:r>
              <w:rPr>
                <w:b/>
              </w:rPr>
              <w:t>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b/>
              </w:rPr>
            </w:pPr>
            <w:r>
              <w:rPr>
                <w:b/>
              </w:rPr>
              <w:t>4,445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b/>
              </w:rPr>
            </w:pPr>
            <w:r>
              <w:rPr>
                <w:b/>
              </w:rPr>
              <w:t>3,950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b/>
              </w:rPr>
            </w:pPr>
            <w:r>
              <w:rPr>
                <w:b/>
              </w:rPr>
              <w:t>(148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b/>
              </w:rPr>
            </w:pPr>
            <w:r>
              <w:rPr>
                <w:b/>
              </w:rPr>
              <w:t>3,807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3,818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b/>
              </w:rPr>
            </w:pPr>
            <w:r>
              <w:rPr>
                <w:b/>
              </w:rPr>
              <w:t>(31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b/>
              </w:rPr>
            </w:pPr>
            <w:r>
              <w:rPr>
                <w:b/>
              </w:rPr>
              <w:t>3,785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b/>
              </w:rPr>
            </w:pPr>
            <w:r>
              <w:rPr>
                <w:b/>
              </w:rPr>
              <w:t>563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b/>
              </w:rPr>
            </w:pPr>
            <w:r>
              <w:rPr>
                <w:b/>
              </w:rPr>
              <w:t>(6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b/>
              </w:rPr>
            </w:pPr>
            <w:r>
              <w:rPr>
                <w:b/>
              </w:rPr>
              <w:t>558</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 Depreciation of fixed assets and amortization of intangible assets(1)</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2,012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2,047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2,147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2,323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2,365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342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348</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Adjusted EBITDA</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6,397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b/>
              </w:rPr>
            </w:pPr>
            <w:r>
              <w:rPr>
                <w:b/>
              </w:rPr>
              <w:t>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b/>
              </w:rPr>
            </w:pPr>
            <w:r>
              <w:rPr>
                <w:b/>
              </w:rPr>
              <w:t>6,492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b/>
              </w:rPr>
            </w:pPr>
            <w:r>
              <w:rPr>
                <w:b/>
              </w:rPr>
              <w:t>6,050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b/>
              </w:rPr>
            </w:pPr>
            <w:r>
              <w:rPr>
                <w:b/>
              </w:rPr>
              <w:t>(101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b/>
              </w:rPr>
            </w:pPr>
            <w:r>
              <w:rPr>
                <w:b/>
              </w:rPr>
              <w:t>5,954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6,141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b/>
              </w:rPr>
            </w:pPr>
            <w:r>
              <w:rPr>
                <w:b/>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b/>
              </w:rPr>
            </w:pPr>
            <w:r>
              <w:rPr>
                <w:b/>
              </w:rPr>
              <w:t>6,150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b/>
              </w:rPr>
            </w:pPr>
            <w:r>
              <w:rPr>
                <w:b/>
              </w:rPr>
              <w:t>905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b/>
              </w:rPr>
            </w:pPr>
            <w:r>
              <w:rPr>
                <w:b/>
              </w:rPr>
              <w:t>906</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Net income (loss) attributable to Baidu</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7,382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(134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7,322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3,573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(294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b/>
              </w:rPr>
            </w:pPr>
            <w:r>
              <w:rPr>
                <w:b/>
              </w:rPr>
              <w:t>3,445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2,453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(287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2,319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362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b/>
              </w:rPr>
            </w:pPr>
            <w:r>
              <w:rPr>
                <w:b/>
              </w:rPr>
              <w:t>342</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Add: Share-based compensation expenses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519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 Amortization and impairment of intangible assets resulting from business combinations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Add: Disposal gain</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 Impairment of long-term investments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Add: Fair value loss (gain) of long-term investments and exchangeable bonds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(3,317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(3,309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(1,073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(1,072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 Reconciling items on equity method investments(2)</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Add: Tax effects on non-GAAP adjustments(3)</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Net income (loss) attributable to Baidu (non-GAAP)</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4,792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4,795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4,433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(233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b/>
              </w:rPr>
            </w:pPr>
            <w:r>
              <w:rPr>
                <w:b/>
              </w:rPr>
              <w:t>4,332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2,672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(210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2,573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394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b/>
              </w:rPr>
            </w:pPr>
            <w:r>
              <w:rPr>
                <w:b/>
              </w:rPr>
              <w:t>(32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b/>
              </w:rPr>
            </w:pPr>
            <w:r>
              <w:rPr>
                <w:b/>
              </w:rPr>
              <w:t>379</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Diluted earnings per ADS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b/>
              </w:rPr>
            </w:pPr>
            <w:r>
              <w:rPr>
                <w:b/>
              </w:rPr>
              <w:t>20.35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b/>
              </w:rPr>
            </w:pPr>
            <w:r>
              <w:rPr>
                <w:b/>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b/>
              </w:rPr>
            </w:pPr>
            <w:r>
              <w:rPr>
                <w:b/>
              </w:rPr>
              <w:t>5.74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b/>
              </w:rPr>
            </w:pPr>
            <w:r>
              <w:rPr>
                <w:b/>
              </w:rPr>
              <w:t>0.85</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 Accretion of the redeemable noncontrolling interests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0.64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0.74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0.74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0.11</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Add: Non-GAAP adjustments to earnings per ADS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0.74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0.10</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Diluted earnings per ADS (non-GAAP)</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13.58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b/>
              </w:rPr>
            </w:pPr>
            <w:r>
              <w:rPr>
                <w:b/>
              </w:rPr>
              <w:t>12.06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7.22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b/>
              </w:rPr>
            </w:pPr>
            <w:r>
              <w:rPr>
                <w:b/>
              </w:rPr>
              <w:t>1.06</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represents amortization of intangible assets excluding those resulting from business combinations.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represents Baidu’s share of equity method investments for other non-GAAP reconciling items, amortization and impairment of intangible assets not on the investee’s books, accretion of their redeemable noncontrolling interests, and the gain or loss associated with the issuance of shares by the investees at a price higher or lower than the carrying value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represents tax impact of all non-GAAP adjustments. 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5115</Words>
  <Characters>26748</Characters>
  <CharactersWithSpaces>35270</CharactersWithSpaces>
  <Paragraphs>5938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