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0"/>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411480</wp:posOffset>
            </wp:positionH>
            <wp:positionV relativeFrom="page">
              <wp:posOffset>163195</wp:posOffset>
            </wp:positionV>
            <wp:extent cx="67252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25285" cy="8255"/>
                    </a:xfrm>
                    <a:prstGeom prst="rect">
                      <a:avLst/>
                    </a:prstGeom>
                    <a:noFill/>
                  </pic:spPr>
                </pic:pic>
              </a:graphicData>
            </a:graphic>
          </wp:anchor>
        </w:drawing>
        <w:drawing>
          <wp:anchor simplePos="0" relativeHeight="251657728" behindDoc="1" locked="0" layoutInCell="0" allowOverlap="1">
            <wp:simplePos x="0" y="0"/>
            <wp:positionH relativeFrom="page">
              <wp:posOffset>411480</wp:posOffset>
            </wp:positionH>
            <wp:positionV relativeFrom="page">
              <wp:posOffset>204470</wp:posOffset>
            </wp:positionV>
            <wp:extent cx="67252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25285" cy="8255"/>
                    </a:xfrm>
                    <a:prstGeom prst="rect">
                      <a:avLst/>
                    </a:prstGeom>
                    <a:noFill/>
                  </pic:spPr>
                </pic:pic>
              </a:graphicData>
            </a:graphic>
          </wp:anchor>
        </w:drawing>
        <w:t>UNITED STATES</w:t>
      </w:r>
    </w:p>
    <w:p>
      <w:pPr>
        <w:spacing w:after="0" w:line="32"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ind w:left="404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2659380</wp:posOffset>
            </wp:positionH>
            <wp:positionV relativeFrom="paragraph">
              <wp:posOffset>211455</wp:posOffset>
            </wp:positionV>
            <wp:extent cx="1417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732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31"/>
          <w:szCs w:val="31"/>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2659380</wp:posOffset>
            </wp:positionH>
            <wp:positionV relativeFrom="paragraph">
              <wp:posOffset>240030</wp:posOffset>
            </wp:positionV>
            <wp:extent cx="1417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7320" cy="825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left="2580" w:right="820"/>
        <w:spacing w:after="0" w:line="248" w:lineRule="auto"/>
        <w:rPr>
          <w:sz w:val="20"/>
          <w:szCs w:val="20"/>
          <w:color w:val="auto"/>
        </w:rPr>
      </w:pPr>
      <w:r>
        <w:rPr>
          <w:rFonts w:ascii="Times New Roman" w:cs="Times New Roman" w:eastAsia="Times New Roman" w:hAnsi="Times New Roman"/>
          <w:sz w:val="21"/>
          <w:szCs w:val="21"/>
          <w:b w:val="1"/>
          <w:bCs w:val="1"/>
          <w:color w:val="auto"/>
        </w:rPr>
        <w:t>REPORT OF FOREIGN PRIVATE ISSUER PURSUANT TO RULE 13a-16 OR 15d-16 UNDER THE SECURITIES EXCHANGE ACT OF 1934</w:t>
      </w:r>
    </w:p>
    <w:p>
      <w:pPr>
        <w:spacing w:after="0" w:line="17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7"/>
          <w:szCs w:val="17"/>
          <w:b w:val="1"/>
          <w:bCs w:val="1"/>
          <w:color w:val="auto"/>
        </w:rPr>
        <w:t>For the month of May 2026</w:t>
      </w:r>
    </w:p>
    <w:p>
      <w:pPr>
        <w:spacing w:after="0" w:line="220"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7"/>
          <w:szCs w:val="17"/>
          <w:b w:val="1"/>
          <w:bCs w:val="1"/>
          <w:color w:val="auto"/>
        </w:rPr>
        <w:t>Commission File Number: 000-51469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2659380</wp:posOffset>
            </wp:positionH>
            <wp:positionV relativeFrom="paragraph">
              <wp:posOffset>243205</wp:posOffset>
            </wp:positionV>
            <wp:extent cx="1417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7320"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42"/>
          <w:szCs w:val="42"/>
          <w:b w:val="1"/>
          <w:bCs w:val="1"/>
          <w:color w:val="auto"/>
        </w:rPr>
        <w:t>BAIDU,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2659380</wp:posOffset>
            </wp:positionH>
            <wp:positionV relativeFrom="paragraph">
              <wp:posOffset>243840</wp:posOffset>
            </wp:positionV>
            <wp:extent cx="1417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7320" cy="8255"/>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7"/>
          <w:szCs w:val="17"/>
          <w:b w:val="1"/>
          <w:bCs w:val="1"/>
          <w:color w:val="auto"/>
        </w:rPr>
        <w:t>Baidu Campus</w:t>
      </w:r>
    </w:p>
    <w:p>
      <w:pPr>
        <w:spacing w:after="0" w:line="33"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7"/>
          <w:szCs w:val="17"/>
          <w:b w:val="1"/>
          <w:bCs w:val="1"/>
          <w:color w:val="auto"/>
        </w:rPr>
        <w:t>No. 10 Shangdi 10th Street</w:t>
      </w:r>
    </w:p>
    <w:p>
      <w:pPr>
        <w:spacing w:after="0" w:line="12"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7"/>
          <w:szCs w:val="17"/>
          <w:b w:val="1"/>
          <w:bCs w:val="1"/>
          <w:color w:val="auto"/>
        </w:rPr>
        <w:t>Haidian District, Beijing 100085</w:t>
      </w:r>
    </w:p>
    <w:p>
      <w:pPr>
        <w:spacing w:after="0" w:line="12"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7"/>
          <w:szCs w:val="17"/>
          <w:b w:val="1"/>
          <w:bCs w:val="1"/>
          <w:color w:val="auto"/>
        </w:rPr>
        <w:t>The People’s Republic of China</w:t>
      </w:r>
    </w:p>
    <w:p>
      <w:pPr>
        <w:spacing w:after="0" w:line="6"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81" w:lineRule="exact"/>
        <w:rPr>
          <w:sz w:val="24"/>
          <w:szCs w:val="24"/>
          <w:color w:val="auto"/>
        </w:rPr>
      </w:pPr>
    </w:p>
    <w:p>
      <w:pPr>
        <w:ind w:left="3980"/>
        <w:spacing w:after="0" w:line="196" w:lineRule="exact"/>
        <w:rPr>
          <w:sz w:val="20"/>
          <w:szCs w:val="20"/>
          <w:color w:val="auto"/>
        </w:rPr>
      </w:pPr>
      <w:r>
        <w:rPr>
          <w:rFonts w:ascii="Times New Roman" w:cs="Times New Roman" w:eastAsia="Times New Roman" w:hAnsi="Times New Roman"/>
          <w:sz w:val="17"/>
          <w:szCs w:val="17"/>
          <w:color w:val="auto"/>
        </w:rPr>
        <w:t xml:space="preserve">Form 20-F 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67252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252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225425</wp:posOffset>
            </wp:positionV>
            <wp:extent cx="67252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ectPr>
          <w:pgSz w:w="11900" w:h="16838" w:orient="portrait"/>
          <w:cols w:equalWidth="0" w:num="1">
            <w:col w:w="9819"/>
          </w:cols>
          <w:pgMar w:left="640" w:top="365"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80" w:type="dxa"/>
            <w:vAlign w:val="bottom"/>
          </w:tcPr>
          <w:p>
            <w:pPr>
              <w:ind w:left="2540"/>
              <w:spacing w:after="0"/>
              <w:rPr>
                <w:sz w:val="20"/>
                <w:szCs w:val="20"/>
                <w:color w:val="auto"/>
              </w:rPr>
            </w:pPr>
            <w:r>
              <w:rPr>
                <w:rFonts w:ascii="Times New Roman" w:cs="Times New Roman" w:eastAsia="Times New Roman" w:hAnsi="Times New Roman"/>
                <w:sz w:val="17"/>
                <w:szCs w:val="17"/>
                <w:b w:val="1"/>
                <w:bCs w:val="1"/>
                <w:color w:val="auto"/>
              </w:rPr>
              <w:t>EXHIBIT INDEX</w:t>
            </w:r>
          </w:p>
        </w:tc>
      </w:tr>
      <w:tr>
        <w:trPr>
          <w:trHeight w:val="376"/>
        </w:trPr>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Exhibit No.</w:t>
            </w:r>
          </w:p>
        </w:tc>
        <w:tc>
          <w:tcPr>
            <w:tcW w:w="720" w:type="dxa"/>
            <w:vAlign w:val="bottom"/>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5"/>
              </w:rPr>
              <w:t>Description</w:t>
            </w:r>
          </w:p>
        </w:tc>
        <w:tc>
          <w:tcPr>
            <w:tcW w:w="3880" w:type="dxa"/>
            <w:vAlign w:val="bottom"/>
          </w:tcPr>
          <w:p>
            <w:pPr>
              <w:spacing w:after="0"/>
              <w:rPr>
                <w:sz w:val="24"/>
                <w:szCs w:val="24"/>
                <w:color w:val="auto"/>
              </w:rPr>
            </w:pPr>
          </w:p>
        </w:tc>
      </w:tr>
      <w:tr>
        <w:trPr>
          <w:trHeight w:val="305"/>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99.1</w:t>
            </w:r>
          </w:p>
        </w:tc>
        <w:tc>
          <w:tcPr>
            <w:tcW w:w="72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Press Release— Baidu Announces First Quarter 2026 Results</w:t>
            </w:r>
          </w:p>
        </w:tc>
      </w:tr>
    </w:tbl>
    <w:p>
      <w:pPr>
        <w:spacing w:after="0"/>
        <w:rPr>
          <w:sz w:val="20"/>
          <w:szCs w:val="20"/>
          <w:color w:val="auto"/>
        </w:rPr>
        <w:sectPr>
          <w:pgSz w:w="11900" w:h="16838" w:orient="portrait"/>
          <w:cols w:equalWidth="0" w:num="1">
            <w:col w:w="9819"/>
          </w:cols>
          <w:pgMar w:left="640" w:top="262" w:right="1440" w:bottom="1440" w:gutter="0" w:footer="0" w:header="0"/>
        </w:sect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p>
    <w:bookmarkStart w:id="2" w:name="page3"/>
    <w:bookmarkEnd w:id="2"/>
    <w:p>
      <w:pPr>
        <w:jc w:val="cente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9310" cy="37465"/>
                    </a:xfrm>
                    <a:prstGeom prst="rect">
                      <a:avLst/>
                    </a:prstGeom>
                    <a:noFill/>
                  </pic:spPr>
                </pic:pic>
              </a:graphicData>
            </a:graphic>
          </wp:anchor>
        </w:drawing>
        <w:t>SIGNATURES</w:t>
      </w:r>
    </w:p>
    <w:p>
      <w:pPr>
        <w:spacing w:after="0" w:line="220" w:lineRule="exact"/>
        <w:rPr>
          <w:sz w:val="20"/>
          <w:szCs w:val="20"/>
          <w:color w:val="auto"/>
        </w:rPr>
      </w:pPr>
    </w:p>
    <w:p>
      <w:pPr>
        <w:ind w:right="300" w:firstLine="423"/>
        <w:spacing w:after="0" w:line="292"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7"/>
          <w:szCs w:val="17"/>
          <w:color w:val="auto"/>
        </w:rPr>
        <w:t>BAIDU, INC.</w:t>
      </w:r>
    </w:p>
    <w:p>
      <w:pPr>
        <w:spacing w:after="0" w:line="220" w:lineRule="exact"/>
        <w:rPr>
          <w:sz w:val="20"/>
          <w:szCs w:val="20"/>
          <w:color w:val="auto"/>
        </w:rPr>
      </w:pPr>
    </w:p>
    <w:tbl>
      <w:tblPr>
        <w:tblLayout w:type="fixed"/>
        <w:tblInd w:w="6360" w:type="dxa"/>
        <w:tblCellMar>
          <w:top w:w="0" w:type="dxa"/>
          <w:left w:w="0" w:type="dxa"/>
          <w:bottom w:w="0" w:type="dxa"/>
          <w:right w:w="0" w:type="dxa"/>
        </w:tblCellMar>
      </w:tblPr>
      <w:tr>
        <w:trPr>
          <w:trHeight w:val="22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Haijian He</w:t>
            </w:r>
          </w:p>
        </w:tc>
      </w:tr>
      <w:tr>
        <w:trPr>
          <w:trHeight w:val="195"/>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Haijian He</w:t>
            </w:r>
          </w:p>
        </w:tc>
      </w:tr>
      <w:tr>
        <w:trPr>
          <w:trHeight w:val="22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18, 2026</w:t>
      </w:r>
    </w:p>
    <w:p>
      <w:pPr>
        <w:sectPr>
          <w:pgSz w:w="11900" w:h="16838" w:orient="portrait"/>
          <w:cols w:equalWidth="0" w:num="1">
            <w:col w:w="10600"/>
          </w:cols>
          <w:pgMar w:left="640" w:top="264"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Baidu Announces First Quarter 2026 Results</w:t>
      </w:r>
    </w:p>
    <w:p>
      <w:pPr>
        <w:spacing w:after="0" w:line="222" w:lineRule="exact"/>
        <w:rPr>
          <w:sz w:val="20"/>
          <w:szCs w:val="20"/>
          <w:color w:val="auto"/>
        </w:rPr>
      </w:pPr>
    </w:p>
    <w:p>
      <w:pPr>
        <w:ind w:right="600"/>
        <w:spacing w:after="0" w:line="273" w:lineRule="auto"/>
        <w:rPr>
          <w:sz w:val="20"/>
          <w:szCs w:val="20"/>
          <w:color w:val="auto"/>
        </w:rPr>
      </w:pPr>
      <w:r>
        <w:rPr>
          <w:rFonts w:ascii="Times New Roman" w:cs="Times New Roman" w:eastAsia="Times New Roman" w:hAnsi="Times New Roman"/>
          <w:sz w:val="17"/>
          <w:szCs w:val="17"/>
          <w:color w:val="auto"/>
        </w:rPr>
        <w:t>BEIJING, China, May 18, 2026 – Baidu, Inc. (NASDAQ: BIDU and HKEX: 9888 (HKD Counter) and 89888 (RMB Counter)), (“Baidu” or the “Company”), a leading AI company with strong Internet foundation, today announced its unaudited financial results for the first quarter ended March 31, 2026.</w:t>
      </w:r>
    </w:p>
    <w:p>
      <w:pPr>
        <w:spacing w:after="0" w:line="164"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7"/>
          <w:szCs w:val="17"/>
          <w:color w:val="auto"/>
        </w:rPr>
        <w:t>“In Q1, our Core AI-powered Business exceeded half of Baidu General Business revenue for the first time, marking a clear signal that AI has become the core driver of Baidu. AI Cloud Infra delivered exceptional momentum, powered by surging enterprise demand and the differentiated full-stack AI capabilities we have built over the years. Our AI Applications continued to gain traction across enterprises and individuals alike, further validating the commercial potential of our AI innovations. Meanwhile, Apollo Go sustained triple-digit growth in fully driverless rides while advancing its international expansion,” said Robin Li, Co-founder and CEO of Baidu. “We see AI driving even greater value for Baidu in the quarters ahead.”</w:t>
      </w:r>
    </w:p>
    <w:p>
      <w:pPr>
        <w:spacing w:after="0" w:line="171" w:lineRule="exact"/>
        <w:rPr>
          <w:sz w:val="20"/>
          <w:szCs w:val="20"/>
          <w:color w:val="auto"/>
        </w:rPr>
      </w:pPr>
    </w:p>
    <w:p>
      <w:pPr>
        <w:ind w:right="40"/>
        <w:spacing w:after="0" w:line="210" w:lineRule="auto"/>
        <w:rPr>
          <w:sz w:val="20"/>
          <w:szCs w:val="20"/>
          <w:color w:val="auto"/>
        </w:rPr>
      </w:pPr>
      <w:r>
        <w:rPr>
          <w:rFonts w:ascii="Times New Roman" w:cs="Times New Roman" w:eastAsia="Times New Roman" w:hAnsi="Times New Roman"/>
          <w:sz w:val="17"/>
          <w:szCs w:val="17"/>
          <w:color w:val="auto"/>
        </w:rPr>
        <w:t>“A few highlights from Q1: Revenue from Baidu Core AI-powered Business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 xml:space="preserve"> exceeded RMB 13.6 billion, up 49% year over year. Total revenue of Baidu General Business grew 2% year over year, returning to positive growth. Non-GAAP</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operating income of Baidu General Business increased 39% quarter over quarter to RMB 4.0 billion. Operating cash flow for Baidu remained positive at RMB 2.7 billion in Q1, reflecting continued improvement in our operating efficiency and overall business health.” said Haijian He, CFO of Baidu.</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Operational Highlights</w:t>
      </w:r>
      <w:r>
        <w:rPr>
          <w:rFonts w:ascii="Times New Roman" w:cs="Times New Roman" w:eastAsia="Times New Roman" w:hAnsi="Times New Roman"/>
          <w:sz w:val="25"/>
          <w:szCs w:val="25"/>
          <w:b w:val="1"/>
          <w:bCs w:val="1"/>
          <w:color w:val="auto"/>
          <w:vertAlign w:val="superscript"/>
        </w:rPr>
        <w:t>1</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Corporate</w:t>
      </w:r>
    </w:p>
    <w:p>
      <w:pPr>
        <w:spacing w:after="0" w:line="109" w:lineRule="exact"/>
        <w:rPr>
          <w:sz w:val="20"/>
          <w:szCs w:val="20"/>
          <w:color w:val="auto"/>
        </w:rPr>
      </w:pPr>
    </w:p>
    <w:p>
      <w:pPr>
        <w:jc w:val="both"/>
        <w:ind w:left="420" w:right="60" w:hanging="299"/>
        <w:spacing w:after="0" w:line="273" w:lineRule="auto"/>
        <w:tabs>
          <w:tab w:leader="none" w:pos="400" w:val="left"/>
        </w:tabs>
        <w:rPr>
          <w:sz w:val="20"/>
          <w:szCs w:val="20"/>
          <w:color w:val="auto"/>
        </w:rPr>
      </w:pPr>
      <w:r>
        <w:rPr>
          <w:rFonts w:ascii="Times New Roman" w:cs="Times New Roman" w:eastAsia="Times New Roman" w:hAnsi="Times New Roman"/>
          <w:sz w:val="17"/>
          <w:szCs w:val="17"/>
          <w:color w:val="auto"/>
        </w:rPr>
        <w:t>•</w:t>
        <w:tab/>
        <w:t>Baidu ranked second globally in the Automotive category on Fast Company’s 2026 Most Innovative Companies list, which recognized Apollo Go alongside Waymo as one of the world’s leading robotaxi services. Fast Company highlighted Apollo Go as “leading the charge toward large-scale deployment in the global robotaxi industry.”</w:t>
      </w:r>
    </w:p>
    <w:p>
      <w:pPr>
        <w:spacing w:after="0" w:line="73" w:lineRule="exact"/>
        <w:rPr>
          <w:sz w:val="20"/>
          <w:szCs w:val="20"/>
          <w:color w:val="auto"/>
        </w:rPr>
      </w:pPr>
    </w:p>
    <w:p>
      <w:pPr>
        <w:ind w:left="120"/>
        <w:spacing w:after="0"/>
        <w:tabs>
          <w:tab w:leader="none" w:pos="400" w:val="left"/>
        </w:tabs>
        <w:rPr>
          <w:sz w:val="20"/>
          <w:szCs w:val="20"/>
          <w:color w:val="auto"/>
        </w:rPr>
      </w:pPr>
      <w:r>
        <w:rPr>
          <w:rFonts w:ascii="Times New Roman" w:cs="Times New Roman" w:eastAsia="Times New Roman" w:hAnsi="Times New Roman"/>
          <w:sz w:val="17"/>
          <w:szCs w:val="17"/>
          <w:color w:val="auto"/>
        </w:rPr>
        <w:t>•</w:t>
        <w:tab/>
        <w:t>Baidu launched ERNIE 5.1 in May 2026, featuring stronger text capabilities, a more compact model size and enhanced reasoning capabilities.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7"/>
                <w:szCs w:val="17"/>
                <w:color w:val="auto"/>
              </w:rPr>
            </w:pPr>
          </w:p>
        </w:tc>
        <w:tc>
          <w:tcPr>
            <w:tcW w:w="10120" w:type="dxa"/>
            <w:vAlign w:val="bottom"/>
            <w:gridSpan w:val="4"/>
          </w:tcPr>
          <w:p>
            <w:pPr>
              <w:ind w:left="320"/>
              <w:spacing w:after="0"/>
              <w:rPr>
                <w:sz w:val="20"/>
                <w:szCs w:val="20"/>
                <w:color w:val="auto"/>
              </w:rPr>
            </w:pPr>
            <w:r>
              <w:rPr>
                <w:rFonts w:ascii="Times New Roman" w:cs="Times New Roman" w:eastAsia="Times New Roman" w:hAnsi="Times New Roman"/>
                <w:sz w:val="17"/>
                <w:szCs w:val="17"/>
                <w:color w:val="auto"/>
              </w:rPr>
              <w:t>Recently on LMArena, ERNIE 5.1 ranked first among Chinese models on the text leaderboard and topped the LMArena search leaderboard</w:t>
            </w:r>
          </w:p>
        </w:tc>
      </w:tr>
      <w:tr>
        <w:trPr>
          <w:trHeight w:val="226"/>
        </w:trPr>
        <w:tc>
          <w:tcPr>
            <w:tcW w:w="100" w:type="dxa"/>
            <w:vAlign w:val="bottom"/>
          </w:tcPr>
          <w:p>
            <w:pPr>
              <w:spacing w:after="0"/>
              <w:rPr>
                <w:sz w:val="19"/>
                <w:szCs w:val="19"/>
                <w:color w:val="auto"/>
              </w:rPr>
            </w:pPr>
          </w:p>
        </w:tc>
        <w:tc>
          <w:tcPr>
            <w:tcW w:w="10120" w:type="dxa"/>
            <w:vAlign w:val="bottom"/>
            <w:gridSpan w:val="4"/>
          </w:tcPr>
          <w:p>
            <w:pPr>
              <w:ind w:left="320"/>
              <w:spacing w:after="0"/>
              <w:rPr>
                <w:sz w:val="20"/>
                <w:szCs w:val="20"/>
                <w:color w:val="auto"/>
              </w:rPr>
            </w:pPr>
            <w:r>
              <w:rPr>
                <w:rFonts w:ascii="Times New Roman" w:cs="Times New Roman" w:eastAsia="Times New Roman" w:hAnsi="Times New Roman"/>
                <w:sz w:val="17"/>
                <w:szCs w:val="17"/>
                <w:color w:val="auto"/>
              </w:rPr>
              <w:t>among Chinese models, ranking fourth globally.</w:t>
            </w:r>
          </w:p>
        </w:tc>
      </w:tr>
      <w:tr>
        <w:trPr>
          <w:trHeight w:val="306"/>
        </w:trPr>
        <w:tc>
          <w:tcPr>
            <w:tcW w:w="100" w:type="dxa"/>
            <w:vAlign w:val="bottom"/>
          </w:tcPr>
          <w:p>
            <w:pPr>
              <w:spacing w:after="0"/>
              <w:rPr>
                <w:sz w:val="24"/>
                <w:szCs w:val="24"/>
                <w:color w:val="auto"/>
              </w:rPr>
            </w:pPr>
          </w:p>
        </w:tc>
        <w:tc>
          <w:tcPr>
            <w:tcW w:w="10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   Baidu released its annual ESG Report on May 11, 2026, which details Baidu’s latest ESG policies and sustainability initiatives</w:t>
            </w:r>
          </w:p>
        </w:tc>
      </w:tr>
      <w:tr>
        <w:trPr>
          <w:trHeight w:val="187"/>
        </w:trPr>
        <w:tc>
          <w:tcPr>
            <w:tcW w:w="100" w:type="dxa"/>
            <w:vAlign w:val="bottom"/>
          </w:tcPr>
          <w:p>
            <w:pPr>
              <w:spacing w:after="0"/>
              <w:rPr>
                <w:sz w:val="16"/>
                <w:szCs w:val="16"/>
                <w:color w:val="auto"/>
              </w:rPr>
            </w:pPr>
          </w:p>
        </w:tc>
        <w:tc>
          <w:tcPr>
            <w:tcW w:w="10120" w:type="dxa"/>
            <w:vAlign w:val="bottom"/>
            <w:gridSpan w:val="4"/>
          </w:tcPr>
          <w:p>
            <w:pPr>
              <w:ind w:left="320"/>
              <w:spacing w:after="0" w:line="187" w:lineRule="exact"/>
              <w:rPr>
                <w:sz w:val="20"/>
                <w:szCs w:val="20"/>
                <w:color w:val="auto"/>
              </w:rPr>
            </w:pPr>
            <w:r>
              <w:rPr>
                <w:rFonts w:ascii="Times New Roman" w:cs="Times New Roman" w:eastAsia="Times New Roman" w:hAnsi="Times New Roman"/>
                <w:sz w:val="17"/>
                <w:szCs w:val="17"/>
                <w:color w:val="auto"/>
              </w:rPr>
              <w:t>(http://esg.baidu.com/Uploads/Baidu_2025_ESG_Report.pdf).</w:t>
            </w:r>
          </w:p>
        </w:tc>
      </w:tr>
      <w:tr>
        <w:trPr>
          <w:trHeight w:val="20"/>
        </w:trPr>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80" w:type="dxa"/>
            <w:vAlign w:val="bottom"/>
            <w:gridSpan w:val="2"/>
            <w:shd w:val="clear" w:color="auto" w:fill="000000"/>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r>
      <w:tr>
        <w:trPr>
          <w:trHeight w:val="344"/>
        </w:trPr>
        <w:tc>
          <w:tcPr>
            <w:tcW w:w="100" w:type="dxa"/>
            <w:vAlign w:val="bottom"/>
          </w:tcPr>
          <w:p>
            <w:pPr>
              <w:spacing w:after="0"/>
              <w:rPr>
                <w:sz w:val="24"/>
                <w:szCs w:val="24"/>
                <w:color w:val="auto"/>
              </w:rPr>
            </w:pPr>
          </w:p>
        </w:tc>
        <w:tc>
          <w:tcPr>
            <w:tcW w:w="10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   Baidu returned US$172 million to shareholders in Q1 2026 through the repurchases of its shares under the current share repurchase program.</w:t>
            </w:r>
          </w:p>
        </w:tc>
      </w:tr>
      <w:tr>
        <w:trPr>
          <w:trHeight w:val="143"/>
        </w:trPr>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3480" w:type="dxa"/>
            <w:vAlign w:val="bottom"/>
          </w:tcPr>
          <w:p>
            <w:pPr>
              <w:spacing w:after="0"/>
              <w:rPr>
                <w:sz w:val="12"/>
                <w:szCs w:val="12"/>
                <w:color w:val="auto"/>
              </w:rPr>
            </w:pPr>
          </w:p>
        </w:tc>
        <w:tc>
          <w:tcPr>
            <w:tcW w:w="5560" w:type="dxa"/>
            <w:vAlign w:val="bottom"/>
          </w:tcPr>
          <w:p>
            <w:pPr>
              <w:spacing w:after="0"/>
              <w:rPr>
                <w:sz w:val="12"/>
                <w:szCs w:val="12"/>
                <w:color w:val="auto"/>
              </w:rPr>
            </w:pPr>
          </w:p>
        </w:tc>
      </w:tr>
      <w:tr>
        <w:trPr>
          <w:trHeight w:val="208"/>
        </w:trPr>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1</w:t>
            </w:r>
          </w:p>
        </w:tc>
        <w:tc>
          <w:tcPr>
            <w:tcW w:w="10120" w:type="dxa"/>
            <w:vAlign w:val="bottom"/>
            <w:gridSpan w:val="4"/>
          </w:tcPr>
          <w:p>
            <w:pPr>
              <w:ind w:left="320"/>
              <w:spacing w:after="0"/>
              <w:rPr>
                <w:sz w:val="20"/>
                <w:szCs w:val="20"/>
                <w:color w:val="auto"/>
              </w:rPr>
            </w:pPr>
            <w:r>
              <w:rPr>
                <w:rFonts w:ascii="Times New Roman" w:cs="Times New Roman" w:eastAsia="Times New Roman" w:hAnsi="Times New Roman"/>
                <w:sz w:val="17"/>
                <w:szCs w:val="17"/>
                <w:color w:val="auto"/>
              </w:rPr>
              <w:t>The revenue and operational data presented are derived from the Company’s internal management accounts and records, which have not been</w:t>
            </w:r>
          </w:p>
        </w:tc>
      </w:tr>
      <w:tr>
        <w:trPr>
          <w:trHeight w:val="226"/>
        </w:trPr>
        <w:tc>
          <w:tcPr>
            <w:tcW w:w="100" w:type="dxa"/>
            <w:vAlign w:val="bottom"/>
          </w:tcPr>
          <w:p>
            <w:pPr>
              <w:spacing w:after="0"/>
              <w:rPr>
                <w:sz w:val="19"/>
                <w:szCs w:val="19"/>
                <w:color w:val="auto"/>
              </w:rPr>
            </w:pPr>
          </w:p>
        </w:tc>
        <w:tc>
          <w:tcPr>
            <w:tcW w:w="10120" w:type="dxa"/>
            <w:vAlign w:val="bottom"/>
            <w:gridSpan w:val="4"/>
          </w:tcPr>
          <w:p>
            <w:pPr>
              <w:ind w:left="320"/>
              <w:spacing w:after="0"/>
              <w:rPr>
                <w:sz w:val="20"/>
                <w:szCs w:val="20"/>
                <w:color w:val="auto"/>
              </w:rPr>
            </w:pPr>
            <w:r>
              <w:rPr>
                <w:rFonts w:ascii="Times New Roman" w:cs="Times New Roman" w:eastAsia="Times New Roman" w:hAnsi="Times New Roman"/>
                <w:sz w:val="17"/>
                <w:szCs w:val="17"/>
                <w:color w:val="auto"/>
              </w:rPr>
              <w:t>audited.</w:t>
            </w:r>
          </w:p>
        </w:tc>
      </w:tr>
    </w:tbl>
    <w:p>
      <w:pPr>
        <w:ind w:left="420" w:right="160" w:hanging="412"/>
        <w:spacing w:after="0" w:line="201" w:lineRule="auto"/>
        <w:tabs>
          <w:tab w:leader="none" w:pos="420" w:val="left"/>
        </w:tabs>
        <w:numPr>
          <w:ilvl w:val="0"/>
          <w:numId w:val="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Non-GAAP measures are defined in the Non-GAAP Financial Measures section (see also “Reconciliations of Non-GAAP Financial Measures to the Nearest Comparable GAAP Measures” for more details).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0600"/>
          </w:cols>
          <w:pgMar w:left="640" w:top="119" w:right="6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9310" cy="37465"/>
                    </a:xfrm>
                    <a:prstGeom prst="rect">
                      <a:avLst/>
                    </a:prstGeom>
                    <a:noFill/>
                  </pic:spPr>
                </pic:pic>
              </a:graphicData>
            </a:graphic>
          </wp:anchor>
        </w:drawing>
        <w:t>Baidu Core AI-powered Business</w:t>
      </w:r>
    </w:p>
    <w:p>
      <w:pPr>
        <w:spacing w:after="0" w:line="1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i w:val="1"/>
          <w:iCs w:val="1"/>
          <w:color w:val="auto"/>
        </w:rPr>
        <w:t>AI Cloud Infra</w:t>
      </w:r>
    </w:p>
    <w:p>
      <w:pPr>
        <w:spacing w:after="0" w:line="131" w:lineRule="exact"/>
        <w:rPr>
          <w:sz w:val="20"/>
          <w:szCs w:val="20"/>
          <w:color w:val="auto"/>
        </w:rPr>
      </w:pPr>
    </w:p>
    <w:p>
      <w:pPr>
        <w:ind w:left="940" w:hanging="412"/>
        <w:spacing w:after="0"/>
        <w:tabs>
          <w:tab w:leader="none" w:pos="9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from AI Cloud Infra was RMB 8.8 billion in the first quarter of 2026, up 79% year over year.</w:t>
      </w:r>
    </w:p>
    <w:p>
      <w:pPr>
        <w:spacing w:after="0" w:line="129" w:lineRule="exact"/>
        <w:rPr>
          <w:rFonts w:ascii="Times New Roman" w:cs="Times New Roman" w:eastAsia="Times New Roman" w:hAnsi="Times New Roman"/>
          <w:sz w:val="17"/>
          <w:szCs w:val="17"/>
          <w:color w:val="auto"/>
        </w:rPr>
      </w:pPr>
    </w:p>
    <w:p>
      <w:pPr>
        <w:ind w:left="940" w:hanging="412"/>
        <w:spacing w:after="0"/>
        <w:tabs>
          <w:tab w:leader="none" w:pos="9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from GPU Cloud</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7"/>
          <w:szCs w:val="17"/>
          <w:color w:val="auto"/>
        </w:rPr>
        <w:t xml:space="preserve"> increased by 184% year over year in the first quarter of 2026.</w:t>
      </w:r>
    </w:p>
    <w:p>
      <w:pPr>
        <w:spacing w:after="0" w:line="2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i w:val="1"/>
          <w:iCs w:val="1"/>
          <w:color w:val="auto"/>
        </w:rPr>
        <w:t>AI Applications</w:t>
      </w:r>
    </w:p>
    <w:p>
      <w:pPr>
        <w:spacing w:after="0" w:line="131" w:lineRule="exact"/>
        <w:rPr>
          <w:sz w:val="20"/>
          <w:szCs w:val="20"/>
          <w:color w:val="auto"/>
        </w:rPr>
      </w:pPr>
    </w:p>
    <w:p>
      <w:pPr>
        <w:ind w:left="940" w:hanging="412"/>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from AI Applications was RMB 2.5 billion in the first quarter of 2026, approximately flat year over year.</w:t>
      </w:r>
    </w:p>
    <w:p>
      <w:pPr>
        <w:spacing w:after="0" w:line="129" w:lineRule="exact"/>
        <w:rPr>
          <w:rFonts w:ascii="Times New Roman" w:cs="Times New Roman" w:eastAsia="Times New Roman" w:hAnsi="Times New Roman"/>
          <w:sz w:val="17"/>
          <w:szCs w:val="17"/>
          <w:color w:val="auto"/>
        </w:rPr>
      </w:pPr>
    </w:p>
    <w:p>
      <w:pPr>
        <w:ind w:left="940" w:right="360" w:hanging="412"/>
        <w:spacing w:after="0" w:line="292" w:lineRule="auto"/>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Baidu launched DuMate, its general-purpose agent for everyday productivity, in March 2026, which autonomously executes complex, multi-step workflows across applications and files end-to-end.</w:t>
      </w:r>
    </w:p>
    <w:p>
      <w:pPr>
        <w:spacing w:after="0" w:line="56" w:lineRule="exact"/>
        <w:rPr>
          <w:rFonts w:ascii="Times New Roman" w:cs="Times New Roman" w:eastAsia="Times New Roman" w:hAnsi="Times New Roman"/>
          <w:sz w:val="17"/>
          <w:szCs w:val="17"/>
          <w:color w:val="auto"/>
        </w:rPr>
      </w:pPr>
    </w:p>
    <w:p>
      <w:pPr>
        <w:ind w:left="940" w:right="200" w:hanging="412"/>
        <w:spacing w:after="0" w:line="292" w:lineRule="auto"/>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Baidu launched Miaoda 3.0, its vibe coding platform, at Baidu Create 2026, introducing enterprise and mobile versions and enabling the generation of standalone applications.</w:t>
      </w:r>
    </w:p>
    <w:p>
      <w:pPr>
        <w:spacing w:after="0" w:line="56" w:lineRule="exact"/>
        <w:rPr>
          <w:rFonts w:ascii="Times New Roman" w:cs="Times New Roman" w:eastAsia="Times New Roman" w:hAnsi="Times New Roman"/>
          <w:sz w:val="17"/>
          <w:szCs w:val="17"/>
          <w:color w:val="auto"/>
        </w:rPr>
      </w:pPr>
    </w:p>
    <w:p>
      <w:pPr>
        <w:ind w:left="940" w:right="840" w:hanging="412"/>
        <w:spacing w:after="0" w:line="292" w:lineRule="auto"/>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Baidu launched Famou Agent 2.0, its self-evolving agent, at Baidu Create 2026. Famou Agent 2.0 has achieved state-of-the-art performance on MLE-Bench, a leading machine learning engineering benchmark, setting a new SOTA record.</w:t>
      </w:r>
    </w:p>
    <w:p>
      <w:pPr>
        <w:spacing w:after="0" w:line="56" w:lineRule="exact"/>
        <w:rPr>
          <w:rFonts w:ascii="Times New Roman" w:cs="Times New Roman" w:eastAsia="Times New Roman" w:hAnsi="Times New Roman"/>
          <w:sz w:val="17"/>
          <w:szCs w:val="17"/>
          <w:color w:val="auto"/>
        </w:rPr>
      </w:pPr>
    </w:p>
    <w:p>
      <w:pPr>
        <w:ind w:left="940" w:right="520" w:hanging="412"/>
        <w:spacing w:after="0" w:line="292" w:lineRule="auto"/>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Baidu Wenku and Baidu Drive launched GenFlow 4.0 in April 2026, enhancing its agent capabilities for more efficient productivity workflows.</w:t>
      </w:r>
    </w:p>
    <w:p>
      <w:pPr>
        <w:spacing w:after="0" w:line="2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i w:val="1"/>
          <w:iCs w:val="1"/>
          <w:color w:val="auto"/>
        </w:rPr>
        <w:t>Robotaxi</w:t>
      </w:r>
    </w:p>
    <w:p>
      <w:pPr>
        <w:spacing w:after="0" w:line="131" w:lineRule="exact"/>
        <w:rPr>
          <w:sz w:val="20"/>
          <w:szCs w:val="20"/>
          <w:color w:val="auto"/>
        </w:rPr>
      </w:pPr>
    </w:p>
    <w:p>
      <w:pPr>
        <w:ind w:left="940" w:right="280" w:hanging="412"/>
        <w:spacing w:after="0" w:line="273" w:lineRule="auto"/>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first quarter of 2026, Apollo Go, Baidu’s autonomous ride-hailing service, delivered 3.2 million fully driverless operational rides with weekly rides peaking at over 350,000 in March. Total rides increased by over 120% year over year. As of April 2026, cumulative rides provided to the public by Apollo Go exceeded 22 million.</w:t>
      </w:r>
    </w:p>
    <w:p>
      <w:pPr>
        <w:spacing w:after="0" w:line="72" w:lineRule="exact"/>
        <w:rPr>
          <w:rFonts w:ascii="Times New Roman" w:cs="Times New Roman" w:eastAsia="Times New Roman" w:hAnsi="Times New Roman"/>
          <w:sz w:val="17"/>
          <w:szCs w:val="17"/>
          <w:color w:val="auto"/>
        </w:rPr>
      </w:pPr>
    </w:p>
    <w:p>
      <w:pPr>
        <w:ind w:left="940" w:hanging="412"/>
        <w:spacing w:after="0" w:line="273" w:lineRule="auto"/>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Apollo Go continued to advance its global expansion. In Europe, Apollo Go is on track to commence open-road testing in Switzerland, and is expected to begin testing in London with Uber and Lyft soon. In the Middle East, Apollo Go’s fully driverless operations are running across multiple zones in Dubai, with the Apollo Go App launched in March.</w:t>
      </w:r>
    </w:p>
    <w:p>
      <w:pPr>
        <w:spacing w:after="0" w:line="72" w:lineRule="exact"/>
        <w:rPr>
          <w:rFonts w:ascii="Times New Roman" w:cs="Times New Roman" w:eastAsia="Times New Roman" w:hAnsi="Times New Roman"/>
          <w:sz w:val="17"/>
          <w:szCs w:val="17"/>
          <w:color w:val="auto"/>
        </w:rPr>
      </w:pPr>
    </w:p>
    <w:p>
      <w:pPr>
        <w:ind w:left="940" w:right="40" w:hanging="412"/>
        <w:spacing w:after="0" w:line="292" w:lineRule="auto"/>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May 2026, Apollo Go’s global footprint reached 27 cities. To date, Apollo Go fleets have accumulated over 330 million autonomous kilometers, including over 220 million fully driverless autonomous kilometers, with an outstanding safety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416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41680" cy="8255"/>
                    </a:xfrm>
                    <a:prstGeom prst="rect">
                      <a:avLst/>
                    </a:prstGeom>
                    <a:noFill/>
                  </pic:spPr>
                </pic:pic>
              </a:graphicData>
            </a:graphic>
          </wp:anchor>
        </w:drawing>
      </w:r>
    </w:p>
    <w:p>
      <w:pPr>
        <w:spacing w:after="0" w:line="101" w:lineRule="exact"/>
        <w:rPr>
          <w:sz w:val="20"/>
          <w:szCs w:val="20"/>
          <w:color w:val="auto"/>
        </w:rPr>
      </w:pPr>
    </w:p>
    <w:p>
      <w:pPr>
        <w:ind w:left="420" w:right="300" w:hanging="412"/>
        <w:spacing w:after="0" w:line="210" w:lineRule="auto"/>
        <w:tabs>
          <w:tab w:leader="none" w:pos="420" w:val="left"/>
        </w:tabs>
        <w:numPr>
          <w:ilvl w:val="0"/>
          <w:numId w:val="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Revenue from GPU Cloud was previously referred to as subscription-based revenue from AI accelerator infrastructure. This change in naming does not imply any change in the underlying revenue definition or scope.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580"/>
          </w:cols>
          <w:pgMar w:left="640" w:top="262" w:right="679" w:bottom="1440" w:gutter="0" w:footer="0" w:header="0"/>
        </w:sectPr>
      </w:pPr>
    </w:p>
    <w:bookmarkStart w:id="5" w:name="page6"/>
    <w:bookmarkEnd w:id="5"/>
    <w:p>
      <w:pPr>
        <w:ind w:left="220"/>
        <w:spacing w:after="0"/>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9310" cy="37465"/>
                    </a:xfrm>
                    <a:prstGeom prst="rect">
                      <a:avLst/>
                    </a:prstGeom>
                    <a:noFill/>
                  </pic:spPr>
                </pic:pic>
              </a:graphicData>
            </a:graphic>
          </wp:anchor>
        </w:drawing>
        <w:t>AI-native Marketing Services</w:t>
      </w:r>
    </w:p>
    <w:p>
      <w:pPr>
        <w:spacing w:after="0" w:line="131" w:lineRule="exact"/>
        <w:rPr>
          <w:sz w:val="20"/>
          <w:szCs w:val="20"/>
          <w:color w:val="auto"/>
        </w:rPr>
      </w:pPr>
    </w:p>
    <w:p>
      <w:pPr>
        <w:ind w:left="940" w:hanging="412"/>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from AI-native marketing services reached RMB 2.3 billion in the first quarter of 2026, up 36% year over year.</w:t>
      </w:r>
    </w:p>
    <w:p>
      <w:pPr>
        <w:spacing w:after="0" w:line="129" w:lineRule="exact"/>
        <w:rPr>
          <w:rFonts w:ascii="Times New Roman" w:cs="Times New Roman" w:eastAsia="Times New Roman" w:hAnsi="Times New Roman"/>
          <w:sz w:val="17"/>
          <w:szCs w:val="17"/>
          <w:color w:val="auto"/>
        </w:rPr>
      </w:pPr>
    </w:p>
    <w:p>
      <w:pPr>
        <w:ind w:left="940" w:hanging="412"/>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Baidu App’s MAUs reached 655 million in March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selected revenue highlights for our Baidu Core AI-powered Business for the periods indicated: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740" w:type="dxa"/>
            <w:vAlign w:val="bottom"/>
            <w:gridSpan w:val="4"/>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Q1</w:t>
            </w:r>
          </w:p>
        </w:tc>
        <w:tc>
          <w:tcPr>
            <w:tcW w:w="2220" w:type="dxa"/>
            <w:vAlign w:val="bottom"/>
            <w:gridSpan w:val="1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Baidu General Business</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7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billions)</w:t>
            </w:r>
          </w:p>
        </w:tc>
        <w:tc>
          <w:tcPr>
            <w:tcW w:w="740" w:type="dxa"/>
            <w:vAlign w:val="bottom"/>
            <w:gridSpan w:val="4"/>
            <w:vMerge w:val="continue"/>
          </w:tcPr>
          <w:p>
            <w:pPr>
              <w:spacing w:after="0"/>
              <w:rPr>
                <w:sz w:val="12"/>
                <w:szCs w:val="12"/>
                <w:color w:val="auto"/>
              </w:rPr>
            </w:pPr>
          </w:p>
        </w:tc>
        <w:tc>
          <w:tcPr>
            <w:tcW w:w="420" w:type="dxa"/>
            <w:vAlign w:val="bottom"/>
            <w:gridSpan w:val="3"/>
          </w:tcPr>
          <w:p>
            <w:pPr>
              <w:jc w:val="center"/>
              <w:ind w:right="40"/>
              <w:spacing w:after="0" w:line="143" w:lineRule="exact"/>
              <w:rPr>
                <w:sz w:val="20"/>
                <w:szCs w:val="20"/>
                <w:color w:val="auto"/>
              </w:rPr>
            </w:pPr>
            <w:r>
              <w:rPr>
                <w:rFonts w:ascii="Times New Roman" w:cs="Times New Roman" w:eastAsia="Times New Roman" w:hAnsi="Times New Roman"/>
                <w:sz w:val="14"/>
                <w:szCs w:val="14"/>
                <w:b w:val="1"/>
                <w:bCs w:val="1"/>
                <w:color w:val="auto"/>
              </w:rPr>
              <w:t>Q4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4"/>
          </w:tcPr>
          <w:p>
            <w:pPr>
              <w:jc w:val="center"/>
              <w:ind w:right="440"/>
              <w:spacing w:after="0" w:line="143" w:lineRule="exact"/>
              <w:rPr>
                <w:sz w:val="20"/>
                <w:szCs w:val="20"/>
                <w:color w:val="auto"/>
              </w:rPr>
            </w:pPr>
            <w:r>
              <w:rPr>
                <w:rFonts w:ascii="Times New Roman" w:cs="Times New Roman" w:eastAsia="Times New Roman" w:hAnsi="Times New Roman"/>
                <w:sz w:val="14"/>
                <w:szCs w:val="14"/>
                <w:b w:val="1"/>
                <w:bCs w:val="1"/>
                <w:color w:val="auto"/>
              </w:rPr>
              <w:t>Q1</w:t>
            </w:r>
          </w:p>
        </w:tc>
        <w:tc>
          <w:tcPr>
            <w:tcW w:w="700" w:type="dxa"/>
            <w:vAlign w:val="bottom"/>
            <w:gridSpan w:val="4"/>
            <w:vMerge w:val="restart"/>
          </w:tcPr>
          <w:p>
            <w:pPr>
              <w:jc w:val="right"/>
              <w:ind w:right="460"/>
              <w:spacing w:after="0"/>
              <w:rPr>
                <w:sz w:val="20"/>
                <w:szCs w:val="20"/>
                <w:color w:val="auto"/>
              </w:rPr>
            </w:pPr>
            <w:r>
              <w:rPr>
                <w:rFonts w:ascii="Times New Roman" w:cs="Times New Roman" w:eastAsia="Times New Roman" w:hAnsi="Times New Roman"/>
                <w:sz w:val="14"/>
                <w:szCs w:val="14"/>
                <w:i w:val="1"/>
                <w:iCs w:val="1"/>
                <w:color w:val="auto"/>
                <w:w w:val="97"/>
              </w:rPr>
              <w:t>YoY</w:t>
            </w:r>
          </w:p>
        </w:tc>
        <w:tc>
          <w:tcPr>
            <w:tcW w:w="5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i w:val="1"/>
                <w:iCs w:val="1"/>
                <w:color w:val="auto"/>
                <w:w w:val="95"/>
              </w:rPr>
              <w:t>QoQ</w:t>
            </w:r>
          </w:p>
        </w:tc>
        <w:tc>
          <w:tcPr>
            <w:tcW w:w="0" w:type="dxa"/>
            <w:vAlign w:val="bottom"/>
          </w:tcPr>
          <w:p>
            <w:pPr>
              <w:spacing w:after="0"/>
              <w:rPr>
                <w:sz w:val="1"/>
                <w:szCs w:val="1"/>
                <w:color w:val="auto"/>
              </w:rPr>
            </w:pPr>
          </w:p>
        </w:tc>
      </w:tr>
      <w:tr>
        <w:trPr>
          <w:trHeight w:val="167"/>
        </w:trPr>
        <w:tc>
          <w:tcPr>
            <w:tcW w:w="7100" w:type="dxa"/>
            <w:vAlign w:val="bottom"/>
            <w:vMerge w:val="continue"/>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2026</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7100" w:type="dxa"/>
            <w:vAlign w:val="bottom"/>
          </w:tcPr>
          <w:p>
            <w:pPr>
              <w:spacing w:after="0"/>
              <w:rPr>
                <w:sz w:val="11"/>
                <w:szCs w:val="11"/>
                <w:color w:val="auto"/>
              </w:rPr>
            </w:pPr>
          </w:p>
        </w:tc>
        <w:tc>
          <w:tcPr>
            <w:tcW w:w="380" w:type="dxa"/>
            <w:vAlign w:val="bottom"/>
            <w:tcBorders>
              <w:top w:val="single" w:sz="8" w:color="auto"/>
            </w:tcBorders>
            <w:gridSpan w:val="2"/>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RMB</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Borders>
              <w:top w:val="single" w:sz="8" w:color="auto"/>
            </w:tcBorders>
            <w:gridSpan w:val="2"/>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Borders>
              <w:top w:val="single" w:sz="8" w:color="auto"/>
            </w:tcBorders>
            <w:gridSpan w:val="3"/>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710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7"/>
                <w:szCs w:val="17"/>
                <w:b w:val="1"/>
                <w:bCs w:val="1"/>
                <w:color w:val="auto"/>
              </w:rPr>
              <w:t>Baidu Core AI-powered Business</w:t>
            </w:r>
            <w:r>
              <w:rPr>
                <w:rFonts w:ascii="Times New Roman" w:cs="Times New Roman" w:eastAsia="Times New Roman" w:hAnsi="Times New Roman"/>
                <w:sz w:val="24"/>
                <w:szCs w:val="24"/>
                <w:b w:val="1"/>
                <w:bCs w:val="1"/>
                <w:color w:val="auto"/>
                <w:vertAlign w:val="superscript"/>
              </w:rPr>
              <w:t>1</w:t>
            </w:r>
          </w:p>
        </w:tc>
        <w:tc>
          <w:tcPr>
            <w:tcW w:w="700" w:type="dxa"/>
            <w:vAlign w:val="bottom"/>
            <w:gridSpan w:val="3"/>
            <w:shd w:val="clear" w:color="auto" w:fill="CCEEFF"/>
          </w:tcPr>
          <w:p>
            <w:pPr>
              <w:jc w:val="right"/>
              <w:ind w:right="251"/>
              <w:spacing w:after="0"/>
              <w:rPr>
                <w:sz w:val="20"/>
                <w:szCs w:val="20"/>
                <w:color w:val="auto"/>
              </w:rPr>
            </w:pPr>
            <w:r>
              <w:rPr>
                <w:rFonts w:ascii="Times New Roman" w:cs="Times New Roman" w:eastAsia="Times New Roman" w:hAnsi="Times New Roman"/>
                <w:sz w:val="17"/>
                <w:szCs w:val="17"/>
                <w:b w:val="1"/>
                <w:bCs w:val="1"/>
                <w:color w:val="auto"/>
              </w:rPr>
              <w:t>9.1</w:t>
            </w:r>
          </w:p>
        </w:tc>
        <w:tc>
          <w:tcPr>
            <w:tcW w:w="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11.3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13.6</w:t>
            </w:r>
          </w:p>
        </w:tc>
        <w:tc>
          <w:tcPr>
            <w:tcW w:w="2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i w:val="1"/>
                <w:iCs w:val="1"/>
                <w:color w:val="auto"/>
              </w:rPr>
              <w:t>49%</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i w:val="1"/>
                <w:iCs w:val="1"/>
                <w:color w:val="auto"/>
              </w:rPr>
              <w:t>21%</w:t>
            </w:r>
          </w:p>
        </w:tc>
        <w:tc>
          <w:tcPr>
            <w:tcW w:w="0" w:type="dxa"/>
            <w:vAlign w:val="bottom"/>
          </w:tcPr>
          <w:p>
            <w:pPr>
              <w:spacing w:after="0"/>
              <w:rPr>
                <w:sz w:val="1"/>
                <w:szCs w:val="1"/>
                <w:color w:val="auto"/>
              </w:rPr>
            </w:pPr>
          </w:p>
        </w:tc>
      </w:tr>
      <w:tr>
        <w:trPr>
          <w:trHeight w:val="208"/>
        </w:trPr>
        <w:tc>
          <w:tcPr>
            <w:tcW w:w="71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 AI Cloud Infra</w:t>
            </w:r>
          </w:p>
        </w:tc>
        <w:tc>
          <w:tcPr>
            <w:tcW w:w="700" w:type="dxa"/>
            <w:vAlign w:val="bottom"/>
            <w:gridSpan w:val="3"/>
          </w:tcPr>
          <w:p>
            <w:pPr>
              <w:jc w:val="right"/>
              <w:ind w:right="251"/>
              <w:spacing w:after="0"/>
              <w:rPr>
                <w:sz w:val="20"/>
                <w:szCs w:val="20"/>
                <w:color w:val="auto"/>
              </w:rPr>
            </w:pPr>
            <w:r>
              <w:rPr>
                <w:rFonts w:ascii="Times New Roman" w:cs="Times New Roman" w:eastAsia="Times New Roman" w:hAnsi="Times New Roman"/>
                <w:sz w:val="17"/>
                <w:szCs w:val="17"/>
                <w:color w:val="auto"/>
              </w:rPr>
              <w:t>4.9</w:t>
            </w:r>
          </w:p>
        </w:tc>
        <w:tc>
          <w:tcPr>
            <w:tcW w:w="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8.8</w:t>
            </w:r>
          </w:p>
        </w:tc>
        <w:tc>
          <w:tcPr>
            <w:tcW w:w="220" w:type="dxa"/>
            <w:vAlign w:val="bottom"/>
          </w:tcPr>
          <w:p>
            <w:pPr>
              <w:spacing w:after="0"/>
              <w:rPr>
                <w:sz w:val="18"/>
                <w:szCs w:val="18"/>
                <w:color w:val="auto"/>
              </w:rPr>
            </w:pPr>
          </w:p>
        </w:tc>
        <w:tc>
          <w:tcPr>
            <w:tcW w:w="700" w:type="dxa"/>
            <w:vAlign w:val="bottom"/>
            <w:gridSpan w:val="4"/>
          </w:tcPr>
          <w:p>
            <w:pPr>
              <w:jc w:val="right"/>
              <w:ind w:right="280"/>
              <w:spacing w:after="0"/>
              <w:rPr>
                <w:sz w:val="20"/>
                <w:szCs w:val="20"/>
                <w:color w:val="auto"/>
              </w:rPr>
            </w:pPr>
            <w:r>
              <w:rPr>
                <w:rFonts w:ascii="Times New Roman" w:cs="Times New Roman" w:eastAsia="Times New Roman" w:hAnsi="Times New Roman"/>
                <w:sz w:val="17"/>
                <w:szCs w:val="17"/>
                <w:i w:val="1"/>
                <w:iCs w:val="1"/>
                <w:color w:val="auto"/>
              </w:rPr>
              <w:t>79%</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i w:val="1"/>
                <w:iCs w:val="1"/>
                <w:color w:val="auto"/>
              </w:rPr>
              <w:t>52%</w:t>
            </w:r>
          </w:p>
        </w:tc>
        <w:tc>
          <w:tcPr>
            <w:tcW w:w="0" w:type="dxa"/>
            <w:vAlign w:val="bottom"/>
          </w:tcPr>
          <w:p>
            <w:pPr>
              <w:spacing w:after="0"/>
              <w:rPr>
                <w:sz w:val="1"/>
                <w:szCs w:val="1"/>
                <w:color w:val="auto"/>
              </w:rPr>
            </w:pPr>
          </w:p>
        </w:tc>
      </w:tr>
      <w:tr>
        <w:trPr>
          <w:trHeight w:val="208"/>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 AI Applications</w:t>
            </w:r>
          </w:p>
        </w:tc>
        <w:tc>
          <w:tcPr>
            <w:tcW w:w="700" w:type="dxa"/>
            <w:vAlign w:val="bottom"/>
            <w:gridSpan w:val="3"/>
            <w:shd w:val="clear" w:color="auto" w:fill="CCEEFF"/>
          </w:tcPr>
          <w:p>
            <w:pPr>
              <w:jc w:val="right"/>
              <w:ind w:right="251"/>
              <w:spacing w:after="0"/>
              <w:rPr>
                <w:sz w:val="20"/>
                <w:szCs w:val="20"/>
                <w:color w:val="auto"/>
              </w:rPr>
            </w:pPr>
            <w:r>
              <w:rPr>
                <w:rFonts w:ascii="Times New Roman" w:cs="Times New Roman" w:eastAsia="Times New Roman" w:hAnsi="Times New Roman"/>
                <w:sz w:val="17"/>
                <w:szCs w:val="17"/>
                <w:color w:val="auto"/>
              </w:rPr>
              <w:t>2.5</w:t>
            </w:r>
          </w:p>
        </w:tc>
        <w:tc>
          <w:tcPr>
            <w:tcW w:w="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2.5</w:t>
            </w:r>
          </w:p>
        </w:tc>
        <w:tc>
          <w:tcPr>
            <w:tcW w:w="2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i w:val="1"/>
                <w:iCs w:val="1"/>
                <w:color w:val="auto"/>
              </w:rPr>
              <w:t>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i w:val="1"/>
                <w:iCs w:val="1"/>
                <w:color w:val="auto"/>
              </w:rPr>
              <w:t>(10%)</w:t>
            </w:r>
          </w:p>
        </w:tc>
        <w:tc>
          <w:tcPr>
            <w:tcW w:w="0" w:type="dxa"/>
            <w:vAlign w:val="bottom"/>
          </w:tcPr>
          <w:p>
            <w:pPr>
              <w:spacing w:after="0"/>
              <w:rPr>
                <w:sz w:val="1"/>
                <w:szCs w:val="1"/>
                <w:color w:val="auto"/>
              </w:rPr>
            </w:pPr>
          </w:p>
        </w:tc>
      </w:tr>
      <w:tr>
        <w:trPr>
          <w:trHeight w:val="208"/>
        </w:trPr>
        <w:tc>
          <w:tcPr>
            <w:tcW w:w="71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 AI-native Marketing Services</w:t>
            </w:r>
          </w:p>
        </w:tc>
        <w:tc>
          <w:tcPr>
            <w:tcW w:w="700" w:type="dxa"/>
            <w:vAlign w:val="bottom"/>
            <w:gridSpan w:val="3"/>
          </w:tcPr>
          <w:p>
            <w:pPr>
              <w:jc w:val="right"/>
              <w:ind w:right="251"/>
              <w:spacing w:after="0"/>
              <w:rPr>
                <w:sz w:val="20"/>
                <w:szCs w:val="20"/>
                <w:color w:val="auto"/>
              </w:rPr>
            </w:pPr>
            <w:r>
              <w:rPr>
                <w:rFonts w:ascii="Times New Roman" w:cs="Times New Roman" w:eastAsia="Times New Roman" w:hAnsi="Times New Roman"/>
                <w:sz w:val="17"/>
                <w:szCs w:val="17"/>
                <w:color w:val="auto"/>
              </w:rPr>
              <w:t>1.7</w:t>
            </w:r>
          </w:p>
        </w:tc>
        <w:tc>
          <w:tcPr>
            <w:tcW w:w="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2.3</w:t>
            </w:r>
          </w:p>
        </w:tc>
        <w:tc>
          <w:tcPr>
            <w:tcW w:w="220" w:type="dxa"/>
            <w:vAlign w:val="bottom"/>
          </w:tcPr>
          <w:p>
            <w:pPr>
              <w:spacing w:after="0"/>
              <w:rPr>
                <w:sz w:val="18"/>
                <w:szCs w:val="18"/>
                <w:color w:val="auto"/>
              </w:rPr>
            </w:pPr>
          </w:p>
        </w:tc>
        <w:tc>
          <w:tcPr>
            <w:tcW w:w="700" w:type="dxa"/>
            <w:vAlign w:val="bottom"/>
            <w:gridSpan w:val="4"/>
          </w:tcPr>
          <w:p>
            <w:pPr>
              <w:jc w:val="right"/>
              <w:ind w:right="280"/>
              <w:spacing w:after="0"/>
              <w:rPr>
                <w:sz w:val="20"/>
                <w:szCs w:val="20"/>
                <w:color w:val="auto"/>
              </w:rPr>
            </w:pPr>
            <w:r>
              <w:rPr>
                <w:rFonts w:ascii="Times New Roman" w:cs="Times New Roman" w:eastAsia="Times New Roman" w:hAnsi="Times New Roman"/>
                <w:sz w:val="17"/>
                <w:szCs w:val="17"/>
                <w:i w:val="1"/>
                <w:iCs w:val="1"/>
                <w:color w:val="auto"/>
              </w:rPr>
              <w:t>36%</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i w:val="1"/>
                <w:iCs w:val="1"/>
                <w:color w:val="auto"/>
              </w:rPr>
              <w:t>(15%)</w:t>
            </w:r>
          </w:p>
        </w:tc>
        <w:tc>
          <w:tcPr>
            <w:tcW w:w="0" w:type="dxa"/>
            <w:vAlign w:val="bottom"/>
          </w:tcPr>
          <w:p>
            <w:pPr>
              <w:spacing w:after="0"/>
              <w:rPr>
                <w:sz w:val="1"/>
                <w:szCs w:val="1"/>
                <w:color w:val="auto"/>
              </w:rPr>
            </w:pPr>
          </w:p>
        </w:tc>
      </w:tr>
      <w:tr>
        <w:trPr>
          <w:trHeight w:val="208"/>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 of Baidu General Business</w:t>
            </w:r>
          </w:p>
        </w:tc>
        <w:tc>
          <w:tcPr>
            <w:tcW w:w="700" w:type="dxa"/>
            <w:vAlign w:val="bottom"/>
            <w:gridSpan w:val="3"/>
            <w:shd w:val="clear" w:color="auto" w:fill="CCEEFF"/>
          </w:tcPr>
          <w:p>
            <w:pPr>
              <w:jc w:val="right"/>
              <w:ind w:right="111"/>
              <w:spacing w:after="0"/>
              <w:rPr>
                <w:sz w:val="20"/>
                <w:szCs w:val="20"/>
                <w:color w:val="auto"/>
              </w:rPr>
            </w:pPr>
            <w:r>
              <w:rPr>
                <w:rFonts w:ascii="Times New Roman" w:cs="Times New Roman" w:eastAsia="Times New Roman" w:hAnsi="Times New Roman"/>
                <w:sz w:val="17"/>
                <w:szCs w:val="17"/>
                <w:color w:val="auto"/>
              </w:rPr>
              <w:t>36%</w:t>
            </w:r>
          </w:p>
        </w:tc>
        <w:tc>
          <w:tcPr>
            <w:tcW w:w="4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52%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100" w:type="dxa"/>
            <w:vAlign w:val="bottom"/>
          </w:tcPr>
          <w:p>
            <w:pPr>
              <w:spacing w:after="0" w:line="213" w:lineRule="exact"/>
              <w:rPr>
                <w:sz w:val="20"/>
                <w:szCs w:val="20"/>
                <w:color w:val="auto"/>
              </w:rPr>
            </w:pPr>
            <w:r>
              <w:rPr>
                <w:rFonts w:ascii="Times New Roman" w:cs="Times New Roman" w:eastAsia="Times New Roman" w:hAnsi="Times New Roman"/>
                <w:sz w:val="17"/>
                <w:szCs w:val="17"/>
                <w:color w:val="auto"/>
              </w:rPr>
              <w:t>Legacy Business</w:t>
            </w:r>
            <w:r>
              <w:rPr>
                <w:rFonts w:ascii="Times New Roman" w:cs="Times New Roman" w:eastAsia="Times New Roman" w:hAnsi="Times New Roman"/>
                <w:sz w:val="24"/>
                <w:szCs w:val="24"/>
                <w:color w:val="auto"/>
                <w:vertAlign w:val="superscript"/>
              </w:rPr>
              <w:t>1</w:t>
            </w:r>
          </w:p>
        </w:tc>
        <w:tc>
          <w:tcPr>
            <w:tcW w:w="700" w:type="dxa"/>
            <w:vAlign w:val="bottom"/>
            <w:gridSpan w:val="3"/>
          </w:tcPr>
          <w:p>
            <w:pPr>
              <w:jc w:val="right"/>
              <w:ind w:right="251"/>
              <w:spacing w:after="0"/>
              <w:rPr>
                <w:sz w:val="20"/>
                <w:szCs w:val="20"/>
                <w:color w:val="auto"/>
              </w:rPr>
            </w:pPr>
            <w:r>
              <w:rPr>
                <w:rFonts w:ascii="Times New Roman" w:cs="Times New Roman" w:eastAsia="Times New Roman" w:hAnsi="Times New Roman"/>
                <w:sz w:val="17"/>
                <w:szCs w:val="17"/>
                <w:color w:val="auto"/>
              </w:rPr>
              <w:t>14.3</w:t>
            </w:r>
          </w:p>
        </w:tc>
        <w:tc>
          <w:tcPr>
            <w:tcW w:w="40" w:type="dxa"/>
            <w:vAlign w:val="bottom"/>
          </w:tcPr>
          <w:p>
            <w:pPr>
              <w:spacing w:after="0"/>
              <w:rPr>
                <w:sz w:val="18"/>
                <w:szCs w:val="18"/>
                <w:color w:val="auto"/>
              </w:rPr>
            </w:pP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4"/>
          </w:tcPr>
          <w:p>
            <w:pPr>
              <w:jc w:val="right"/>
              <w:ind w:right="220"/>
              <w:spacing w:after="0"/>
              <w:rPr>
                <w:sz w:val="20"/>
                <w:szCs w:val="20"/>
                <w:color w:val="auto"/>
              </w:rPr>
            </w:pPr>
            <w:r>
              <w:rPr>
                <w:rFonts w:ascii="Times New Roman" w:cs="Times New Roman" w:eastAsia="Times New Roman" w:hAnsi="Times New Roman"/>
                <w:sz w:val="17"/>
                <w:szCs w:val="17"/>
                <w:i w:val="1"/>
                <w:iCs w:val="1"/>
                <w:color w:val="auto"/>
              </w:rPr>
              <w:t>(29%)</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i w:val="1"/>
                <w:iCs w:val="1"/>
                <w:color w:val="auto"/>
              </w:rPr>
              <w:t>(18%)</w:t>
            </w:r>
          </w:p>
        </w:tc>
        <w:tc>
          <w:tcPr>
            <w:tcW w:w="0" w:type="dxa"/>
            <w:vAlign w:val="bottom"/>
          </w:tcPr>
          <w:p>
            <w:pPr>
              <w:spacing w:after="0"/>
              <w:rPr>
                <w:sz w:val="1"/>
                <w:szCs w:val="1"/>
                <w:color w:val="auto"/>
              </w:rPr>
            </w:pPr>
          </w:p>
        </w:tc>
      </w:tr>
      <w:tr>
        <w:trPr>
          <w:trHeight w:val="208"/>
        </w:trPr>
        <w:tc>
          <w:tcPr>
            <w:tcW w:w="710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7"/>
                <w:szCs w:val="17"/>
                <w:color w:val="auto"/>
              </w:rPr>
              <w:t>Others</w:t>
            </w:r>
            <w:r>
              <w:rPr>
                <w:rFonts w:ascii="Times New Roman" w:cs="Times New Roman" w:eastAsia="Times New Roman" w:hAnsi="Times New Roman"/>
                <w:sz w:val="24"/>
                <w:szCs w:val="24"/>
                <w:color w:val="auto"/>
                <w:vertAlign w:val="superscript"/>
              </w:rPr>
              <w:t>1</w:t>
            </w:r>
          </w:p>
        </w:tc>
        <w:tc>
          <w:tcPr>
            <w:tcW w:w="700" w:type="dxa"/>
            <w:vAlign w:val="bottom"/>
            <w:gridSpan w:val="3"/>
            <w:shd w:val="clear" w:color="auto" w:fill="CCEEFF"/>
          </w:tcPr>
          <w:p>
            <w:pPr>
              <w:jc w:val="right"/>
              <w:ind w:right="251"/>
              <w:spacing w:after="0"/>
              <w:rPr>
                <w:sz w:val="20"/>
                <w:szCs w:val="20"/>
                <w:color w:val="auto"/>
              </w:rPr>
            </w:pPr>
            <w:r>
              <w:rPr>
                <w:rFonts w:ascii="Times New Roman" w:cs="Times New Roman" w:eastAsia="Times New Roman" w:hAnsi="Times New Roman"/>
                <w:sz w:val="17"/>
                <w:szCs w:val="17"/>
                <w:color w:val="auto"/>
              </w:rPr>
              <w:t>2.1</w:t>
            </w:r>
          </w:p>
        </w:tc>
        <w:tc>
          <w:tcPr>
            <w:tcW w:w="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2.2</w:t>
            </w:r>
          </w:p>
        </w:tc>
        <w:tc>
          <w:tcPr>
            <w:tcW w:w="2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i w:val="1"/>
                <w:iCs w:val="1"/>
                <w:color w:val="auto"/>
              </w:rPr>
              <w:t>6%</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i w:val="1"/>
                <w:iCs w:val="1"/>
                <w:color w:val="auto"/>
              </w:rPr>
              <w:t>(11%)</w:t>
            </w: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Baidu General Business</w:t>
            </w:r>
          </w:p>
        </w:tc>
        <w:tc>
          <w:tcPr>
            <w:tcW w:w="700" w:type="dxa"/>
            <w:vAlign w:val="bottom"/>
            <w:gridSpan w:val="3"/>
          </w:tcPr>
          <w:p>
            <w:pPr>
              <w:jc w:val="right"/>
              <w:ind w:right="251"/>
              <w:spacing w:after="0"/>
              <w:rPr>
                <w:sz w:val="20"/>
                <w:szCs w:val="20"/>
                <w:color w:val="auto"/>
              </w:rPr>
            </w:pPr>
            <w:r>
              <w:rPr>
                <w:rFonts w:ascii="Times New Roman" w:cs="Times New Roman" w:eastAsia="Times New Roman" w:hAnsi="Times New Roman"/>
                <w:sz w:val="17"/>
                <w:szCs w:val="17"/>
                <w:b w:val="1"/>
                <w:bCs w:val="1"/>
                <w:color w:val="auto"/>
              </w:rPr>
              <w:t>25.5</w:t>
            </w:r>
          </w:p>
        </w:tc>
        <w:tc>
          <w:tcPr>
            <w:tcW w:w="40" w:type="dxa"/>
            <w:vAlign w:val="bottom"/>
          </w:tcPr>
          <w:p>
            <w:pPr>
              <w:spacing w:after="0"/>
              <w:rPr>
                <w:sz w:val="20"/>
                <w:szCs w:val="20"/>
                <w:color w:val="auto"/>
              </w:rPr>
            </w:pP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26.1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26.0</w:t>
            </w:r>
          </w:p>
        </w:tc>
        <w:tc>
          <w:tcPr>
            <w:tcW w:w="220" w:type="dxa"/>
            <w:vAlign w:val="bottom"/>
          </w:tcPr>
          <w:p>
            <w:pPr>
              <w:spacing w:after="0"/>
              <w:rPr>
                <w:sz w:val="20"/>
                <w:szCs w:val="20"/>
                <w:color w:val="auto"/>
              </w:rPr>
            </w:pPr>
          </w:p>
        </w:tc>
        <w:tc>
          <w:tcPr>
            <w:tcW w:w="700" w:type="dxa"/>
            <w:vAlign w:val="bottom"/>
            <w:gridSpan w:val="4"/>
          </w:tcPr>
          <w:p>
            <w:pPr>
              <w:jc w:val="right"/>
              <w:ind w:right="280"/>
              <w:spacing w:after="0"/>
              <w:rPr>
                <w:sz w:val="20"/>
                <w:szCs w:val="20"/>
                <w:color w:val="auto"/>
              </w:rPr>
            </w:pPr>
            <w:r>
              <w:rPr>
                <w:rFonts w:ascii="Times New Roman" w:cs="Times New Roman" w:eastAsia="Times New Roman" w:hAnsi="Times New Roman"/>
                <w:sz w:val="17"/>
                <w:szCs w:val="17"/>
                <w:b w:val="1"/>
                <w:bCs w:val="1"/>
                <w:i w:val="1"/>
                <w:iCs w:val="1"/>
                <w:color w:val="auto"/>
              </w:rPr>
              <w:t>2%</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i w:val="1"/>
                <w:iCs w:val="1"/>
                <w:color w:val="auto"/>
              </w:rPr>
              <w:t>0%</w:t>
            </w:r>
          </w:p>
        </w:tc>
        <w:tc>
          <w:tcPr>
            <w:tcW w:w="0" w:type="dxa"/>
            <w:vAlign w:val="bottom"/>
          </w:tcPr>
          <w:p>
            <w:pPr>
              <w:spacing w:after="0"/>
              <w:rPr>
                <w:sz w:val="1"/>
                <w:szCs w:val="1"/>
                <w:color w:val="auto"/>
              </w:rPr>
            </w:pPr>
          </w:p>
        </w:tc>
      </w:tr>
      <w:tr>
        <w:trPr>
          <w:trHeight w:val="474"/>
        </w:trPr>
        <w:tc>
          <w:tcPr>
            <w:tcW w:w="71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First Quarter 2026 Financial Results for Baidu</w:t>
            </w:r>
            <w:r>
              <w:rPr>
                <w:rFonts w:ascii="Times New Roman" w:cs="Times New Roman" w:eastAsia="Times New Roman" w:hAnsi="Times New Roman"/>
                <w:sz w:val="25"/>
                <w:szCs w:val="25"/>
                <w:b w:val="1"/>
                <w:bCs w:val="1"/>
                <w:color w:val="auto"/>
                <w:vertAlign w:val="superscript"/>
              </w:rPr>
              <w:t>2,4</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Financial highlights</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2"/>
        </w:trPr>
        <w:tc>
          <w:tcPr>
            <w:tcW w:w="710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sets forth revenue highlights for Baidu General Business:</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7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billions, unaudited)</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Q1</w:t>
            </w:r>
          </w:p>
        </w:tc>
        <w:tc>
          <w:tcPr>
            <w:tcW w:w="260" w:type="dxa"/>
            <w:vAlign w:val="bottom"/>
          </w:tcPr>
          <w:p>
            <w:pPr>
              <w:spacing w:after="0"/>
              <w:rPr>
                <w:sz w:val="24"/>
                <w:szCs w:val="24"/>
                <w:color w:val="auto"/>
              </w:rPr>
            </w:pPr>
          </w:p>
        </w:tc>
        <w:tc>
          <w:tcPr>
            <w:tcW w:w="520" w:type="dxa"/>
            <w:vAlign w:val="bottom"/>
            <w:gridSpan w:val="5"/>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Q4</w:t>
            </w:r>
          </w:p>
        </w:tc>
        <w:tc>
          <w:tcPr>
            <w:tcW w:w="140" w:type="dxa"/>
            <w:vAlign w:val="bottom"/>
          </w:tcPr>
          <w:p>
            <w:pPr>
              <w:spacing w:after="0"/>
              <w:rPr>
                <w:sz w:val="24"/>
                <w:szCs w:val="24"/>
                <w:color w:val="auto"/>
              </w:rPr>
            </w:pPr>
          </w:p>
        </w:tc>
        <w:tc>
          <w:tcPr>
            <w:tcW w:w="6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Q1</w:t>
            </w:r>
          </w:p>
        </w:tc>
        <w:tc>
          <w:tcPr>
            <w:tcW w:w="80" w:type="dxa"/>
            <w:vAlign w:val="bottom"/>
          </w:tcPr>
          <w:p>
            <w:pPr>
              <w:spacing w:after="0"/>
              <w:rPr>
                <w:sz w:val="24"/>
                <w:szCs w:val="24"/>
                <w:color w:val="auto"/>
              </w:rPr>
            </w:pPr>
          </w:p>
        </w:tc>
        <w:tc>
          <w:tcPr>
            <w:tcW w:w="62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i w:val="1"/>
                <w:iCs w:val="1"/>
                <w:color w:val="auto"/>
                <w:w w:val="97"/>
              </w:rPr>
              <w:t>YoY</w:t>
            </w:r>
          </w:p>
        </w:tc>
        <w:tc>
          <w:tcPr>
            <w:tcW w:w="5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i w:val="1"/>
                <w:iCs w:val="1"/>
                <w:color w:val="auto"/>
                <w:w w:val="95"/>
              </w:rPr>
              <w:t>QoQ</w:t>
            </w:r>
          </w:p>
        </w:tc>
        <w:tc>
          <w:tcPr>
            <w:tcW w:w="0" w:type="dxa"/>
            <w:vAlign w:val="bottom"/>
          </w:tcPr>
          <w:p>
            <w:pPr>
              <w:spacing w:after="0"/>
              <w:rPr>
                <w:sz w:val="1"/>
                <w:szCs w:val="1"/>
                <w:color w:val="auto"/>
              </w:rPr>
            </w:pPr>
          </w:p>
        </w:tc>
      </w:tr>
      <w:tr>
        <w:trPr>
          <w:trHeight w:val="167"/>
        </w:trPr>
        <w:tc>
          <w:tcPr>
            <w:tcW w:w="7100" w:type="dxa"/>
            <w:vAlign w:val="bottom"/>
            <w:vMerge w:val="continue"/>
          </w:tcPr>
          <w:p>
            <w:pPr>
              <w:spacing w:after="0"/>
              <w:rPr>
                <w:sz w:val="14"/>
                <w:szCs w:val="14"/>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4"/>
                <w:szCs w:val="14"/>
                <w:color w:val="auto"/>
              </w:rPr>
            </w:pP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7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Borders>
              <w:top w:val="single" w:sz="8" w:color="auto"/>
            </w:tcBorders>
            <w:gridSpan w:val="2"/>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Borders>
              <w:top w:val="single" w:sz="8" w:color="auto"/>
            </w:tcBorders>
            <w:gridSpan w:val="3"/>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gridSpan w:val="2"/>
          </w:tcPr>
          <w:p>
            <w:pPr>
              <w:jc w:val="right"/>
              <w:ind w:right="20"/>
              <w:spacing w:after="0" w:line="136"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Online Marketing Services</w:t>
            </w: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16.0</w:t>
            </w:r>
          </w:p>
        </w:tc>
        <w:tc>
          <w:tcPr>
            <w:tcW w:w="7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15.1</w:t>
            </w:r>
          </w:p>
        </w:tc>
        <w:tc>
          <w:tcPr>
            <w:tcW w:w="4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12.6</w:t>
            </w:r>
          </w:p>
        </w:tc>
        <w:tc>
          <w:tcPr>
            <w:tcW w:w="7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i w:val="1"/>
                <w:iCs w:val="1"/>
                <w:color w:val="auto"/>
              </w:rPr>
              <w:t>(22%)</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i w:val="1"/>
                <w:iCs w:val="1"/>
                <w:color w:val="auto"/>
              </w:rPr>
              <w:t>(17%)</w:t>
            </w:r>
          </w:p>
        </w:tc>
        <w:tc>
          <w:tcPr>
            <w:tcW w:w="0" w:type="dxa"/>
            <w:vAlign w:val="bottom"/>
          </w:tcPr>
          <w:p>
            <w:pPr>
              <w:spacing w:after="0"/>
              <w:rPr>
                <w:sz w:val="1"/>
                <w:szCs w:val="1"/>
                <w:color w:val="auto"/>
              </w:rPr>
            </w:pPr>
          </w:p>
        </w:tc>
      </w:tr>
      <w:tr>
        <w:trPr>
          <w:trHeight w:val="208"/>
        </w:trPr>
        <w:tc>
          <w:tcPr>
            <w:tcW w:w="710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Online Marketing Services % of Baidu General Business</w:t>
            </w:r>
          </w:p>
        </w:tc>
        <w:tc>
          <w:tcPr>
            <w:tcW w:w="1000" w:type="dxa"/>
            <w:vAlign w:val="bottom"/>
            <w:gridSpan w:val="5"/>
          </w:tcPr>
          <w:p>
            <w:pPr>
              <w:jc w:val="right"/>
              <w:ind w:right="59"/>
              <w:spacing w:after="0"/>
              <w:rPr>
                <w:sz w:val="20"/>
                <w:szCs w:val="20"/>
                <w:color w:val="auto"/>
              </w:rPr>
            </w:pPr>
            <w:r>
              <w:rPr>
                <w:rFonts w:ascii="Times New Roman" w:cs="Times New Roman" w:eastAsia="Times New Roman" w:hAnsi="Times New Roman"/>
                <w:sz w:val="17"/>
                <w:szCs w:val="17"/>
                <w:i w:val="1"/>
                <w:iCs w:val="1"/>
                <w:color w:val="auto"/>
              </w:rPr>
              <w:t>63%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7"/>
                <w:szCs w:val="17"/>
                <w:i w:val="1"/>
                <w:iCs w:val="1"/>
                <w:color w:val="auto"/>
              </w:rPr>
              <w:t>58%</w:t>
            </w: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7"/>
                <w:szCs w:val="17"/>
                <w:i w:val="1"/>
                <w:iCs w:val="1"/>
                <w:color w:val="auto"/>
              </w:rPr>
              <w:t>48%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Others</w:t>
            </w: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9.5</w:t>
            </w: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13.4</w:t>
            </w:r>
          </w:p>
        </w:tc>
        <w:tc>
          <w:tcPr>
            <w:tcW w:w="7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i w:val="1"/>
                <w:iCs w:val="1"/>
                <w:color w:val="auto"/>
              </w:rPr>
              <w:t>42%</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i w:val="1"/>
                <w:iCs w:val="1"/>
                <w:color w:val="auto"/>
              </w:rPr>
              <w:t>23%</w:t>
            </w:r>
          </w:p>
        </w:tc>
        <w:tc>
          <w:tcPr>
            <w:tcW w:w="0" w:type="dxa"/>
            <w:vAlign w:val="bottom"/>
          </w:tcPr>
          <w:p>
            <w:pPr>
              <w:spacing w:after="0"/>
              <w:rPr>
                <w:sz w:val="1"/>
                <w:szCs w:val="1"/>
                <w:color w:val="auto"/>
              </w:rPr>
            </w:pPr>
          </w:p>
        </w:tc>
      </w:tr>
      <w:tr>
        <w:trPr>
          <w:trHeight w:val="208"/>
        </w:trPr>
        <w:tc>
          <w:tcPr>
            <w:tcW w:w="710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Others % of Baidu General Business</w:t>
            </w:r>
          </w:p>
        </w:tc>
        <w:tc>
          <w:tcPr>
            <w:tcW w:w="1000" w:type="dxa"/>
            <w:vAlign w:val="bottom"/>
            <w:gridSpan w:val="5"/>
          </w:tcPr>
          <w:p>
            <w:pPr>
              <w:jc w:val="right"/>
              <w:ind w:right="59"/>
              <w:spacing w:after="0"/>
              <w:rPr>
                <w:sz w:val="20"/>
                <w:szCs w:val="20"/>
                <w:color w:val="auto"/>
              </w:rPr>
            </w:pPr>
            <w:r>
              <w:rPr>
                <w:rFonts w:ascii="Times New Roman" w:cs="Times New Roman" w:eastAsia="Times New Roman" w:hAnsi="Times New Roman"/>
                <w:sz w:val="17"/>
                <w:szCs w:val="17"/>
                <w:i w:val="1"/>
                <w:iCs w:val="1"/>
                <w:color w:val="auto"/>
              </w:rPr>
              <w:t>37%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7"/>
                <w:szCs w:val="17"/>
                <w:i w:val="1"/>
                <w:iCs w:val="1"/>
                <w:color w:val="auto"/>
              </w:rPr>
              <w:t>42%</w:t>
            </w: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7"/>
                <w:szCs w:val="17"/>
                <w:i w:val="1"/>
                <w:iCs w:val="1"/>
                <w:color w:val="auto"/>
              </w:rPr>
              <w:t>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Baidu General Business</w:t>
            </w: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25.5</w:t>
            </w:r>
          </w:p>
        </w:tc>
        <w:tc>
          <w:tcPr>
            <w:tcW w:w="7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26.1</w:t>
            </w:r>
          </w:p>
        </w:tc>
        <w:tc>
          <w:tcPr>
            <w:tcW w:w="4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26.0</w:t>
            </w:r>
          </w:p>
        </w:tc>
        <w:tc>
          <w:tcPr>
            <w:tcW w:w="7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b w:val="1"/>
                <w:bCs w:val="1"/>
                <w:i w:val="1"/>
                <w:iCs w:val="1"/>
                <w:color w:val="auto"/>
              </w:rPr>
              <w:t>2%</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i w:val="1"/>
                <w:iCs w:val="1"/>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416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41680" cy="8255"/>
                    </a:xfrm>
                    <a:prstGeom prst="rect">
                      <a:avLst/>
                    </a:prstGeom>
                    <a:noFill/>
                  </pic:spPr>
                </pic:pic>
              </a:graphicData>
            </a:graphic>
          </wp:anchor>
        </w:drawing>
      </w:r>
    </w:p>
    <w:p>
      <w:pPr>
        <w:spacing w:after="0" w:line="143" w:lineRule="exact"/>
        <w:rPr>
          <w:sz w:val="20"/>
          <w:szCs w:val="20"/>
          <w:color w:val="auto"/>
        </w:rPr>
      </w:pPr>
    </w:p>
    <w:p>
      <w:pPr>
        <w:ind w:left="420" w:right="380" w:hanging="412"/>
        <w:spacing w:after="0" w:line="210" w:lineRule="auto"/>
        <w:tabs>
          <w:tab w:leader="none" w:pos="420" w:val="left"/>
        </w:tabs>
        <w:numPr>
          <w:ilvl w:val="0"/>
          <w:numId w:val="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The revenue and operational data presented are derived from the Company’s internal management accounts and records, which have not been audited.</w:t>
      </w:r>
    </w:p>
    <w:p>
      <w:pPr>
        <w:spacing w:after="0" w:line="1" w:lineRule="exact"/>
        <w:rPr>
          <w:sz w:val="20"/>
          <w:szCs w:val="20"/>
          <w:color w:val="auto"/>
        </w:rPr>
      </w:pPr>
    </w:p>
    <w:p>
      <w:pPr>
        <w:ind w:left="420" w:right="160" w:hanging="412"/>
        <w:spacing w:after="0" w:line="201" w:lineRule="auto"/>
        <w:tabs>
          <w:tab w:leader="none" w:pos="420" w:val="left"/>
        </w:tabs>
        <w:numPr>
          <w:ilvl w:val="0"/>
          <w:numId w:val="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Non-GAAP measures are defined in the Non-GAAP Financial Measures section (see also “Reconciliations of Non-GAAP Financial Measures to the Nearest Comparable GAAP Measures” for more details).</w:t>
      </w:r>
    </w:p>
    <w:p>
      <w:pPr>
        <w:spacing w:after="0" w:line="1" w:lineRule="exact"/>
        <w:rPr>
          <w:sz w:val="20"/>
          <w:szCs w:val="20"/>
          <w:color w:val="auto"/>
        </w:rPr>
      </w:pPr>
    </w:p>
    <w:p>
      <w:pPr>
        <w:ind w:left="420" w:right="140" w:hanging="412"/>
        <w:spacing w:after="0" w:line="201" w:lineRule="auto"/>
        <w:tabs>
          <w:tab w:leader="none" w:pos="420" w:val="left"/>
        </w:tabs>
        <w:numPr>
          <w:ilvl w:val="0"/>
          <w:numId w:val="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Unless otherwise noted, RMB to USD was converted at an exchange rate of RMB6.8980 as of March 31, 2026, as set forth in the H.10 statistical release of the Board of Governors of the Federal Reserve System. Translations are provided solely for the convenience of the reader.</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600"/>
          </w:cols>
          <w:pgMar w:left="640" w:top="262" w:right="659" w:bottom="1440" w:gutter="0" w:footer="0" w:header="0"/>
        </w:sectPr>
      </w:pPr>
    </w:p>
    <w:bookmarkStart w:id="6" w:name="page7"/>
    <w:bookmarkEnd w:id="6"/>
    <w:p>
      <w:pPr>
        <w:ind w:right="400"/>
        <w:spacing w:after="0" w:line="275"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9310" cy="37465"/>
                    </a:xfrm>
                    <a:prstGeom prst="rect">
                      <a:avLst/>
                    </a:prstGeom>
                    <a:noFill/>
                  </pic:spPr>
                </pic:pic>
              </a:graphicData>
            </a:graphic>
          </wp:anchor>
        </w:drawing>
        <w:t xml:space="preserve">Revenue </w:t>
      </w:r>
      <w:r>
        <w:rPr>
          <w:rFonts w:ascii="Times New Roman" w:cs="Times New Roman" w:eastAsia="Times New Roman" w:hAnsi="Times New Roman"/>
          <w:sz w:val="17"/>
          <w:szCs w:val="17"/>
          <w:color w:val="auto"/>
        </w:rPr>
        <w:t>was RMB32.1 billion ($4.65 billion), decreasing 2% quarter over quarter.</w:t>
      </w:r>
      <w:r>
        <w:rPr>
          <w:rFonts w:ascii="Times New Roman" w:cs="Times New Roman" w:eastAsia="Times New Roman" w:hAnsi="Times New Roman"/>
          <w:sz w:val="17"/>
          <w:szCs w:val="17"/>
          <w:b w:val="1"/>
          <w:bCs w:val="1"/>
          <w:color w:val="auto"/>
        </w:rPr>
        <w:t xml:space="preserve"> Revenue from Baidu General Business </w:t>
      </w:r>
      <w:r>
        <w:rPr>
          <w:rFonts w:ascii="Times New Roman" w:cs="Times New Roman" w:eastAsia="Times New Roman" w:hAnsi="Times New Roman"/>
          <w:sz w:val="17"/>
          <w:szCs w:val="17"/>
          <w:color w:val="auto"/>
        </w:rPr>
        <w:t>was RMB26.0 billion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($3.77 billion), remaining flat quarter over quarter, among which the increase in others was primarily driven by the growth of AI Cloud business. </w:t>
      </w:r>
      <w:r>
        <w:rPr>
          <w:rFonts w:ascii="Times New Roman" w:cs="Times New Roman" w:eastAsia="Times New Roman" w:hAnsi="Times New Roman"/>
          <w:sz w:val="17"/>
          <w:szCs w:val="17"/>
          <w:b w:val="1"/>
          <w:bCs w:val="1"/>
          <w:color w:val="auto"/>
        </w:rPr>
        <w:t xml:space="preserve">Revenue from iQIYI </w:t>
      </w:r>
      <w:r>
        <w:rPr>
          <w:rFonts w:ascii="Times New Roman" w:cs="Times New Roman" w:eastAsia="Times New Roman" w:hAnsi="Times New Roman"/>
          <w:sz w:val="17"/>
          <w:szCs w:val="17"/>
          <w:color w:val="auto"/>
        </w:rPr>
        <w:t>was RMB6.2 billion ($903 million), decreasing 8% quarter over quarter.</w:t>
      </w:r>
    </w:p>
    <w:p>
      <w:pPr>
        <w:spacing w:after="0" w:line="159" w:lineRule="exact"/>
        <w:rPr>
          <w:sz w:val="20"/>
          <w:szCs w:val="20"/>
          <w:color w:val="auto"/>
        </w:rPr>
      </w:pPr>
    </w:p>
    <w:p>
      <w:pPr>
        <w:ind w:right="420"/>
        <w:spacing w:after="0" w:line="295" w:lineRule="auto"/>
        <w:rPr>
          <w:sz w:val="20"/>
          <w:szCs w:val="20"/>
          <w:color w:val="auto"/>
        </w:rPr>
      </w:pPr>
      <w:r>
        <w:rPr>
          <w:rFonts w:ascii="Times New Roman" w:cs="Times New Roman" w:eastAsia="Times New Roman" w:hAnsi="Times New Roman"/>
          <w:sz w:val="17"/>
          <w:szCs w:val="17"/>
          <w:b w:val="1"/>
          <w:bCs w:val="1"/>
          <w:color w:val="auto"/>
        </w:rPr>
        <w:t xml:space="preserve">Cost of revenue </w:t>
      </w:r>
      <w:r>
        <w:rPr>
          <w:rFonts w:ascii="Times New Roman" w:cs="Times New Roman" w:eastAsia="Times New Roman" w:hAnsi="Times New Roman"/>
          <w:sz w:val="17"/>
          <w:szCs w:val="17"/>
          <w:color w:val="auto"/>
        </w:rPr>
        <w:t>was RMB19.6 billion ($2.84 billion), increasing 7% quarter over quarter, primarily due to an increase in costs related to AI Cloud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business, partially offset by decreases in content costs and traffic acquisition costs.</w:t>
      </w:r>
    </w:p>
    <w:p>
      <w:pPr>
        <w:spacing w:after="0" w:line="142"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17"/>
          <w:szCs w:val="17"/>
          <w:b w:val="1"/>
          <w:bCs w:val="1"/>
          <w:color w:val="auto"/>
        </w:rPr>
        <w:t xml:space="preserve">Selling, general and administrative expenses </w:t>
      </w:r>
      <w:r>
        <w:rPr>
          <w:rFonts w:ascii="Times New Roman" w:cs="Times New Roman" w:eastAsia="Times New Roman" w:hAnsi="Times New Roman"/>
          <w:sz w:val="17"/>
          <w:szCs w:val="17"/>
          <w:color w:val="auto"/>
        </w:rPr>
        <w:t>were RMB4.9 billion ($712 million), decreasing 34% quarter over quarter, primarily due to decreases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expected credit losses and personnel-related expenses.</w:t>
      </w:r>
    </w:p>
    <w:p>
      <w:pPr>
        <w:spacing w:after="0" w:line="142" w:lineRule="exact"/>
        <w:rPr>
          <w:sz w:val="20"/>
          <w:szCs w:val="20"/>
          <w:color w:val="auto"/>
        </w:rPr>
      </w:pPr>
    </w:p>
    <w:p>
      <w:pPr>
        <w:ind w:right="620"/>
        <w:spacing w:after="0" w:line="295" w:lineRule="auto"/>
        <w:rPr>
          <w:sz w:val="20"/>
          <w:szCs w:val="20"/>
          <w:color w:val="auto"/>
        </w:rPr>
      </w:pPr>
      <w:r>
        <w:rPr>
          <w:rFonts w:ascii="Times New Roman" w:cs="Times New Roman" w:eastAsia="Times New Roman" w:hAnsi="Times New Roman"/>
          <w:sz w:val="17"/>
          <w:szCs w:val="17"/>
          <w:b w:val="1"/>
          <w:bCs w:val="1"/>
          <w:color w:val="auto"/>
        </w:rPr>
        <w:t xml:space="preserve">Research and development expenses </w:t>
      </w:r>
      <w:r>
        <w:rPr>
          <w:rFonts w:ascii="Times New Roman" w:cs="Times New Roman" w:eastAsia="Times New Roman" w:hAnsi="Times New Roman"/>
          <w:sz w:val="17"/>
          <w:szCs w:val="17"/>
          <w:color w:val="auto"/>
        </w:rPr>
        <w:t>were RMB4.4 billion ($635 million), decreasing 22% quarter over quarter, primarily due to a decrease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personnel-related expenses.</w:t>
      </w:r>
    </w:p>
    <w:p>
      <w:pPr>
        <w:spacing w:after="0" w:line="142" w:lineRule="exact"/>
        <w:rPr>
          <w:sz w:val="20"/>
          <w:szCs w:val="20"/>
          <w:color w:val="auto"/>
        </w:rPr>
      </w:pPr>
    </w:p>
    <w:p>
      <w:pPr>
        <w:ind w:right="300"/>
        <w:spacing w:after="0" w:line="295" w:lineRule="auto"/>
        <w:rPr>
          <w:sz w:val="20"/>
          <w:szCs w:val="20"/>
          <w:color w:val="auto"/>
        </w:rPr>
      </w:pPr>
      <w:r>
        <w:rPr>
          <w:rFonts w:ascii="Times New Roman" w:cs="Times New Roman" w:eastAsia="Times New Roman" w:hAnsi="Times New Roman"/>
          <w:sz w:val="17"/>
          <w:szCs w:val="17"/>
          <w:b w:val="1"/>
          <w:bCs w:val="1"/>
          <w:color w:val="auto"/>
        </w:rPr>
        <w:t xml:space="preserve">Operating income </w:t>
      </w:r>
      <w:r>
        <w:rPr>
          <w:rFonts w:ascii="Times New Roman" w:cs="Times New Roman" w:eastAsia="Times New Roman" w:hAnsi="Times New Roman"/>
          <w:sz w:val="17"/>
          <w:szCs w:val="17"/>
          <w:color w:val="auto"/>
        </w:rPr>
        <w:t>was RMB3.2 billion ($463 million) and</w:t>
      </w:r>
      <w:r>
        <w:rPr>
          <w:rFonts w:ascii="Times New Roman" w:cs="Times New Roman" w:eastAsia="Times New Roman" w:hAnsi="Times New Roman"/>
          <w:sz w:val="17"/>
          <w:szCs w:val="17"/>
          <w:b w:val="1"/>
          <w:bCs w:val="1"/>
          <w:color w:val="auto"/>
        </w:rPr>
        <w:t xml:space="preserve"> operating margin </w:t>
      </w:r>
      <w:r>
        <w:rPr>
          <w:rFonts w:ascii="Times New Roman" w:cs="Times New Roman" w:eastAsia="Times New Roman" w:hAnsi="Times New Roman"/>
          <w:sz w:val="17"/>
          <w:szCs w:val="17"/>
          <w:color w:val="auto"/>
        </w:rPr>
        <w:t>was 10%.</w:t>
      </w:r>
      <w:r>
        <w:rPr>
          <w:rFonts w:ascii="Times New Roman" w:cs="Times New Roman" w:eastAsia="Times New Roman" w:hAnsi="Times New Roman"/>
          <w:sz w:val="17"/>
          <w:szCs w:val="17"/>
          <w:b w:val="1"/>
          <w:bCs w:val="1"/>
          <w:color w:val="auto"/>
        </w:rPr>
        <w:t xml:space="preserve"> Non-GAAP operating income </w:t>
      </w:r>
      <w:r>
        <w:rPr>
          <w:rFonts w:ascii="Times New Roman" w:cs="Times New Roman" w:eastAsia="Times New Roman" w:hAnsi="Times New Roman"/>
          <w:sz w:val="17"/>
          <w:szCs w:val="17"/>
          <w:color w:val="auto"/>
        </w:rPr>
        <w:t>was RMB3.8 billion ($552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million) and </w:t>
      </w:r>
      <w:r>
        <w:rPr>
          <w:rFonts w:ascii="Times New Roman" w:cs="Times New Roman" w:eastAsia="Times New Roman" w:hAnsi="Times New Roman"/>
          <w:sz w:val="17"/>
          <w:szCs w:val="17"/>
          <w:b w:val="1"/>
          <w:bCs w:val="1"/>
          <w:color w:val="auto"/>
        </w:rPr>
        <w:t>non-GAAP operating margin</w:t>
      </w:r>
      <w:r>
        <w:rPr>
          <w:rFonts w:ascii="Times New Roman" w:cs="Times New Roman" w:eastAsia="Times New Roman" w:hAnsi="Times New Roman"/>
          <w:sz w:val="17"/>
          <w:szCs w:val="17"/>
          <w:color w:val="auto"/>
        </w:rPr>
        <w:t xml:space="preserve"> was 12%.</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Total other income, net </w:t>
      </w:r>
      <w:r>
        <w:rPr>
          <w:rFonts w:ascii="Times New Roman" w:cs="Times New Roman" w:eastAsia="Times New Roman" w:hAnsi="Times New Roman"/>
          <w:sz w:val="17"/>
          <w:szCs w:val="17"/>
          <w:color w:val="auto"/>
        </w:rPr>
        <w:t>was RMB626 million ($91 million), compared to RMB1.2 billion last quarter.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Income tax expense </w:t>
      </w:r>
      <w:r>
        <w:rPr>
          <w:rFonts w:ascii="Times New Roman" w:cs="Times New Roman" w:eastAsia="Times New Roman" w:hAnsi="Times New Roman"/>
          <w:sz w:val="17"/>
          <w:szCs w:val="17"/>
          <w:color w:val="auto"/>
        </w:rPr>
        <w:t>was RMB528 million ($76 million), compared to RMB1.0 billion last quarter.</w:t>
      </w:r>
    </w:p>
    <w:p>
      <w:pPr>
        <w:spacing w:after="0" w:line="220"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Net income attributable to Baidu </w:t>
      </w:r>
      <w:r>
        <w:rPr>
          <w:rFonts w:ascii="Times New Roman" w:cs="Times New Roman" w:eastAsia="Times New Roman" w:hAnsi="Times New Roman"/>
          <w:sz w:val="17"/>
          <w:szCs w:val="17"/>
          <w:color w:val="auto"/>
        </w:rPr>
        <w:t>was RMB3.4 billion ($499 million),</w:t>
      </w:r>
      <w:r>
        <w:rPr>
          <w:rFonts w:ascii="Times New Roman" w:cs="Times New Roman" w:eastAsia="Times New Roman" w:hAnsi="Times New Roman"/>
          <w:sz w:val="17"/>
          <w:szCs w:val="17"/>
          <w:b w:val="1"/>
          <w:bCs w:val="1"/>
          <w:color w:val="auto"/>
        </w:rPr>
        <w:t xml:space="preserve"> net margin for Baidu </w:t>
      </w:r>
      <w:r>
        <w:rPr>
          <w:rFonts w:ascii="Times New Roman" w:cs="Times New Roman" w:eastAsia="Times New Roman" w:hAnsi="Times New Roman"/>
          <w:sz w:val="17"/>
          <w:szCs w:val="17"/>
          <w:color w:val="auto"/>
        </w:rPr>
        <w:t>was 11% and</w:t>
      </w:r>
      <w:r>
        <w:rPr>
          <w:rFonts w:ascii="Times New Roman" w:cs="Times New Roman" w:eastAsia="Times New Roman" w:hAnsi="Times New Roman"/>
          <w:sz w:val="17"/>
          <w:szCs w:val="17"/>
          <w:b w:val="1"/>
          <w:bCs w:val="1"/>
          <w:color w:val="auto"/>
        </w:rPr>
        <w:t xml:space="preserve"> diluted earnings per ADS </w:t>
      </w:r>
      <w:r>
        <w:rPr>
          <w:rFonts w:ascii="Times New Roman" w:cs="Times New Roman" w:eastAsia="Times New Roman" w:hAnsi="Times New Roman"/>
          <w:sz w:val="17"/>
          <w:szCs w:val="17"/>
          <w:color w:val="auto"/>
        </w:rPr>
        <w:t>was RMB8.76</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($1.27). </w:t>
      </w:r>
      <w:r>
        <w:rPr>
          <w:rFonts w:ascii="Times New Roman" w:cs="Times New Roman" w:eastAsia="Times New Roman" w:hAnsi="Times New Roman"/>
          <w:sz w:val="17"/>
          <w:szCs w:val="17"/>
          <w:b w:val="1"/>
          <w:bCs w:val="1"/>
          <w:color w:val="auto"/>
        </w:rPr>
        <w:t>Non-GAAP net income attributable to Baidu</w:t>
      </w:r>
      <w:r>
        <w:rPr>
          <w:rFonts w:ascii="Times New Roman" w:cs="Times New Roman" w:eastAsia="Times New Roman" w:hAnsi="Times New Roman"/>
          <w:sz w:val="17"/>
          <w:szCs w:val="17"/>
          <w:color w:val="auto"/>
        </w:rPr>
        <w:t xml:space="preserve"> was RMB4.3 billion ($628 million), </w:t>
      </w:r>
      <w:r>
        <w:rPr>
          <w:rFonts w:ascii="Times New Roman" w:cs="Times New Roman" w:eastAsia="Times New Roman" w:hAnsi="Times New Roman"/>
          <w:sz w:val="17"/>
          <w:szCs w:val="17"/>
          <w:b w:val="1"/>
          <w:bCs w:val="1"/>
          <w:color w:val="auto"/>
        </w:rPr>
        <w:t>non-GAAP net margin for Baidu</w:t>
      </w:r>
      <w:r>
        <w:rPr>
          <w:rFonts w:ascii="Times New Roman" w:cs="Times New Roman" w:eastAsia="Times New Roman" w:hAnsi="Times New Roman"/>
          <w:sz w:val="17"/>
          <w:szCs w:val="17"/>
          <w:color w:val="auto"/>
        </w:rPr>
        <w:t xml:space="preserve"> was 14% and </w:t>
      </w:r>
      <w:r>
        <w:rPr>
          <w:rFonts w:ascii="Times New Roman" w:cs="Times New Roman" w:eastAsia="Times New Roman" w:hAnsi="Times New Roman"/>
          <w:sz w:val="17"/>
          <w:szCs w:val="17"/>
          <w:b w:val="1"/>
          <w:bCs w:val="1"/>
          <w:color w:val="auto"/>
        </w:rPr>
        <w:t xml:space="preserve">non-GAAP diluted earnings per ADS </w:t>
      </w:r>
      <w:r>
        <w:rPr>
          <w:rFonts w:ascii="Times New Roman" w:cs="Times New Roman" w:eastAsia="Times New Roman" w:hAnsi="Times New Roman"/>
          <w:sz w:val="17"/>
          <w:szCs w:val="17"/>
          <w:color w:val="auto"/>
        </w:rPr>
        <w:t>was RMB12.06 ($1.75).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Adjusted EBITDA </w:t>
      </w:r>
      <w:r>
        <w:rPr>
          <w:rFonts w:ascii="Times New Roman" w:cs="Times New Roman" w:eastAsia="Times New Roman" w:hAnsi="Times New Roman"/>
          <w:sz w:val="17"/>
          <w:szCs w:val="17"/>
          <w:color w:val="auto"/>
        </w:rPr>
        <w:t>was RMB6.0 billion ($863 million) and</w:t>
      </w:r>
      <w:r>
        <w:rPr>
          <w:rFonts w:ascii="Times New Roman" w:cs="Times New Roman" w:eastAsia="Times New Roman" w:hAnsi="Times New Roman"/>
          <w:sz w:val="17"/>
          <w:szCs w:val="17"/>
          <w:b w:val="1"/>
          <w:bCs w:val="1"/>
          <w:color w:val="auto"/>
        </w:rPr>
        <w:t xml:space="preserve"> adjusted EBITDA margin </w:t>
      </w:r>
      <w:r>
        <w:rPr>
          <w:rFonts w:ascii="Times New Roman" w:cs="Times New Roman" w:eastAsia="Times New Roman" w:hAnsi="Times New Roman"/>
          <w:sz w:val="17"/>
          <w:szCs w:val="17"/>
          <w:color w:val="auto"/>
        </w:rPr>
        <w:t>was 19%.</w:t>
      </w:r>
    </w:p>
    <w:p>
      <w:pPr>
        <w:spacing w:after="0" w:line="22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 xml:space="preserve">We define total cash and investments as cash, cash equivalents, restricted cash, short-term investments, net, long-term time deposits and held-to-maturity investments, and adjusted long-term investments. As of March 31, 2026, </w:t>
      </w:r>
      <w:r>
        <w:rPr>
          <w:rFonts w:ascii="Times New Roman" w:cs="Times New Roman" w:eastAsia="Times New Roman" w:hAnsi="Times New Roman"/>
          <w:sz w:val="17"/>
          <w:szCs w:val="17"/>
          <w:b w:val="1"/>
          <w:bCs w:val="1"/>
          <w:color w:val="auto"/>
        </w:rPr>
        <w:t>total cash and investments</w:t>
      </w:r>
      <w:r>
        <w:rPr>
          <w:rFonts w:ascii="Times New Roman" w:cs="Times New Roman" w:eastAsia="Times New Roman" w:hAnsi="Times New Roman"/>
          <w:sz w:val="17"/>
          <w:szCs w:val="17"/>
          <w:color w:val="auto"/>
        </w:rPr>
        <w:t xml:space="preserve"> were RMB279.3 billion ($40.49 billion). </w:t>
      </w:r>
      <w:r>
        <w:rPr>
          <w:rFonts w:ascii="Times New Roman" w:cs="Times New Roman" w:eastAsia="Times New Roman" w:hAnsi="Times New Roman"/>
          <w:sz w:val="17"/>
          <w:szCs w:val="17"/>
          <w:b w:val="1"/>
          <w:bCs w:val="1"/>
          <w:color w:val="auto"/>
        </w:rPr>
        <w:t xml:space="preserve">Operating cash flow </w:t>
      </w:r>
      <w:r>
        <w:rPr>
          <w:rFonts w:ascii="Times New Roman" w:cs="Times New Roman" w:eastAsia="Times New Roman" w:hAnsi="Times New Roman"/>
          <w:sz w:val="17"/>
          <w:szCs w:val="17"/>
          <w:color w:val="auto"/>
        </w:rPr>
        <w:t>was RMB2.7 billion ($387 million).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detailed financial information of Baidu General Business and iQIYI, please see the appended financial tables.</w:t>
      </w:r>
    </w:p>
    <w:p>
      <w:pPr>
        <w:spacing w:after="0" w:line="15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600"/>
          </w:cols>
          <w:pgMar w:left="640" w:top="262" w:right="6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9310" cy="37465"/>
                    </a:xfrm>
                    <a:prstGeom prst="rect">
                      <a:avLst/>
                    </a:prstGeom>
                    <a:noFill/>
                  </pic:spPr>
                </pic:pic>
              </a:graphicData>
            </a:graphic>
          </wp:anchor>
        </w:drawing>
        <w:t>Conference Call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Baidu’s management will hold an earnings conference call at 8:00 AM on May 18, 2026, U.S. Eastern Time (8:00 PM on May 18, 2026, Beijing Time).</w:t>
      </w:r>
    </w:p>
    <w:p>
      <w:pPr>
        <w:spacing w:after="0" w:line="22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Please register in advance of the conference call using the link provided below. It will automatically direct you to the registration page of “Baidu Inc. Q1 2026 Earnings Conference Call”. Please follow the steps to enter your registration details, then click “Register”. Upon registering, you will then be provided with the dial-in number, the passcode, and your unique access PIN. This information will also be emailed to you as a calendar invite.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pre-registration, please click:</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https://s1.c-conf.com/diamondpass/10054331-iu876y.html</w:t>
      </w:r>
    </w:p>
    <w:p>
      <w:pPr>
        <w:spacing w:after="0" w:line="116" w:lineRule="exact"/>
        <w:rPr>
          <w:sz w:val="20"/>
          <w:szCs w:val="20"/>
          <w:color w:val="auto"/>
        </w:rPr>
      </w:pPr>
    </w:p>
    <w:p>
      <w:pPr>
        <w:ind w:right="440"/>
        <w:spacing w:after="0" w:line="292" w:lineRule="auto"/>
        <w:rPr>
          <w:sz w:val="20"/>
          <w:szCs w:val="20"/>
          <w:color w:val="auto"/>
        </w:rPr>
      </w:pPr>
      <w:r>
        <w:rPr>
          <w:rFonts w:ascii="Times New Roman" w:cs="Times New Roman" w:eastAsia="Times New Roman" w:hAnsi="Times New Roman"/>
          <w:sz w:val="17"/>
          <w:szCs w:val="17"/>
          <w:color w:val="auto"/>
        </w:rPr>
        <w:t>In the 10 minutes prior to the call start time, you may use the conference access information (including dial-in number(s), the passcode and unique access PIN) provided in the calendar invite that you have received following your pre-registration.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Additionally, a live and archived webcast of this conference call will be available at </w:t>
      </w:r>
      <w:r>
        <w:rPr>
          <w:rFonts w:ascii="Times New Roman" w:cs="Times New Roman" w:eastAsia="Times New Roman" w:hAnsi="Times New Roman"/>
          <w:sz w:val="17"/>
          <w:szCs w:val="17"/>
          <w:u w:val="single" w:color="auto"/>
          <w:color w:val="auto"/>
        </w:rPr>
        <w:t>https://ir.baidu.com</w:t>
      </w:r>
      <w:r>
        <w:rPr>
          <w:rFonts w:ascii="Times New Roman" w:cs="Times New Roman" w:eastAsia="Times New Roman" w:hAnsi="Times New Roman"/>
          <w:sz w:val="17"/>
          <w:szCs w:val="17"/>
          <w:color w:val="auto"/>
        </w:rPr>
        <w:t>.</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Baidu</w:t>
      </w:r>
    </w:p>
    <w:p>
      <w:pPr>
        <w:spacing w:after="0" w:line="118" w:lineRule="exact"/>
        <w:rPr>
          <w:sz w:val="20"/>
          <w:szCs w:val="20"/>
          <w:color w:val="auto"/>
        </w:rPr>
      </w:pPr>
    </w:p>
    <w:p>
      <w:pPr>
        <w:ind w:right="280"/>
        <w:spacing w:after="0" w:line="292" w:lineRule="auto"/>
        <w:rPr>
          <w:sz w:val="20"/>
          <w:szCs w:val="20"/>
          <w:color w:val="auto"/>
        </w:rPr>
      </w:pPr>
      <w:r>
        <w:rPr>
          <w:rFonts w:ascii="Times New Roman" w:cs="Times New Roman" w:eastAsia="Times New Roman" w:hAnsi="Times New Roman"/>
          <w:sz w:val="17"/>
          <w:szCs w:val="17"/>
          <w:color w:val="auto"/>
        </w:rPr>
        <w:t>Founded in 2000, Baidu’s mission is to make the complicated world simpler through technology. Baidu is a leading AI company with strong Internet foundation, trading on NASDAQ under “BIDU” and HKEX under “9888”. One Baidu ADS represents eight Class A ordinary shares.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Contacts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Investors Relations, Baidu,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Tel: +86-10-5992-8888</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ir@baidu.com</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580"/>
          </w:cols>
          <w:pgMar w:left="640" w:top="262" w:right="6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9310" cy="37465"/>
                    </a:xfrm>
                    <a:prstGeom prst="rect">
                      <a:avLst/>
                    </a:prstGeom>
                    <a:noFill/>
                  </pic:spPr>
                </pic:pic>
              </a:graphicData>
            </a:graphic>
          </wp:anchor>
        </w:drawing>
        <w:t>Safe Harbor Statement</w:t>
      </w:r>
    </w:p>
    <w:p>
      <w:pPr>
        <w:spacing w:after="0" w:line="11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“confident” and similar statements. Among other things, Baidu’s and other parties’ strategic and operational plans, contain forward-looking statements. Baidu may also make written or oral forward-looking statements in its periodic reports to the U.S. Securities and Exchange Commission, in announcements made on the website of The Stock Exchange of Hong Kong Limited (the “Hong Kong Stock Exchange”), in its annual report to shareholders, in press releases and other written materials and in oral statements made by its officers, directors or employees to third parties. Statements that are not historical facts, including but not limited to statements about Baidu’s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Baidu’s growth strategies; its future business development, including development of new products and services; its ability to attract and retain users and customers; competition in the Chinese Internet search and newsfeed market; competition for online marketing customers; changes in the Company’s revenues and certain cost or expense items as a percentage of its revenues; the outcome of ongoing, or any future, litigation or arbitration, including those relating to intellectual property rights; the expected growth of the Chinese-language Internet search and newsfeed market and the number of Internet and broadband users in China; Chinese governmental policies relating to the Internet and Internet search providers, and general economic conditions in China and elsewhere. Further information regarding these and other risks is included in the Company’s annual report on Form 20-F and other documents filed with the Securities and Exchange Commission, and announcements on the website of the Hong Kong Stock Exchange. Baidu does not undertake any obligation to update any forward-looking statement, except as required under applicable law. All information provided in this press release and in the attachments is as of the date of the press release, and Baidu undertakes no duty to update such information, except as required under applicable law.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18"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7"/>
          <w:szCs w:val="17"/>
          <w:color w:val="auto"/>
        </w:rPr>
        <w:t>To supplement Baidu’s consolidated financial results presented in accordance with GAAP, Baidu uses the following non-GAAP financial measures: non-GAAP operating income, non-GAAP operating margin, non-GAAP net income attributable to Baidu, non-GAAP net margin, non-GAAP diluted earnings per ADS, adjusted EBITDA, adjusted EBITDA margin, adjusted long-term investments and free cash flow. The presentation of these non-GAAP financial measures is not intended to be considered in isolation or as a substitute for the financial information prepared and presented in accordance with GAAP.</w:t>
      </w:r>
    </w:p>
    <w:p>
      <w:pPr>
        <w:spacing w:after="0" w:line="171"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Baidu believes that these non-GAAP financial measures provide meaningful supplemental information regarding its performance and liquidity by excluding certain items that may not be indicative of its recurring core business operating results, such as operating performance excluding non-cash charges or non-operating in nature. The Company believes that both management and investors benefit from referring to these non-GAAP financial measures in assessing its performance and when planning and forecasting future periods. These non-GAAP financial measures also facilitate management’s internal comparisons to Baidu’s historical performance and liquidity. The Company believes these non-GAAP financial measures are useful to investors in allowing for greater transparency with respect to supplemental information used by management in its financial and operational decision making. A limitation of using these non-GAAP financial measures is that these non-GAAP measures exclude certain items that have been and will continue to be for the foreseeable future a significant component in the Company’s results of operations. These non-GAAP financial measures presented here may not be comparable to similarly titled measures presented by other companies. Other companies may calculate similarly titled measures differently, limiting their usefulness as comparative measures to the Company’s data.</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0580"/>
          </w:cols>
          <w:pgMar w:left="640" w:top="262" w:right="679" w:bottom="1440" w:gutter="0" w:footer="0" w:header="0"/>
        </w:sectPr>
      </w:pPr>
    </w:p>
    <w:bookmarkStart w:id="9" w:name="page10"/>
    <w:bookmarkEnd w:id="9"/>
    <w:p>
      <w:pPr>
        <w:ind w:right="240"/>
        <w:spacing w:after="0" w:line="29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9310" cy="37465"/>
                    </a:xfrm>
                    <a:prstGeom prst="rect">
                      <a:avLst/>
                    </a:prstGeom>
                    <a:noFill/>
                  </pic:spPr>
                </pic:pic>
              </a:graphicData>
            </a:graphic>
          </wp:anchor>
        </w:drawing>
        <w:t>Non-GAAP operating income represents operating income excluding share-based compensation expenses, amortization and impairment of intangible assets resulting from business combinations, and one-time employee severance costs.</w:t>
      </w:r>
    </w:p>
    <w:p>
      <w:pPr>
        <w:spacing w:after="0" w:line="147"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7"/>
          <w:szCs w:val="17"/>
          <w:color w:val="auto"/>
        </w:rPr>
        <w:t>Non-GAAP net income attributable to Baidu represents net income attributable to Baidu excluding share-based compensation expenses, amortization and impairment of intangible assets resulting from business combinations, one-time employee severance costs, disposal gain or loss, impairment of long-term investments, and fair value gain or loss of long-term investments and exchangeable bonds, adjusted for related income tax effects. Baidu’s share of equity method investments for these non-GAAP reconciling items, amortization and impairment of intangible assets not on the investees’ books, accretion of their redeemable non-controlling interests, and the gain or loss associated with the issuance of shares by the investees at a price higher or lower than the carrying value per share, adjusted for related income tax effects, are also excluded.</w:t>
      </w:r>
    </w:p>
    <w:p>
      <w:pPr>
        <w:spacing w:after="0" w:line="17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Non-GAAP diluted earnings per ADS represents diluted earnings per ADS calculated by dividing non-GAAP net income attributable to Baidu, by the weighted average number of ordinary shares expressed in ADS. Adjusted EBITDA represents non-GAAP operating income excluding depreciation of fixed assets, and amortization of intangible assets excluding those resulting from business combinations. Adjusted long-term investments represent long-term investments, net, with publicly listed equity method investments adjusted to fair value based on quoted market prices.</w:t>
      </w:r>
    </w:p>
    <w:p>
      <w:pPr>
        <w:spacing w:after="0" w:line="168" w:lineRule="exact"/>
        <w:rPr>
          <w:sz w:val="20"/>
          <w:szCs w:val="20"/>
          <w:color w:val="auto"/>
        </w:rPr>
      </w:pPr>
    </w:p>
    <w:p>
      <w:pPr>
        <w:ind w:right="520"/>
        <w:spacing w:after="0" w:line="292" w:lineRule="auto"/>
        <w:rPr>
          <w:sz w:val="20"/>
          <w:szCs w:val="20"/>
          <w:color w:val="auto"/>
        </w:rPr>
      </w:pPr>
      <w:r>
        <w:rPr>
          <w:rFonts w:ascii="Times New Roman" w:cs="Times New Roman" w:eastAsia="Times New Roman" w:hAnsi="Times New Roman"/>
          <w:sz w:val="17"/>
          <w:szCs w:val="17"/>
          <w:color w:val="auto"/>
        </w:rPr>
        <w:t>For more information on non-GAAP financial measures, please see the tables captioned “Reconciliations of non-GAAP financial measures to the nearest comparable GAAP measure.”</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0600"/>
          </w:cols>
          <w:pgMar w:left="640" w:top="264" w:right="6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9310" cy="37465"/>
                    </a:xfrm>
                    <a:prstGeom prst="rect">
                      <a:avLst/>
                    </a:prstGeom>
                    <a:noFill/>
                  </pic:spPr>
                </pic:pic>
              </a:graphicData>
            </a:graphic>
          </wp:anchor>
        </w:drawing>
        <w:t>Baidu, Inc.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Income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for per share (or ADS) information,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7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6700" w:type="dxa"/>
            <w:vAlign w:val="bottom"/>
          </w:tcPr>
          <w:p>
            <w:pPr>
              <w:spacing w:after="0"/>
              <w:rPr>
                <w:sz w:val="9"/>
                <w:szCs w:val="9"/>
                <w:color w:val="auto"/>
              </w:rPr>
            </w:pPr>
          </w:p>
        </w:tc>
        <w:tc>
          <w:tcPr>
            <w:tcW w:w="1000" w:type="dxa"/>
            <w:vAlign w:val="bottom"/>
            <w:gridSpan w:val="2"/>
          </w:tcPr>
          <w:p>
            <w:pPr>
              <w:jc w:val="center"/>
              <w:ind w:right="400"/>
              <w:spacing w:after="0" w:line="111" w:lineRule="exact"/>
              <w:rPr>
                <w:sz w:val="20"/>
                <w:szCs w:val="20"/>
                <w:color w:val="auto"/>
              </w:rPr>
            </w:pPr>
            <w:r>
              <w:rPr>
                <w:rFonts w:ascii="Times New Roman" w:cs="Times New Roman" w:eastAsia="Times New Roman" w:hAnsi="Times New Roman"/>
                <w:sz w:val="12"/>
                <w:szCs w:val="12"/>
                <w:b w:val="1"/>
                <w:bCs w:val="1"/>
                <w:color w:val="auto"/>
              </w:rPr>
              <w:t>March 31,</w:t>
            </w:r>
          </w:p>
        </w:tc>
        <w:tc>
          <w:tcPr>
            <w:tcW w:w="1180" w:type="dxa"/>
            <w:vAlign w:val="bottom"/>
            <w:gridSpan w:val="2"/>
          </w:tcPr>
          <w:p>
            <w:pPr>
              <w:jc w:val="center"/>
              <w:ind w:right="380"/>
              <w:spacing w:after="0" w:line="111"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1000" w:type="dxa"/>
            <w:vAlign w:val="bottom"/>
            <w:gridSpan w:val="2"/>
          </w:tcPr>
          <w:p>
            <w:pPr>
              <w:jc w:val="center"/>
              <w:ind w:right="380"/>
              <w:spacing w:after="0" w:line="111" w:lineRule="exact"/>
              <w:rPr>
                <w:sz w:val="20"/>
                <w:szCs w:val="20"/>
                <w:color w:val="auto"/>
              </w:rPr>
            </w:pPr>
            <w:r>
              <w:rPr>
                <w:rFonts w:ascii="Times New Roman" w:cs="Times New Roman" w:eastAsia="Times New Roman" w:hAnsi="Times New Roman"/>
                <w:sz w:val="12"/>
                <w:szCs w:val="12"/>
                <w:b w:val="1"/>
                <w:bCs w:val="1"/>
                <w:color w:val="auto"/>
              </w:rPr>
              <w:t>March 31,</w:t>
            </w:r>
          </w:p>
        </w:tc>
        <w:tc>
          <w:tcPr>
            <w:tcW w:w="620" w:type="dxa"/>
            <w:vAlign w:val="bottom"/>
          </w:tcPr>
          <w:p>
            <w:pPr>
              <w:jc w:val="center"/>
              <w:spacing w:after="0" w:line="111" w:lineRule="exact"/>
              <w:rPr>
                <w:sz w:val="20"/>
                <w:szCs w:val="20"/>
                <w:color w:val="auto"/>
              </w:rPr>
            </w:pPr>
            <w:r>
              <w:rPr>
                <w:rFonts w:ascii="Times New Roman" w:cs="Times New Roman" w:eastAsia="Times New Roman" w:hAnsi="Times New Roman"/>
                <w:sz w:val="12"/>
                <w:szCs w:val="12"/>
                <w:b w:val="1"/>
                <w:bCs w:val="1"/>
                <w:color w:val="auto"/>
              </w:rPr>
              <w:t>March 31,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67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8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2026</w:t>
            </w:r>
          </w:p>
        </w:tc>
        <w:tc>
          <w:tcPr>
            <w:tcW w:w="38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70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400" w:type="dxa"/>
            <w:vAlign w:val="bottom"/>
          </w:tcPr>
          <w:p>
            <w:pPr>
              <w:spacing w:after="0"/>
              <w:rPr>
                <w:sz w:val="11"/>
                <w:szCs w:val="11"/>
                <w:color w:val="auto"/>
              </w:rPr>
            </w:pPr>
          </w:p>
        </w:tc>
        <w:tc>
          <w:tcPr>
            <w:tcW w:w="80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380" w:type="dxa"/>
            <w:vAlign w:val="bottom"/>
          </w:tcPr>
          <w:p>
            <w:pPr>
              <w:spacing w:after="0"/>
              <w:rPr>
                <w:sz w:val="11"/>
                <w:szCs w:val="11"/>
                <w:color w:val="auto"/>
              </w:rPr>
            </w:pPr>
          </w:p>
        </w:tc>
        <w:tc>
          <w:tcPr>
            <w:tcW w:w="62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380" w:type="dxa"/>
            <w:vAlign w:val="bottom"/>
          </w:tcPr>
          <w:p>
            <w:pPr>
              <w:spacing w:after="0"/>
              <w:rPr>
                <w:sz w:val="11"/>
                <w:szCs w:val="11"/>
                <w:color w:val="auto"/>
              </w:rPr>
            </w:pPr>
          </w:p>
        </w:tc>
        <w:tc>
          <w:tcPr>
            <w:tcW w:w="62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US$</w:t>
            </w:r>
            <w:r>
              <w:rPr>
                <w:rFonts w:ascii="Times New Roman" w:cs="Times New Roman" w:eastAsia="Times New Roman" w:hAnsi="Times New Roman"/>
                <w:sz w:val="10"/>
                <w:szCs w:val="10"/>
                <w:b w:val="1"/>
                <w:bCs w:val="1"/>
                <w:color w:val="auto"/>
              </w:rPr>
              <w:t>(2)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32,452</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32,740</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32,075</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4,650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Costs and expenses:</w:t>
            </w: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70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7"/>
                <w:szCs w:val="17"/>
                <w:color w:val="auto"/>
              </w:rPr>
              <w:t>Cost of revenue</w:t>
            </w:r>
            <w:r>
              <w:rPr>
                <w:rFonts w:ascii="Times New Roman" w:cs="Times New Roman" w:eastAsia="Times New Roman" w:hAnsi="Times New Roman"/>
                <w:sz w:val="24"/>
                <w:szCs w:val="24"/>
                <w:color w:val="auto"/>
                <w:vertAlign w:val="superscript"/>
              </w:rPr>
              <w:t>(1)</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17,487</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18,277</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19,589</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700" w:type="dxa"/>
            <w:vAlign w:val="bottom"/>
          </w:tcPr>
          <w:p>
            <w:pPr>
              <w:spacing w:after="0" w:line="207" w:lineRule="exact"/>
              <w:rPr>
                <w:sz w:val="20"/>
                <w:szCs w:val="20"/>
                <w:color w:val="auto"/>
              </w:rPr>
            </w:pPr>
            <w:r>
              <w:rPr>
                <w:rFonts w:ascii="Times New Roman" w:cs="Times New Roman" w:eastAsia="Times New Roman" w:hAnsi="Times New Roman"/>
                <w:sz w:val="17"/>
                <w:szCs w:val="17"/>
                <w:color w:val="auto"/>
              </w:rPr>
              <w:t>Selling, general and administrative</w:t>
            </w:r>
            <w:r>
              <w:rPr>
                <w:rFonts w:ascii="Times New Roman" w:cs="Times New Roman" w:eastAsia="Times New Roman" w:hAnsi="Times New Roman"/>
                <w:sz w:val="24"/>
                <w:szCs w:val="24"/>
                <w:color w:val="auto"/>
                <w:vertAlign w:val="superscript"/>
              </w:rPr>
              <w:t>(1)</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5,913</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7,389</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4,912</w:t>
            </w:r>
          </w:p>
        </w:tc>
        <w:tc>
          <w:tcPr>
            <w:tcW w:w="3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712</w:t>
            </w:r>
          </w:p>
        </w:tc>
        <w:tc>
          <w:tcPr>
            <w:tcW w:w="0" w:type="dxa"/>
            <w:vAlign w:val="bottom"/>
          </w:tcPr>
          <w:p>
            <w:pPr>
              <w:spacing w:after="0"/>
              <w:rPr>
                <w:sz w:val="1"/>
                <w:szCs w:val="1"/>
                <w:color w:val="auto"/>
              </w:rPr>
            </w:pPr>
          </w:p>
        </w:tc>
      </w:tr>
      <w:tr>
        <w:trPr>
          <w:trHeight w:val="208"/>
        </w:trPr>
        <w:tc>
          <w:tcPr>
            <w:tcW w:w="670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7"/>
                <w:szCs w:val="17"/>
                <w:color w:val="auto"/>
              </w:rPr>
              <w:t>Research and development</w:t>
            </w:r>
            <w:r>
              <w:rPr>
                <w:rFonts w:ascii="Times New Roman" w:cs="Times New Roman" w:eastAsia="Times New Roman" w:hAnsi="Times New Roman"/>
                <w:sz w:val="24"/>
                <w:szCs w:val="24"/>
                <w:color w:val="auto"/>
                <w:vertAlign w:val="superscript"/>
              </w:rPr>
              <w:t>(1)</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4,544</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5,591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4,381</w:t>
            </w: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635</w:t>
            </w:r>
          </w:p>
        </w:tc>
        <w:tc>
          <w:tcPr>
            <w:tcW w:w="0" w:type="dxa"/>
            <w:vAlign w:val="bottom"/>
          </w:tcPr>
          <w:p>
            <w:pPr>
              <w:spacing w:after="0"/>
              <w:rPr>
                <w:sz w:val="1"/>
                <w:szCs w:val="1"/>
                <w:color w:val="auto"/>
              </w:rPr>
            </w:pPr>
          </w:p>
        </w:tc>
      </w:tr>
      <w:tr>
        <w:trPr>
          <w:trHeight w:val="220"/>
        </w:trPr>
        <w:tc>
          <w:tcPr>
            <w:tcW w:w="6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costs and expenses</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27,944</w:t>
            </w:r>
          </w:p>
        </w:tc>
        <w:tc>
          <w:tcPr>
            <w:tcW w:w="4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31,257</w:t>
            </w:r>
          </w:p>
        </w:tc>
        <w:tc>
          <w:tcPr>
            <w:tcW w:w="3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28,882</w:t>
            </w:r>
          </w:p>
        </w:tc>
        <w:tc>
          <w:tcPr>
            <w:tcW w:w="3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4,187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4,508</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1,483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3,193</w:t>
            </w: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463</w:t>
            </w:r>
          </w:p>
        </w:tc>
        <w:tc>
          <w:tcPr>
            <w:tcW w:w="0" w:type="dxa"/>
            <w:vAlign w:val="bottom"/>
          </w:tcPr>
          <w:p>
            <w:pPr>
              <w:spacing w:after="0"/>
              <w:rPr>
                <w:sz w:val="1"/>
                <w:szCs w:val="1"/>
                <w:color w:val="auto"/>
              </w:rPr>
            </w:pPr>
          </w:p>
        </w:tc>
      </w:tr>
      <w:tr>
        <w:trPr>
          <w:trHeight w:val="208"/>
        </w:trPr>
        <w:tc>
          <w:tcPr>
            <w:tcW w:w="6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Other income:</w:t>
            </w: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2,664</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2,051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1,963</w:t>
            </w: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285</w:t>
            </w:r>
          </w:p>
        </w:tc>
        <w:tc>
          <w:tcPr>
            <w:tcW w:w="0" w:type="dxa"/>
            <w:vAlign w:val="bottom"/>
          </w:tcPr>
          <w:p>
            <w:pPr>
              <w:spacing w:after="0"/>
              <w:rPr>
                <w:sz w:val="1"/>
                <w:szCs w:val="1"/>
                <w:color w:val="auto"/>
              </w:rPr>
            </w:pPr>
          </w:p>
        </w:tc>
      </w:tr>
      <w:tr>
        <w:trPr>
          <w:trHeight w:val="208"/>
        </w:trPr>
        <w:tc>
          <w:tcPr>
            <w:tcW w:w="670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(801)</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(651)</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(636)</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(92)</w:t>
            </w:r>
          </w:p>
        </w:tc>
        <w:tc>
          <w:tcPr>
            <w:tcW w:w="0" w:type="dxa"/>
            <w:vAlign w:val="bottom"/>
          </w:tcPr>
          <w:p>
            <w:pPr>
              <w:spacing w:after="0"/>
              <w:rPr>
                <w:sz w:val="1"/>
                <w:szCs w:val="1"/>
                <w:color w:val="auto"/>
              </w:rPr>
            </w:pPr>
          </w:p>
        </w:tc>
      </w:tr>
      <w:tr>
        <w:trPr>
          <w:trHeight w:val="208"/>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exchange loss, net</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(210)</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(1,054)</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(989)</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(143)</w:t>
            </w:r>
          </w:p>
        </w:tc>
        <w:tc>
          <w:tcPr>
            <w:tcW w:w="0" w:type="dxa"/>
            <w:vAlign w:val="bottom"/>
          </w:tcPr>
          <w:p>
            <w:pPr>
              <w:spacing w:after="0"/>
              <w:rPr>
                <w:sz w:val="1"/>
                <w:szCs w:val="1"/>
                <w:color w:val="auto"/>
              </w:rPr>
            </w:pPr>
          </w:p>
        </w:tc>
      </w:tr>
      <w:tr>
        <w:trPr>
          <w:trHeight w:val="208"/>
        </w:trPr>
        <w:tc>
          <w:tcPr>
            <w:tcW w:w="6700" w:type="dxa"/>
            <w:vAlign w:val="bottom"/>
          </w:tcPr>
          <w:p>
            <w:pPr>
              <w:spacing w:after="0"/>
              <w:rPr>
                <w:sz w:val="20"/>
                <w:szCs w:val="20"/>
                <w:color w:val="auto"/>
              </w:rPr>
            </w:pPr>
            <w:r>
              <w:rPr>
                <w:rFonts w:ascii="Times New Roman" w:cs="Times New Roman" w:eastAsia="Times New Roman" w:hAnsi="Times New Roman"/>
                <w:sz w:val="17"/>
                <w:szCs w:val="17"/>
                <w:color w:val="auto"/>
              </w:rPr>
              <w:t>Share of earnings from equity method investments</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574</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1,193</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536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Others, net</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2,260</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(296)</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(248)</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20"/>
        </w:trPr>
        <w:tc>
          <w:tcPr>
            <w:tcW w:w="6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other income, net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4,487</w:t>
            </w:r>
          </w:p>
        </w:tc>
        <w:tc>
          <w:tcPr>
            <w:tcW w:w="4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1,243</w:t>
            </w:r>
          </w:p>
        </w:tc>
        <w:tc>
          <w:tcPr>
            <w:tcW w:w="3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626</w:t>
            </w:r>
          </w:p>
        </w:tc>
        <w:tc>
          <w:tcPr>
            <w:tcW w:w="3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Income before income taxes</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8,995</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2,726</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3,819</w:t>
            </w: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554</w:t>
            </w:r>
          </w:p>
        </w:tc>
        <w:tc>
          <w:tcPr>
            <w:tcW w:w="0" w:type="dxa"/>
            <w:vAlign w:val="bottom"/>
          </w:tcPr>
          <w:p>
            <w:pPr>
              <w:spacing w:after="0"/>
              <w:rPr>
                <w:sz w:val="1"/>
                <w:szCs w:val="1"/>
                <w:color w:val="auto"/>
              </w:rPr>
            </w:pPr>
          </w:p>
        </w:tc>
      </w:tr>
      <w:tr>
        <w:trPr>
          <w:trHeight w:val="208"/>
        </w:trPr>
        <w:tc>
          <w:tcPr>
            <w:tcW w:w="6700" w:type="dxa"/>
            <w:vAlign w:val="bottom"/>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1,177</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1,029</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528</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7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7,818</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1,697</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3,291</w:t>
            </w: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478</w:t>
            </w:r>
          </w:p>
        </w:tc>
        <w:tc>
          <w:tcPr>
            <w:tcW w:w="0" w:type="dxa"/>
            <w:vAlign w:val="bottom"/>
          </w:tcPr>
          <w:p>
            <w:pPr>
              <w:spacing w:after="0"/>
              <w:rPr>
                <w:sz w:val="1"/>
                <w:szCs w:val="1"/>
                <w:color w:val="auto"/>
              </w:rPr>
            </w:pPr>
          </w:p>
        </w:tc>
      </w:tr>
      <w:tr>
        <w:trPr>
          <w:trHeight w:val="208"/>
        </w:trPr>
        <w:tc>
          <w:tcPr>
            <w:tcW w:w="6700" w:type="dxa"/>
            <w:vAlign w:val="bottom"/>
          </w:tcPr>
          <w:p>
            <w:pPr>
              <w:spacing w:after="0"/>
              <w:rPr>
                <w:sz w:val="20"/>
                <w:szCs w:val="20"/>
                <w:color w:val="auto"/>
              </w:rPr>
            </w:pPr>
            <w:r>
              <w:rPr>
                <w:rFonts w:ascii="Times New Roman" w:cs="Times New Roman" w:eastAsia="Times New Roman" w:hAnsi="Times New Roman"/>
                <w:sz w:val="17"/>
                <w:szCs w:val="17"/>
                <w:color w:val="auto"/>
              </w:rPr>
              <w:t>Net income (loss) attributable to noncontrolling interests</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101</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(85)</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(154)</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6"/>
        </w:trPr>
        <w:tc>
          <w:tcPr>
            <w:tcW w:w="67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income attributable to Baidu</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7,717</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1,782</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3,445</w:t>
            </w: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499</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Earnings per ADS (1 ADS representing 8 Class A ordinary shares):</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70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-Basic</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21.86</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4.48</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9.38</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1.36</w:t>
            </w:r>
          </w:p>
        </w:tc>
        <w:tc>
          <w:tcPr>
            <w:tcW w:w="0" w:type="dxa"/>
            <w:vAlign w:val="bottom"/>
          </w:tcPr>
          <w:p>
            <w:pPr>
              <w:spacing w:after="0"/>
              <w:rPr>
                <w:sz w:val="1"/>
                <w:szCs w:val="1"/>
                <w:color w:val="auto"/>
              </w:rPr>
            </w:pPr>
          </w:p>
        </w:tc>
      </w:tr>
      <w:tr>
        <w:trPr>
          <w:trHeight w:val="208"/>
        </w:trPr>
        <w:tc>
          <w:tcPr>
            <w:tcW w:w="67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-Diluted</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21.59</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3.71</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8.76</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1.27</w:t>
            </w:r>
          </w:p>
        </w:tc>
        <w:tc>
          <w:tcPr>
            <w:tcW w:w="0" w:type="dxa"/>
            <w:vAlign w:val="bottom"/>
          </w:tcPr>
          <w:p>
            <w:pPr>
              <w:spacing w:after="0"/>
              <w:rPr>
                <w:sz w:val="1"/>
                <w:szCs w:val="1"/>
                <w:color w:val="auto"/>
              </w:rPr>
            </w:pPr>
          </w:p>
        </w:tc>
      </w:tr>
      <w:tr>
        <w:trPr>
          <w:trHeight w:val="208"/>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Earnings per share for Class A and Class B ordinary shares:</w:t>
            </w: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7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-Basic</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2.73</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0.56</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1.17</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0.17</w:t>
            </w:r>
          </w:p>
        </w:tc>
        <w:tc>
          <w:tcPr>
            <w:tcW w:w="0" w:type="dxa"/>
            <w:vAlign w:val="bottom"/>
          </w:tcPr>
          <w:p>
            <w:pPr>
              <w:spacing w:after="0"/>
              <w:rPr>
                <w:sz w:val="1"/>
                <w:szCs w:val="1"/>
                <w:color w:val="auto"/>
              </w:rPr>
            </w:pPr>
          </w:p>
        </w:tc>
      </w:tr>
      <w:tr>
        <w:trPr>
          <w:trHeight w:val="208"/>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-Diluted</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2.70</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0.46</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1.10</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0.16</w:t>
            </w:r>
          </w:p>
        </w:tc>
        <w:tc>
          <w:tcPr>
            <w:tcW w:w="0" w:type="dxa"/>
            <w:vAlign w:val="bottom"/>
          </w:tcPr>
          <w:p>
            <w:pPr>
              <w:spacing w:after="0"/>
              <w:rPr>
                <w:sz w:val="1"/>
                <w:szCs w:val="1"/>
                <w:color w:val="auto"/>
              </w:rPr>
            </w:pPr>
          </w:p>
        </w:tc>
      </w:tr>
      <w:tr>
        <w:trPr>
          <w:trHeight w:val="208"/>
        </w:trPr>
        <w:tc>
          <w:tcPr>
            <w:tcW w:w="670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number of Class A and Class B ordinary shares outstanding (in millions):</w:t>
            </w: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-Basic</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2,751</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2,721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2,721</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7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-Diluted</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2,762</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2,758</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2,764</w:t>
            </w: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6700" w:type="dxa"/>
            <w:vAlign w:val="bottom"/>
          </w:tcPr>
          <w:p>
            <w:pPr>
              <w:spacing w:after="0"/>
              <w:rPr>
                <w:sz w:val="20"/>
                <w:szCs w:val="20"/>
                <w:color w:val="auto"/>
              </w:rPr>
            </w:pPr>
            <w:r>
              <w:rPr>
                <w:rFonts w:ascii="Times New Roman" w:cs="Times New Roman" w:eastAsia="Times New Roman" w:hAnsi="Times New Roman"/>
                <w:sz w:val="17"/>
                <w:szCs w:val="17"/>
                <w:color w:val="auto"/>
              </w:rPr>
              <w:t>(1) Includes share-based compensation expenses as follows:</w:t>
            </w: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6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Cost of revenue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79</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7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313</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252</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190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361</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398</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291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Total share-based compensation expenses</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751</w:t>
            </w:r>
          </w:p>
        </w:tc>
        <w:tc>
          <w:tcPr>
            <w:tcW w:w="4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729</w:t>
            </w:r>
          </w:p>
        </w:tc>
        <w:tc>
          <w:tcPr>
            <w:tcW w:w="3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563</w:t>
            </w:r>
          </w:p>
        </w:tc>
        <w:tc>
          <w:tcPr>
            <w:tcW w:w="3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420" w:right="220" w:hanging="412"/>
        <w:spacing w:after="0" w:line="292" w:lineRule="auto"/>
        <w:tabs>
          <w:tab w:leader="none" w:pos="4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translations from RMB to U.S. dollars are made at a rate of RMB6.8980 to US$1.00, the exchange rate in effect as of March 31, 2026 as set forth in the H.10 statistical release of The Board of Governors of the Federal Reserve System.</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0600"/>
          </w:cols>
          <w:pgMar w:left="640" w:top="262" w:right="6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9310" cy="37465"/>
                    </a:xfrm>
                    <a:prstGeom prst="rect">
                      <a:avLst/>
                    </a:prstGeom>
                    <a:noFill/>
                  </pic:spPr>
                </pic:pic>
              </a:graphicData>
            </a:graphic>
          </wp:anchor>
        </w:drawing>
        <w:t>Baidu, Inc.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0" w:type="dxa"/>
            <w:vAlign w:val="bottom"/>
          </w:tcPr>
          <w:p>
            <w:pPr>
              <w:spacing w:after="0"/>
              <w:rPr>
                <w:sz w:val="1"/>
                <w:szCs w:val="1"/>
                <w:color w:val="auto"/>
              </w:rPr>
            </w:pPr>
          </w:p>
        </w:tc>
      </w:tr>
      <w:tr>
        <w:trPr>
          <w:trHeight w:val="167"/>
        </w:trPr>
        <w:tc>
          <w:tcPr>
            <w:tcW w:w="80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8000" w:type="dxa"/>
            <w:vAlign w:val="bottom"/>
          </w:tcPr>
          <w:p>
            <w:pPr>
              <w:spacing w:after="0"/>
              <w:rPr>
                <w:sz w:val="11"/>
                <w:szCs w:val="11"/>
                <w:color w:val="auto"/>
              </w:rPr>
            </w:pPr>
          </w:p>
        </w:tc>
        <w:tc>
          <w:tcPr>
            <w:tcW w:w="80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60" w:type="dxa"/>
            <w:vAlign w:val="bottom"/>
          </w:tcPr>
          <w:p>
            <w:pPr>
              <w:spacing w:after="0"/>
              <w:rPr>
                <w:sz w:val="11"/>
                <w:szCs w:val="11"/>
                <w:color w:val="auto"/>
              </w:rPr>
            </w:pPr>
          </w:p>
        </w:tc>
        <w:tc>
          <w:tcPr>
            <w:tcW w:w="62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6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24,606</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29,948</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4,342</w:t>
            </w:r>
          </w:p>
        </w:tc>
        <w:tc>
          <w:tcPr>
            <w:tcW w:w="0" w:type="dxa"/>
            <w:vAlign w:val="bottom"/>
          </w:tcPr>
          <w:p>
            <w:pPr>
              <w:spacing w:after="0"/>
              <w:rPr>
                <w:sz w:val="1"/>
                <w:szCs w:val="1"/>
                <w:color w:val="auto"/>
              </w:rPr>
            </w:pPr>
          </w:p>
        </w:tc>
      </w:tr>
      <w:tr>
        <w:trPr>
          <w:trHeight w:val="208"/>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Restricted cash</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225</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584</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85</w:t>
            </w:r>
          </w:p>
        </w:tc>
        <w:tc>
          <w:tcPr>
            <w:tcW w:w="0" w:type="dxa"/>
            <w:vAlign w:val="bottom"/>
          </w:tcPr>
          <w:p>
            <w:pPr>
              <w:spacing w:after="0"/>
              <w:rPr>
                <w:sz w:val="1"/>
                <w:szCs w:val="1"/>
                <w:color w:val="auto"/>
              </w:rPr>
            </w:pPr>
          </w:p>
        </w:tc>
      </w:tr>
      <w:tr>
        <w:trPr>
          <w:trHeight w:val="208"/>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Short-term investments, net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90,661</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86,942</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12,604</w:t>
            </w:r>
          </w:p>
        </w:tc>
        <w:tc>
          <w:tcPr>
            <w:tcW w:w="0" w:type="dxa"/>
            <w:vAlign w:val="bottom"/>
          </w:tcPr>
          <w:p>
            <w:pPr>
              <w:spacing w:after="0"/>
              <w:rPr>
                <w:sz w:val="1"/>
                <w:szCs w:val="1"/>
                <w:color w:val="auto"/>
              </w:rPr>
            </w:pPr>
          </w:p>
        </w:tc>
      </w:tr>
      <w:tr>
        <w:trPr>
          <w:trHeight w:val="208"/>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Accounts receivable, net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12,972</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14,167</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2,054</w:t>
            </w:r>
          </w:p>
        </w:tc>
        <w:tc>
          <w:tcPr>
            <w:tcW w:w="0" w:type="dxa"/>
            <w:vAlign w:val="bottom"/>
          </w:tcPr>
          <w:p>
            <w:pPr>
              <w:spacing w:after="0"/>
              <w:rPr>
                <w:sz w:val="1"/>
                <w:szCs w:val="1"/>
                <w:color w:val="auto"/>
              </w:rPr>
            </w:pPr>
          </w:p>
        </w:tc>
      </w:tr>
      <w:tr>
        <w:trPr>
          <w:trHeight w:val="208"/>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Amounts due from related parties</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761</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781</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208"/>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Other current assets, net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22,745</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22,867</w:t>
            </w:r>
          </w:p>
        </w:tc>
        <w:tc>
          <w:tcPr>
            <w:tcW w:w="2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3,315</w:t>
            </w:r>
          </w:p>
        </w:tc>
        <w:tc>
          <w:tcPr>
            <w:tcW w:w="0" w:type="dxa"/>
            <w:vAlign w:val="bottom"/>
          </w:tcPr>
          <w:p>
            <w:pPr>
              <w:spacing w:after="0"/>
              <w:rPr>
                <w:sz w:val="1"/>
                <w:szCs w:val="1"/>
                <w:color w:val="auto"/>
              </w:rPr>
            </w:pPr>
          </w:p>
        </w:tc>
      </w:tr>
      <w:tr>
        <w:trPr>
          <w:trHeight w:val="26"/>
        </w:trPr>
        <w:tc>
          <w:tcPr>
            <w:tcW w:w="80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151,970</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155,289</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22,513</w:t>
            </w:r>
          </w:p>
        </w:tc>
        <w:tc>
          <w:tcPr>
            <w:tcW w:w="0" w:type="dxa"/>
            <w:vAlign w:val="bottom"/>
          </w:tcPr>
          <w:p>
            <w:pPr>
              <w:spacing w:after="0"/>
              <w:rPr>
                <w:sz w:val="1"/>
                <w:szCs w:val="1"/>
                <w:color w:val="auto"/>
              </w:rPr>
            </w:pPr>
          </w:p>
        </w:tc>
      </w:tr>
      <w:tr>
        <w:trPr>
          <w:trHeight w:val="214"/>
        </w:trPr>
        <w:tc>
          <w:tcPr>
            <w:tcW w:w="8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Non-current assets:</w:t>
            </w:r>
          </w:p>
        </w:tc>
        <w:tc>
          <w:tcPr>
            <w:tcW w:w="8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Fixed assets, net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26,281</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26,848</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3,892</w:t>
            </w:r>
          </w:p>
        </w:tc>
        <w:tc>
          <w:tcPr>
            <w:tcW w:w="0" w:type="dxa"/>
            <w:vAlign w:val="bottom"/>
          </w:tcPr>
          <w:p>
            <w:pPr>
              <w:spacing w:after="0"/>
              <w:rPr>
                <w:sz w:val="1"/>
                <w:szCs w:val="1"/>
                <w:color w:val="auto"/>
              </w:rPr>
            </w:pPr>
          </w:p>
        </w:tc>
      </w:tr>
      <w:tr>
        <w:trPr>
          <w:trHeight w:val="208"/>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Licensed copyrights, net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5,963</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6,139</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890</w:t>
            </w:r>
          </w:p>
        </w:tc>
        <w:tc>
          <w:tcPr>
            <w:tcW w:w="0" w:type="dxa"/>
            <w:vAlign w:val="bottom"/>
          </w:tcPr>
          <w:p>
            <w:pPr>
              <w:spacing w:after="0"/>
              <w:rPr>
                <w:sz w:val="1"/>
                <w:szCs w:val="1"/>
                <w:color w:val="auto"/>
              </w:rPr>
            </w:pPr>
          </w:p>
        </w:tc>
      </w:tr>
      <w:tr>
        <w:trPr>
          <w:trHeight w:val="208"/>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Produced content, net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14,575</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14,578</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2,113</w:t>
            </w:r>
          </w:p>
        </w:tc>
        <w:tc>
          <w:tcPr>
            <w:tcW w:w="0" w:type="dxa"/>
            <w:vAlign w:val="bottom"/>
          </w:tcPr>
          <w:p>
            <w:pPr>
              <w:spacing w:after="0"/>
              <w:rPr>
                <w:sz w:val="1"/>
                <w:szCs w:val="1"/>
                <w:color w:val="auto"/>
              </w:rPr>
            </w:pPr>
          </w:p>
        </w:tc>
      </w:tr>
      <w:tr>
        <w:trPr>
          <w:trHeight w:val="208"/>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Intangible assets, net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3,891</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4,368</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633</w:t>
            </w:r>
          </w:p>
        </w:tc>
        <w:tc>
          <w:tcPr>
            <w:tcW w:w="0" w:type="dxa"/>
            <w:vAlign w:val="bottom"/>
          </w:tcPr>
          <w:p>
            <w:pPr>
              <w:spacing w:after="0"/>
              <w:rPr>
                <w:sz w:val="1"/>
                <w:szCs w:val="1"/>
                <w:color w:val="auto"/>
              </w:rPr>
            </w:pPr>
          </w:p>
        </w:tc>
      </w:tr>
      <w:tr>
        <w:trPr>
          <w:trHeight w:val="208"/>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Goodwill</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36,783</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36,783</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5,332</w:t>
            </w:r>
          </w:p>
        </w:tc>
        <w:tc>
          <w:tcPr>
            <w:tcW w:w="0" w:type="dxa"/>
            <w:vAlign w:val="bottom"/>
          </w:tcPr>
          <w:p>
            <w:pPr>
              <w:spacing w:after="0"/>
              <w:rPr>
                <w:sz w:val="1"/>
                <w:szCs w:val="1"/>
                <w:color w:val="auto"/>
              </w:rPr>
            </w:pPr>
          </w:p>
        </w:tc>
      </w:tr>
      <w:tr>
        <w:trPr>
          <w:trHeight w:val="208"/>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Long-term investments, net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44,918</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42,944</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6,226</w:t>
            </w:r>
          </w:p>
        </w:tc>
        <w:tc>
          <w:tcPr>
            <w:tcW w:w="0" w:type="dxa"/>
            <w:vAlign w:val="bottom"/>
          </w:tcPr>
          <w:p>
            <w:pPr>
              <w:spacing w:after="0"/>
              <w:rPr>
                <w:sz w:val="1"/>
                <w:szCs w:val="1"/>
                <w:color w:val="auto"/>
              </w:rPr>
            </w:pPr>
          </w:p>
        </w:tc>
      </w:tr>
      <w:tr>
        <w:trPr>
          <w:trHeight w:val="208"/>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time deposits and held-to-maturity investments</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123,862</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116,390</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16,873</w:t>
            </w:r>
          </w:p>
        </w:tc>
        <w:tc>
          <w:tcPr>
            <w:tcW w:w="0" w:type="dxa"/>
            <w:vAlign w:val="bottom"/>
          </w:tcPr>
          <w:p>
            <w:pPr>
              <w:spacing w:after="0"/>
              <w:rPr>
                <w:sz w:val="1"/>
                <w:szCs w:val="1"/>
                <w:color w:val="auto"/>
              </w:rPr>
            </w:pPr>
          </w:p>
        </w:tc>
      </w:tr>
      <w:tr>
        <w:trPr>
          <w:trHeight w:val="208"/>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Amounts due from related parties</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167</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119</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08"/>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assets, net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4,582</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5,266</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763</w:t>
            </w:r>
          </w:p>
        </w:tc>
        <w:tc>
          <w:tcPr>
            <w:tcW w:w="0" w:type="dxa"/>
            <w:vAlign w:val="bottom"/>
          </w:tcPr>
          <w:p>
            <w:pPr>
              <w:spacing w:after="0"/>
              <w:rPr>
                <w:sz w:val="1"/>
                <w:szCs w:val="1"/>
                <w:color w:val="auto"/>
              </w:rPr>
            </w:pPr>
          </w:p>
        </w:tc>
      </w:tr>
      <w:tr>
        <w:trPr>
          <w:trHeight w:val="208"/>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8,610</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8,550</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1,239</w:t>
            </w:r>
          </w:p>
        </w:tc>
        <w:tc>
          <w:tcPr>
            <w:tcW w:w="0" w:type="dxa"/>
            <w:vAlign w:val="bottom"/>
          </w:tcPr>
          <w:p>
            <w:pPr>
              <w:spacing w:after="0"/>
              <w:rPr>
                <w:sz w:val="1"/>
                <w:szCs w:val="1"/>
                <w:color w:val="auto"/>
              </w:rPr>
            </w:pPr>
          </w:p>
        </w:tc>
      </w:tr>
      <w:tr>
        <w:trPr>
          <w:trHeight w:val="208"/>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non-current assets</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27,555</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32,292</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4,682</w:t>
            </w:r>
          </w:p>
        </w:tc>
        <w:tc>
          <w:tcPr>
            <w:tcW w:w="0" w:type="dxa"/>
            <w:vAlign w:val="bottom"/>
          </w:tcPr>
          <w:p>
            <w:pPr>
              <w:spacing w:after="0"/>
              <w:rPr>
                <w:sz w:val="1"/>
                <w:szCs w:val="1"/>
                <w:color w:val="auto"/>
              </w:rPr>
            </w:pPr>
          </w:p>
        </w:tc>
      </w:tr>
      <w:tr>
        <w:trPr>
          <w:trHeight w:val="220"/>
        </w:trPr>
        <w:tc>
          <w:tcPr>
            <w:tcW w:w="8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non-current assets</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297,187</w:t>
            </w:r>
          </w:p>
        </w:tc>
        <w:tc>
          <w:tcPr>
            <w:tcW w:w="2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294,277</w:t>
            </w: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42,660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449,157</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449,566</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65,173</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LIABILITIES, REDEEMABLE NONCONTROLLING INTERESTS AND EQUITY</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00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Short-term loans</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7,626</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3,979</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577</w:t>
            </w:r>
          </w:p>
        </w:tc>
        <w:tc>
          <w:tcPr>
            <w:tcW w:w="0" w:type="dxa"/>
            <w:vAlign w:val="bottom"/>
          </w:tcPr>
          <w:p>
            <w:pPr>
              <w:spacing w:after="0"/>
              <w:rPr>
                <w:sz w:val="1"/>
                <w:szCs w:val="1"/>
                <w:color w:val="auto"/>
              </w:rPr>
            </w:pPr>
          </w:p>
        </w:tc>
      </w:tr>
      <w:tr>
        <w:trPr>
          <w:trHeight w:val="208"/>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38,891</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39,479</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5,724</w:t>
            </w:r>
          </w:p>
        </w:tc>
        <w:tc>
          <w:tcPr>
            <w:tcW w:w="0" w:type="dxa"/>
            <w:vAlign w:val="bottom"/>
          </w:tcPr>
          <w:p>
            <w:pPr>
              <w:spacing w:after="0"/>
              <w:rPr>
                <w:sz w:val="1"/>
                <w:szCs w:val="1"/>
                <w:color w:val="auto"/>
              </w:rPr>
            </w:pPr>
          </w:p>
        </w:tc>
      </w:tr>
      <w:tr>
        <w:trPr>
          <w:trHeight w:val="208"/>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Customer deposits and deferred revenue</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13,051</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12,922</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1,873</w:t>
            </w:r>
          </w:p>
        </w:tc>
        <w:tc>
          <w:tcPr>
            <w:tcW w:w="0" w:type="dxa"/>
            <w:vAlign w:val="bottom"/>
          </w:tcPr>
          <w:p>
            <w:pPr>
              <w:spacing w:after="0"/>
              <w:rPr>
                <w:sz w:val="1"/>
                <w:szCs w:val="1"/>
                <w:color w:val="auto"/>
              </w:rPr>
            </w:pPr>
          </w:p>
        </w:tc>
      </w:tr>
      <w:tr>
        <w:trPr>
          <w:trHeight w:val="208"/>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income</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531</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566</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82</w:t>
            </w:r>
          </w:p>
        </w:tc>
        <w:tc>
          <w:tcPr>
            <w:tcW w:w="0" w:type="dxa"/>
            <w:vAlign w:val="bottom"/>
          </w:tcPr>
          <w:p>
            <w:pPr>
              <w:spacing w:after="0"/>
              <w:rPr>
                <w:sz w:val="1"/>
                <w:szCs w:val="1"/>
                <w:color w:val="auto"/>
              </w:rPr>
            </w:pPr>
          </w:p>
        </w:tc>
      </w:tr>
      <w:tr>
        <w:trPr>
          <w:trHeight w:val="208"/>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Long-term loans, current portion</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14,765</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14,979</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2,171</w:t>
            </w:r>
          </w:p>
        </w:tc>
        <w:tc>
          <w:tcPr>
            <w:tcW w:w="0" w:type="dxa"/>
            <w:vAlign w:val="bottom"/>
          </w:tcPr>
          <w:p>
            <w:pPr>
              <w:spacing w:after="0"/>
              <w:rPr>
                <w:sz w:val="1"/>
                <w:szCs w:val="1"/>
                <w:color w:val="auto"/>
              </w:rPr>
            </w:pPr>
          </w:p>
        </w:tc>
      </w:tr>
      <w:tr>
        <w:trPr>
          <w:trHeight w:val="208"/>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Convertible senior notes, current portion</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1,459</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8"/>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Notes payable, current portion</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4,560</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6,565</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952</w:t>
            </w:r>
          </w:p>
        </w:tc>
        <w:tc>
          <w:tcPr>
            <w:tcW w:w="0" w:type="dxa"/>
            <w:vAlign w:val="bottom"/>
          </w:tcPr>
          <w:p>
            <w:pPr>
              <w:spacing w:after="0"/>
              <w:rPr>
                <w:sz w:val="1"/>
                <w:szCs w:val="1"/>
                <w:color w:val="auto"/>
              </w:rPr>
            </w:pPr>
          </w:p>
        </w:tc>
      </w:tr>
      <w:tr>
        <w:trPr>
          <w:trHeight w:val="208"/>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Amounts due to related parties</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1,988</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1,960</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284</w:t>
            </w:r>
          </w:p>
        </w:tc>
        <w:tc>
          <w:tcPr>
            <w:tcW w:w="0" w:type="dxa"/>
            <w:vAlign w:val="bottom"/>
          </w:tcPr>
          <w:p>
            <w:pPr>
              <w:spacing w:after="0"/>
              <w:rPr>
                <w:sz w:val="1"/>
                <w:szCs w:val="1"/>
                <w:color w:val="auto"/>
              </w:rPr>
            </w:pPr>
          </w:p>
        </w:tc>
      </w:tr>
      <w:tr>
        <w:trPr>
          <w:trHeight w:val="208"/>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3,457</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3,398</w:t>
            </w:r>
          </w:p>
        </w:tc>
        <w:tc>
          <w:tcPr>
            <w:tcW w:w="2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493</w:t>
            </w:r>
          </w:p>
        </w:tc>
        <w:tc>
          <w:tcPr>
            <w:tcW w:w="0" w:type="dxa"/>
            <w:vAlign w:val="bottom"/>
          </w:tcPr>
          <w:p>
            <w:pPr>
              <w:spacing w:after="0"/>
              <w:rPr>
                <w:sz w:val="1"/>
                <w:szCs w:val="1"/>
                <w:color w:val="auto"/>
              </w:rPr>
            </w:pPr>
          </w:p>
        </w:tc>
      </w:tr>
      <w:tr>
        <w:trPr>
          <w:trHeight w:val="26"/>
        </w:trPr>
        <w:tc>
          <w:tcPr>
            <w:tcW w:w="80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86,328</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83,849</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12,156</w:t>
            </w:r>
          </w:p>
        </w:tc>
        <w:tc>
          <w:tcPr>
            <w:tcW w:w="0" w:type="dxa"/>
            <w:vAlign w:val="bottom"/>
          </w:tcPr>
          <w:p>
            <w:pPr>
              <w:spacing w:after="0"/>
              <w:rPr>
                <w:sz w:val="1"/>
                <w:szCs w:val="1"/>
                <w:color w:val="auto"/>
              </w:rPr>
            </w:pPr>
          </w:p>
        </w:tc>
      </w:tr>
      <w:tr>
        <w:trPr>
          <w:trHeight w:val="214"/>
        </w:trPr>
        <w:tc>
          <w:tcPr>
            <w:tcW w:w="8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Non-current liabilities:</w:t>
            </w:r>
          </w:p>
        </w:tc>
        <w:tc>
          <w:tcPr>
            <w:tcW w:w="8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income</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198</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192</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08"/>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Deferred revenue</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723</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766</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111</w:t>
            </w:r>
          </w:p>
        </w:tc>
        <w:tc>
          <w:tcPr>
            <w:tcW w:w="0" w:type="dxa"/>
            <w:vAlign w:val="bottom"/>
          </w:tcPr>
          <w:p>
            <w:pPr>
              <w:spacing w:after="0"/>
              <w:rPr>
                <w:sz w:val="1"/>
                <w:szCs w:val="1"/>
                <w:color w:val="auto"/>
              </w:rPr>
            </w:pPr>
          </w:p>
        </w:tc>
      </w:tr>
      <w:tr>
        <w:trPr>
          <w:trHeight w:val="208"/>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Amounts due to related parties</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36</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30</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08"/>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Long-term loans</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3,369</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7,612</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1,104</w:t>
            </w:r>
          </w:p>
        </w:tc>
        <w:tc>
          <w:tcPr>
            <w:tcW w:w="0" w:type="dxa"/>
            <w:vAlign w:val="bottom"/>
          </w:tcPr>
          <w:p>
            <w:pPr>
              <w:spacing w:after="0"/>
              <w:rPr>
                <w:sz w:val="1"/>
                <w:szCs w:val="1"/>
                <w:color w:val="auto"/>
              </w:rPr>
            </w:pPr>
          </w:p>
        </w:tc>
      </w:tr>
      <w:tr>
        <w:trPr>
          <w:trHeight w:val="208"/>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Notes payable</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51,021</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46,990</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6,812</w:t>
            </w:r>
          </w:p>
        </w:tc>
        <w:tc>
          <w:tcPr>
            <w:tcW w:w="0" w:type="dxa"/>
            <w:vAlign w:val="bottom"/>
          </w:tcPr>
          <w:p>
            <w:pPr>
              <w:spacing w:after="0"/>
              <w:rPr>
                <w:sz w:val="1"/>
                <w:szCs w:val="1"/>
                <w:color w:val="auto"/>
              </w:rPr>
            </w:pPr>
          </w:p>
        </w:tc>
      </w:tr>
      <w:tr>
        <w:trPr>
          <w:trHeight w:val="208"/>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Convertible senior notes</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6,712</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6,671</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967</w:t>
            </w:r>
          </w:p>
        </w:tc>
        <w:tc>
          <w:tcPr>
            <w:tcW w:w="0" w:type="dxa"/>
            <w:vAlign w:val="bottom"/>
          </w:tcPr>
          <w:p>
            <w:pPr>
              <w:spacing w:after="0"/>
              <w:rPr>
                <w:sz w:val="1"/>
                <w:szCs w:val="1"/>
                <w:color w:val="auto"/>
              </w:rPr>
            </w:pPr>
          </w:p>
        </w:tc>
      </w:tr>
      <w:tr>
        <w:trPr>
          <w:trHeight w:val="208"/>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liabilities</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4,985</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5,211</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755</w:t>
            </w:r>
          </w:p>
        </w:tc>
        <w:tc>
          <w:tcPr>
            <w:tcW w:w="0" w:type="dxa"/>
            <w:vAlign w:val="bottom"/>
          </w:tcPr>
          <w:p>
            <w:pPr>
              <w:spacing w:after="0"/>
              <w:rPr>
                <w:sz w:val="1"/>
                <w:szCs w:val="1"/>
                <w:color w:val="auto"/>
              </w:rPr>
            </w:pPr>
          </w:p>
        </w:tc>
      </w:tr>
      <w:tr>
        <w:trPr>
          <w:trHeight w:val="208"/>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4,108</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3,941</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571</w:t>
            </w:r>
          </w:p>
        </w:tc>
        <w:tc>
          <w:tcPr>
            <w:tcW w:w="0" w:type="dxa"/>
            <w:vAlign w:val="bottom"/>
          </w:tcPr>
          <w:p>
            <w:pPr>
              <w:spacing w:after="0"/>
              <w:rPr>
                <w:sz w:val="1"/>
                <w:szCs w:val="1"/>
                <w:color w:val="auto"/>
              </w:rPr>
            </w:pPr>
          </w:p>
        </w:tc>
      </w:tr>
      <w:tr>
        <w:trPr>
          <w:trHeight w:val="208"/>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1,951</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1,956</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284</w:t>
            </w:r>
          </w:p>
        </w:tc>
        <w:tc>
          <w:tcPr>
            <w:tcW w:w="0" w:type="dxa"/>
            <w:vAlign w:val="bottom"/>
          </w:tcPr>
          <w:p>
            <w:pPr>
              <w:spacing w:after="0"/>
              <w:rPr>
                <w:sz w:val="1"/>
                <w:szCs w:val="1"/>
                <w:color w:val="auto"/>
              </w:rPr>
            </w:pPr>
          </w:p>
        </w:tc>
      </w:tr>
      <w:tr>
        <w:trPr>
          <w:trHeight w:val="220"/>
        </w:trPr>
        <w:tc>
          <w:tcPr>
            <w:tcW w:w="8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non-current liabilities</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73,103</w:t>
            </w:r>
          </w:p>
        </w:tc>
        <w:tc>
          <w:tcPr>
            <w:tcW w:w="2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73,369</w:t>
            </w: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10,636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159,431</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157,218</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22,792</w:t>
            </w:r>
          </w:p>
        </w:tc>
        <w:tc>
          <w:tcPr>
            <w:tcW w:w="0" w:type="dxa"/>
            <w:vAlign w:val="bottom"/>
          </w:tcPr>
          <w:p>
            <w:pPr>
              <w:spacing w:after="0"/>
              <w:rPr>
                <w:sz w:val="1"/>
                <w:szCs w:val="1"/>
                <w:color w:val="auto"/>
              </w:rPr>
            </w:pPr>
          </w:p>
        </w:tc>
      </w:tr>
      <w:tr>
        <w:trPr>
          <w:trHeight w:val="214"/>
        </w:trPr>
        <w:tc>
          <w:tcPr>
            <w:tcW w:w="8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Redeemable noncontrolling interests</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13,166</w:t>
            </w:r>
          </w:p>
        </w:tc>
        <w:tc>
          <w:tcPr>
            <w:tcW w:w="26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13,422</w:t>
            </w:r>
          </w:p>
        </w:tc>
        <w:tc>
          <w:tcPr>
            <w:tcW w:w="26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Total Baidu shareholders’ equity</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266,330</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268,886</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38,980</w:t>
            </w:r>
          </w:p>
        </w:tc>
        <w:tc>
          <w:tcPr>
            <w:tcW w:w="0" w:type="dxa"/>
            <w:vAlign w:val="bottom"/>
          </w:tcPr>
          <w:p>
            <w:pPr>
              <w:spacing w:after="0"/>
              <w:rPr>
                <w:sz w:val="1"/>
                <w:szCs w:val="1"/>
                <w:color w:val="auto"/>
              </w:rPr>
            </w:pPr>
          </w:p>
        </w:tc>
      </w:tr>
      <w:tr>
        <w:trPr>
          <w:trHeight w:val="208"/>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Noncontrolling interests</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10,230</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10,040</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1,455</w:t>
            </w:r>
          </w:p>
        </w:tc>
        <w:tc>
          <w:tcPr>
            <w:tcW w:w="0" w:type="dxa"/>
            <w:vAlign w:val="bottom"/>
          </w:tcPr>
          <w:p>
            <w:pPr>
              <w:spacing w:after="0"/>
              <w:rPr>
                <w:sz w:val="1"/>
                <w:szCs w:val="1"/>
                <w:color w:val="auto"/>
              </w:rPr>
            </w:pPr>
          </w:p>
        </w:tc>
      </w:tr>
      <w:tr>
        <w:trPr>
          <w:trHeight w:val="220"/>
        </w:trPr>
        <w:tc>
          <w:tcPr>
            <w:tcW w:w="8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equity</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276,560</w:t>
            </w:r>
          </w:p>
        </w:tc>
        <w:tc>
          <w:tcPr>
            <w:tcW w:w="2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278,926</w:t>
            </w: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40,435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liabilities, redeemable noncontrolling interests, and equity</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449,157</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449,566</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65,173</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5260"/>
              <w:spacing w:after="0"/>
              <w:rPr>
                <w:sz w:val="20"/>
                <w:szCs w:val="20"/>
                <w:color w:val="auto"/>
              </w:rPr>
            </w:pPr>
            <w:r>
              <w:rPr>
                <w:rFonts w:ascii="Times New Roman" w:cs="Times New Roman" w:eastAsia="Times New Roman" w:hAnsi="Times New Roman"/>
                <w:sz w:val="17"/>
                <w:szCs w:val="17"/>
                <w:color w:val="auto"/>
              </w:rPr>
              <w:t>9</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80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00"/>
          </w:cols>
          <w:pgMar w:left="640" w:top="262" w:right="6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9310" cy="37465"/>
                    </a:xfrm>
                    <a:prstGeom prst="rect">
                      <a:avLst/>
                    </a:prstGeom>
                    <a:noFill/>
                  </pic:spPr>
                </pic:pic>
              </a:graphicData>
            </a:graphic>
          </wp:anchor>
        </w:drawing>
        <w:t>Baidu, Inc.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Selected Information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60" w:type="dxa"/>
            <w:vAlign w:val="bottom"/>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Three months ended</w:t>
            </w: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8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6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240" w:type="dxa"/>
            <w:vAlign w:val="bottom"/>
          </w:tcPr>
          <w:p>
            <w:pPr>
              <w:spacing w:after="0"/>
              <w:rPr>
                <w:sz w:val="14"/>
                <w:szCs w:val="14"/>
                <w:color w:val="auto"/>
              </w:rPr>
            </w:pPr>
          </w:p>
        </w:tc>
        <w:tc>
          <w:tcPr>
            <w:tcW w:w="188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March 31, 2025 (RMB)</w:t>
            </w: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 (RMB)</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6"/>
              </w:rPr>
              <w:t>March 31, 2026 (RMB)</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March 31, 2026 (US$)</w:t>
            </w: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1240" w:type="dxa"/>
            <w:vAlign w:val="bottom"/>
          </w:tcPr>
          <w:p>
            <w:pPr>
              <w:spacing w:after="0"/>
              <w:rPr>
                <w:sz w:val="9"/>
                <w:szCs w:val="9"/>
                <w:color w:val="auto"/>
              </w:rPr>
            </w:pPr>
          </w:p>
        </w:tc>
        <w:tc>
          <w:tcPr>
            <w:tcW w:w="720" w:type="dxa"/>
            <w:vAlign w:val="bottom"/>
            <w:gridSpan w:val="2"/>
          </w:tcPr>
          <w:p>
            <w:pPr>
              <w:jc w:val="center"/>
              <w:ind w:right="131"/>
              <w:spacing w:after="0" w:line="111" w:lineRule="exact"/>
              <w:rPr>
                <w:sz w:val="20"/>
                <w:szCs w:val="20"/>
                <w:color w:val="auto"/>
              </w:rPr>
            </w:pPr>
            <w:r>
              <w:rPr>
                <w:rFonts w:ascii="Times New Roman" w:cs="Times New Roman" w:eastAsia="Times New Roman" w:hAnsi="Times New Roman"/>
                <w:sz w:val="12"/>
                <w:szCs w:val="12"/>
                <w:b w:val="1"/>
                <w:bCs w:val="1"/>
                <w:color w:val="auto"/>
              </w:rPr>
              <w:t>Baidu</w:t>
            </w: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w w:val="91"/>
              </w:rPr>
              <w:t>Elim &amp;</w:t>
            </w: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Baidu,</w:t>
            </w:r>
          </w:p>
        </w:tc>
        <w:tc>
          <w:tcPr>
            <w:tcW w:w="720" w:type="dxa"/>
            <w:vAlign w:val="bottom"/>
            <w:gridSpan w:val="2"/>
          </w:tcPr>
          <w:p>
            <w:pPr>
              <w:jc w:val="center"/>
              <w:ind w:right="131"/>
              <w:spacing w:after="0" w:line="111" w:lineRule="exact"/>
              <w:rPr>
                <w:sz w:val="20"/>
                <w:szCs w:val="20"/>
                <w:color w:val="auto"/>
              </w:rPr>
            </w:pPr>
            <w:r>
              <w:rPr>
                <w:rFonts w:ascii="Times New Roman" w:cs="Times New Roman" w:eastAsia="Times New Roman" w:hAnsi="Times New Roman"/>
                <w:sz w:val="12"/>
                <w:szCs w:val="12"/>
                <w:b w:val="1"/>
                <w:bCs w:val="1"/>
                <w:color w:val="auto"/>
              </w:rPr>
              <w:t>Baidu</w:t>
            </w: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w w:val="91"/>
              </w:rPr>
              <w:t>Elim &amp;</w:t>
            </w:r>
          </w:p>
        </w:tc>
        <w:tc>
          <w:tcPr>
            <w:tcW w:w="6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6"/>
              </w:rPr>
              <w:t>Baidu,</w:t>
            </w:r>
          </w:p>
        </w:tc>
        <w:tc>
          <w:tcPr>
            <w:tcW w:w="700" w:type="dxa"/>
            <w:vAlign w:val="bottom"/>
            <w:gridSpan w:val="2"/>
          </w:tcPr>
          <w:p>
            <w:pPr>
              <w:jc w:val="center"/>
              <w:ind w:right="111"/>
              <w:spacing w:after="0" w:line="111" w:lineRule="exact"/>
              <w:rPr>
                <w:sz w:val="20"/>
                <w:szCs w:val="20"/>
                <w:color w:val="auto"/>
              </w:rPr>
            </w:pPr>
            <w:r>
              <w:rPr>
                <w:rFonts w:ascii="Times New Roman" w:cs="Times New Roman" w:eastAsia="Times New Roman" w:hAnsi="Times New Roman"/>
                <w:sz w:val="12"/>
                <w:szCs w:val="12"/>
                <w:b w:val="1"/>
                <w:bCs w:val="1"/>
                <w:color w:val="auto"/>
              </w:rPr>
              <w:t>Baidu</w:t>
            </w: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w w:val="95"/>
              </w:rPr>
              <w:t>Elim &amp;</w:t>
            </w:r>
          </w:p>
        </w:tc>
        <w:tc>
          <w:tcPr>
            <w:tcW w:w="6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6"/>
              </w:rPr>
              <w:t>Baidu,</w:t>
            </w:r>
          </w:p>
        </w:tc>
        <w:tc>
          <w:tcPr>
            <w:tcW w:w="600" w:type="dxa"/>
            <w:vAlign w:val="bottom"/>
            <w:gridSpan w:val="2"/>
          </w:tcPr>
          <w:p>
            <w:pPr>
              <w:jc w:val="center"/>
              <w:ind w:right="80"/>
              <w:spacing w:after="0" w:line="111" w:lineRule="exact"/>
              <w:rPr>
                <w:sz w:val="20"/>
                <w:szCs w:val="20"/>
                <w:color w:val="auto"/>
              </w:rPr>
            </w:pPr>
            <w:r>
              <w:rPr>
                <w:rFonts w:ascii="Times New Roman" w:cs="Times New Roman" w:eastAsia="Times New Roman" w:hAnsi="Times New Roman"/>
                <w:sz w:val="12"/>
                <w:szCs w:val="12"/>
                <w:b w:val="1"/>
                <w:bCs w:val="1"/>
                <w:color w:val="auto"/>
              </w:rPr>
              <w:t>Baidu</w:t>
            </w: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w w:val="91"/>
              </w:rPr>
              <w:t>Elim &amp;</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Baid</w:t>
            </w:r>
          </w:p>
        </w:tc>
        <w:tc>
          <w:tcPr>
            <w:tcW w:w="0" w:type="dxa"/>
            <w:vAlign w:val="bottom"/>
          </w:tcPr>
          <w:p>
            <w:pPr>
              <w:spacing w:after="0"/>
              <w:rPr>
                <w:sz w:val="1"/>
                <w:szCs w:val="1"/>
                <w:color w:val="auto"/>
              </w:rPr>
            </w:pPr>
          </w:p>
        </w:tc>
      </w:tr>
      <w:tr>
        <w:trPr>
          <w:trHeight w:val="143"/>
        </w:trPr>
        <w:tc>
          <w:tcPr>
            <w:tcW w:w="1240" w:type="dxa"/>
            <w:vAlign w:val="bottom"/>
          </w:tcPr>
          <w:p>
            <w:pPr>
              <w:spacing w:after="0"/>
              <w:rPr>
                <w:sz w:val="12"/>
                <w:szCs w:val="12"/>
                <w:color w:val="auto"/>
              </w:rPr>
            </w:pPr>
          </w:p>
        </w:tc>
        <w:tc>
          <w:tcPr>
            <w:tcW w:w="720" w:type="dxa"/>
            <w:vAlign w:val="bottom"/>
            <w:gridSpan w:val="2"/>
          </w:tcPr>
          <w:p>
            <w:pPr>
              <w:jc w:val="center"/>
              <w:ind w:right="131"/>
              <w:spacing w:after="0" w:line="143" w:lineRule="exact"/>
              <w:rPr>
                <w:sz w:val="20"/>
                <w:szCs w:val="20"/>
                <w:color w:val="auto"/>
              </w:rPr>
            </w:pPr>
            <w:r>
              <w:rPr>
                <w:rFonts w:ascii="Times New Roman" w:cs="Times New Roman" w:eastAsia="Times New Roman" w:hAnsi="Times New Roman"/>
                <w:sz w:val="14"/>
                <w:szCs w:val="14"/>
                <w:b w:val="1"/>
                <w:bCs w:val="1"/>
                <w:color w:val="auto"/>
                <w:w w:val="99"/>
              </w:rPr>
              <w:t>General</w:t>
            </w:r>
          </w:p>
        </w:tc>
        <w:tc>
          <w:tcPr>
            <w:tcW w:w="5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4"/>
              </w:rPr>
              <w:t>iQIYI</w:t>
            </w:r>
          </w:p>
        </w:tc>
        <w:tc>
          <w:tcPr>
            <w:tcW w:w="60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720" w:type="dxa"/>
            <w:vAlign w:val="bottom"/>
            <w:gridSpan w:val="2"/>
          </w:tcPr>
          <w:p>
            <w:pPr>
              <w:jc w:val="center"/>
              <w:ind w:right="131"/>
              <w:spacing w:after="0" w:line="143" w:lineRule="exact"/>
              <w:rPr>
                <w:sz w:val="20"/>
                <w:szCs w:val="20"/>
                <w:color w:val="auto"/>
              </w:rPr>
            </w:pPr>
            <w:r>
              <w:rPr>
                <w:rFonts w:ascii="Times New Roman" w:cs="Times New Roman" w:eastAsia="Times New Roman" w:hAnsi="Times New Roman"/>
                <w:sz w:val="14"/>
                <w:szCs w:val="14"/>
                <w:b w:val="1"/>
                <w:bCs w:val="1"/>
                <w:color w:val="auto"/>
                <w:w w:val="99"/>
              </w:rPr>
              <w:t>General</w:t>
            </w:r>
          </w:p>
        </w:tc>
        <w:tc>
          <w:tcPr>
            <w:tcW w:w="6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4"/>
              </w:rPr>
              <w:t>iQIYI</w:t>
            </w:r>
          </w:p>
        </w:tc>
        <w:tc>
          <w:tcPr>
            <w:tcW w:w="66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700" w:type="dxa"/>
            <w:vAlign w:val="bottom"/>
            <w:gridSpan w:val="2"/>
          </w:tcPr>
          <w:p>
            <w:pPr>
              <w:jc w:val="center"/>
              <w:ind w:right="111"/>
              <w:spacing w:after="0" w:line="143" w:lineRule="exact"/>
              <w:rPr>
                <w:sz w:val="20"/>
                <w:szCs w:val="20"/>
                <w:color w:val="auto"/>
              </w:rPr>
            </w:pPr>
            <w:r>
              <w:rPr>
                <w:rFonts w:ascii="Times New Roman" w:cs="Times New Roman" w:eastAsia="Times New Roman" w:hAnsi="Times New Roman"/>
                <w:sz w:val="14"/>
                <w:szCs w:val="14"/>
                <w:b w:val="1"/>
                <w:bCs w:val="1"/>
                <w:color w:val="auto"/>
                <w:w w:val="99"/>
              </w:rPr>
              <w:t>General</w:t>
            </w:r>
          </w:p>
        </w:tc>
        <w:tc>
          <w:tcPr>
            <w:tcW w:w="6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4"/>
              </w:rPr>
              <w:t>iQIYI</w:t>
            </w:r>
          </w:p>
        </w:tc>
        <w:tc>
          <w:tcPr>
            <w:tcW w:w="66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00" w:type="dxa"/>
            <w:vAlign w:val="bottom"/>
            <w:gridSpan w:val="2"/>
          </w:tcPr>
          <w:p>
            <w:pPr>
              <w:jc w:val="center"/>
              <w:ind w:right="80"/>
              <w:spacing w:after="0" w:line="143" w:lineRule="exact"/>
              <w:rPr>
                <w:sz w:val="20"/>
                <w:szCs w:val="20"/>
                <w:color w:val="auto"/>
              </w:rPr>
            </w:pPr>
            <w:r>
              <w:rPr>
                <w:rFonts w:ascii="Times New Roman" w:cs="Times New Roman" w:eastAsia="Times New Roman" w:hAnsi="Times New Roman"/>
                <w:sz w:val="14"/>
                <w:szCs w:val="14"/>
                <w:b w:val="1"/>
                <w:bCs w:val="1"/>
                <w:color w:val="auto"/>
                <w:w w:val="99"/>
              </w:rPr>
              <w:t>General</w:t>
            </w:r>
          </w:p>
        </w:tc>
        <w:tc>
          <w:tcPr>
            <w:tcW w:w="540" w:type="dxa"/>
            <w:vAlign w:val="bottom"/>
            <w:gridSpan w:val="2"/>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w w:val="94"/>
              </w:rPr>
              <w:t>iQIYI</w:t>
            </w:r>
          </w:p>
        </w:tc>
        <w:tc>
          <w:tcPr>
            <w:tcW w:w="66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40" w:type="dxa"/>
            <w:vAlign w:val="bottom"/>
          </w:tcPr>
          <w:p>
            <w:pPr>
              <w:spacing w:after="0"/>
              <w:rPr>
                <w:sz w:val="14"/>
                <w:szCs w:val="14"/>
                <w:color w:val="auto"/>
              </w:rPr>
            </w:pPr>
          </w:p>
        </w:tc>
        <w:tc>
          <w:tcPr>
            <w:tcW w:w="720" w:type="dxa"/>
            <w:vAlign w:val="bottom"/>
            <w:gridSpan w:val="2"/>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560" w:type="dxa"/>
            <w:vAlign w:val="bottom"/>
            <w:gridSpan w:val="2"/>
            <w:vMerge w:val="continue"/>
          </w:tcPr>
          <w:p>
            <w:pPr>
              <w:spacing w:after="0"/>
              <w:rPr>
                <w:sz w:val="14"/>
                <w:szCs w:val="14"/>
                <w:color w:val="auto"/>
              </w:rPr>
            </w:pPr>
          </w:p>
        </w:tc>
        <w:tc>
          <w:tcPr>
            <w:tcW w:w="600" w:type="dxa"/>
            <w:vAlign w:val="bottom"/>
            <w:gridSpan w:val="2"/>
          </w:tcPr>
          <w:p>
            <w:pPr>
              <w:jc w:val="right"/>
              <w:ind w:right="260"/>
              <w:spacing w:after="0" w:line="167" w:lineRule="exact"/>
              <w:rPr>
                <w:sz w:val="20"/>
                <w:szCs w:val="20"/>
                <w:color w:val="auto"/>
              </w:rPr>
            </w:pPr>
            <w:r>
              <w:rPr>
                <w:rFonts w:ascii="Times New Roman" w:cs="Times New Roman" w:eastAsia="Times New Roman" w:hAnsi="Times New Roman"/>
                <w:sz w:val="19"/>
                <w:szCs w:val="19"/>
                <w:color w:val="auto"/>
                <w:vertAlign w:val="subscript"/>
              </w:rPr>
              <w:t>adj</w:t>
            </w:r>
            <w:r>
              <w:rPr>
                <w:rFonts w:ascii="Times New Roman" w:cs="Times New Roman" w:eastAsia="Times New Roman" w:hAnsi="Times New Roman"/>
                <w:sz w:val="9"/>
                <w:szCs w:val="9"/>
                <w:color w:val="auto"/>
              </w:rPr>
              <w:t>(2)</w:t>
            </w: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Inc.</w:t>
            </w:r>
          </w:p>
        </w:tc>
        <w:tc>
          <w:tcPr>
            <w:tcW w:w="720" w:type="dxa"/>
            <w:vAlign w:val="bottom"/>
            <w:gridSpan w:val="2"/>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7"/>
              </w:rPr>
              <w:t>Business</w:t>
            </w:r>
          </w:p>
        </w:tc>
        <w:tc>
          <w:tcPr>
            <w:tcW w:w="620" w:type="dxa"/>
            <w:vAlign w:val="bottom"/>
            <w:gridSpan w:val="2"/>
            <w:vMerge w:val="continue"/>
          </w:tcPr>
          <w:p>
            <w:pPr>
              <w:spacing w:after="0"/>
              <w:rPr>
                <w:sz w:val="14"/>
                <w:szCs w:val="14"/>
                <w:color w:val="auto"/>
              </w:rPr>
            </w:pPr>
          </w:p>
        </w:tc>
        <w:tc>
          <w:tcPr>
            <w:tcW w:w="660" w:type="dxa"/>
            <w:vAlign w:val="bottom"/>
            <w:gridSpan w:val="2"/>
          </w:tcPr>
          <w:p>
            <w:pPr>
              <w:jc w:val="right"/>
              <w:ind w:right="320"/>
              <w:spacing w:after="0" w:line="167" w:lineRule="exact"/>
              <w:rPr>
                <w:sz w:val="20"/>
                <w:szCs w:val="20"/>
                <w:color w:val="auto"/>
              </w:rPr>
            </w:pPr>
            <w:r>
              <w:rPr>
                <w:rFonts w:ascii="Times New Roman" w:cs="Times New Roman" w:eastAsia="Times New Roman" w:hAnsi="Times New Roman"/>
                <w:sz w:val="19"/>
                <w:szCs w:val="19"/>
                <w:color w:val="auto"/>
                <w:vertAlign w:val="subscript"/>
              </w:rPr>
              <w:t>adj</w:t>
            </w:r>
            <w:r>
              <w:rPr>
                <w:rFonts w:ascii="Times New Roman" w:cs="Times New Roman" w:eastAsia="Times New Roman" w:hAnsi="Times New Roman"/>
                <w:sz w:val="9"/>
                <w:szCs w:val="9"/>
                <w:color w:val="auto"/>
              </w:rPr>
              <w:t>(2)</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Inc.</w:t>
            </w:r>
          </w:p>
        </w:tc>
        <w:tc>
          <w:tcPr>
            <w:tcW w:w="700" w:type="dxa"/>
            <w:vAlign w:val="bottom"/>
            <w:gridSpan w:val="2"/>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7"/>
              </w:rPr>
              <w:t>Business</w:t>
            </w:r>
          </w:p>
        </w:tc>
        <w:tc>
          <w:tcPr>
            <w:tcW w:w="620" w:type="dxa"/>
            <w:vAlign w:val="bottom"/>
            <w:gridSpan w:val="2"/>
            <w:vMerge w:val="continue"/>
          </w:tcPr>
          <w:p>
            <w:pPr>
              <w:spacing w:after="0"/>
              <w:rPr>
                <w:sz w:val="14"/>
                <w:szCs w:val="14"/>
                <w:color w:val="auto"/>
              </w:rPr>
            </w:pPr>
          </w:p>
        </w:tc>
        <w:tc>
          <w:tcPr>
            <w:tcW w:w="660" w:type="dxa"/>
            <w:vAlign w:val="bottom"/>
            <w:gridSpan w:val="2"/>
          </w:tcPr>
          <w:p>
            <w:pPr>
              <w:jc w:val="right"/>
              <w:ind w:right="300"/>
              <w:spacing w:after="0" w:line="167" w:lineRule="exact"/>
              <w:rPr>
                <w:sz w:val="20"/>
                <w:szCs w:val="20"/>
                <w:color w:val="auto"/>
              </w:rPr>
            </w:pPr>
            <w:r>
              <w:rPr>
                <w:rFonts w:ascii="Times New Roman" w:cs="Times New Roman" w:eastAsia="Times New Roman" w:hAnsi="Times New Roman"/>
                <w:sz w:val="19"/>
                <w:szCs w:val="19"/>
                <w:color w:val="auto"/>
                <w:vertAlign w:val="subscript"/>
              </w:rPr>
              <w:t>adj</w:t>
            </w:r>
            <w:r>
              <w:rPr>
                <w:rFonts w:ascii="Times New Roman" w:cs="Times New Roman" w:eastAsia="Times New Roman" w:hAnsi="Times New Roman"/>
                <w:sz w:val="9"/>
                <w:szCs w:val="9"/>
                <w:color w:val="auto"/>
              </w:rPr>
              <w:t>(2)</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Inc.</w:t>
            </w:r>
          </w:p>
        </w:tc>
        <w:tc>
          <w:tcPr>
            <w:tcW w:w="6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Business</w:t>
            </w:r>
          </w:p>
        </w:tc>
        <w:tc>
          <w:tcPr>
            <w:tcW w:w="540" w:type="dxa"/>
            <w:vAlign w:val="bottom"/>
            <w:gridSpan w:val="2"/>
            <w:vMerge w:val="continue"/>
          </w:tcPr>
          <w:p>
            <w:pPr>
              <w:spacing w:after="0"/>
              <w:rPr>
                <w:sz w:val="14"/>
                <w:szCs w:val="14"/>
                <w:color w:val="auto"/>
              </w:rPr>
            </w:pPr>
          </w:p>
        </w:tc>
        <w:tc>
          <w:tcPr>
            <w:tcW w:w="660" w:type="dxa"/>
            <w:vAlign w:val="bottom"/>
            <w:gridSpan w:val="2"/>
          </w:tcPr>
          <w:p>
            <w:pPr>
              <w:jc w:val="right"/>
              <w:ind w:right="320"/>
              <w:spacing w:after="0" w:line="167" w:lineRule="exact"/>
              <w:rPr>
                <w:sz w:val="20"/>
                <w:szCs w:val="20"/>
                <w:color w:val="auto"/>
              </w:rPr>
            </w:pPr>
            <w:r>
              <w:rPr>
                <w:rFonts w:ascii="Times New Roman" w:cs="Times New Roman" w:eastAsia="Times New Roman" w:hAnsi="Times New Roman"/>
                <w:sz w:val="19"/>
                <w:szCs w:val="19"/>
                <w:color w:val="auto"/>
                <w:vertAlign w:val="subscript"/>
              </w:rPr>
              <w:t>adj</w:t>
            </w:r>
            <w:r>
              <w:rPr>
                <w:rFonts w:ascii="Times New Roman" w:cs="Times New Roman" w:eastAsia="Times New Roman" w:hAnsi="Times New Roman"/>
                <w:sz w:val="9"/>
                <w:szCs w:val="9"/>
                <w:color w:val="auto"/>
              </w:rPr>
              <w:t>(2)</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Inc</w:t>
            </w:r>
          </w:p>
        </w:tc>
        <w:tc>
          <w:tcPr>
            <w:tcW w:w="0" w:type="dxa"/>
            <w:vAlign w:val="bottom"/>
          </w:tcPr>
          <w:p>
            <w:pPr>
              <w:spacing w:after="0"/>
              <w:rPr>
                <w:sz w:val="1"/>
                <w:szCs w:val="1"/>
                <w:color w:val="auto"/>
              </w:rPr>
            </w:pPr>
          </w:p>
        </w:tc>
      </w:tr>
      <w:tr>
        <w:trPr>
          <w:trHeight w:val="143"/>
        </w:trPr>
        <w:tc>
          <w:tcPr>
            <w:tcW w:w="124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Revenue</w:t>
            </w:r>
          </w:p>
        </w:tc>
        <w:tc>
          <w:tcPr>
            <w:tcW w:w="720" w:type="dxa"/>
            <w:vAlign w:val="bottom"/>
            <w:gridSpan w:val="2"/>
            <w:shd w:val="clear" w:color="auto" w:fill="CCEEFF"/>
          </w:tcPr>
          <w:p>
            <w:pPr>
              <w:jc w:val="right"/>
              <w:ind w:right="131"/>
              <w:spacing w:after="0" w:line="143" w:lineRule="exact"/>
              <w:rPr>
                <w:sz w:val="20"/>
                <w:szCs w:val="20"/>
                <w:color w:val="auto"/>
              </w:rPr>
            </w:pPr>
            <w:r>
              <w:rPr>
                <w:rFonts w:ascii="Times New Roman" w:cs="Times New Roman" w:eastAsia="Times New Roman" w:hAnsi="Times New Roman"/>
                <w:sz w:val="14"/>
                <w:szCs w:val="14"/>
                <w:b w:val="1"/>
                <w:bCs w:val="1"/>
                <w:color w:val="auto"/>
              </w:rPr>
              <w:t>25,463</w:t>
            </w:r>
          </w:p>
        </w:tc>
        <w:tc>
          <w:tcPr>
            <w:tcW w:w="560" w:type="dxa"/>
            <w:vAlign w:val="bottom"/>
            <w:gridSpan w:val="2"/>
            <w:shd w:val="clear" w:color="auto" w:fill="CCEEFF"/>
          </w:tcPr>
          <w:p>
            <w:pPr>
              <w:jc w:val="right"/>
              <w:ind w:right="200"/>
              <w:spacing w:after="0" w:line="143" w:lineRule="exact"/>
              <w:rPr>
                <w:sz w:val="20"/>
                <w:szCs w:val="20"/>
                <w:color w:val="auto"/>
              </w:rPr>
            </w:pPr>
            <w:r>
              <w:rPr>
                <w:rFonts w:ascii="Times New Roman" w:cs="Times New Roman" w:eastAsia="Times New Roman" w:hAnsi="Times New Roman"/>
                <w:sz w:val="14"/>
                <w:szCs w:val="14"/>
                <w:b w:val="1"/>
                <w:bCs w:val="1"/>
                <w:color w:val="auto"/>
              </w:rPr>
              <w:t>7,186</w:t>
            </w:r>
          </w:p>
        </w:tc>
        <w:tc>
          <w:tcPr>
            <w:tcW w:w="600" w:type="dxa"/>
            <w:vAlign w:val="bottom"/>
            <w:gridSpan w:val="2"/>
            <w:shd w:val="clear" w:color="auto" w:fill="CCEEFF"/>
          </w:tcPr>
          <w:p>
            <w:pPr>
              <w:jc w:val="right"/>
              <w:ind w:right="140"/>
              <w:spacing w:after="0" w:line="143" w:lineRule="exact"/>
              <w:rPr>
                <w:sz w:val="20"/>
                <w:szCs w:val="20"/>
                <w:color w:val="auto"/>
              </w:rPr>
            </w:pPr>
            <w:r>
              <w:rPr>
                <w:rFonts w:ascii="Times New Roman" w:cs="Times New Roman" w:eastAsia="Times New Roman" w:hAnsi="Times New Roman"/>
                <w:sz w:val="14"/>
                <w:szCs w:val="14"/>
                <w:color w:val="auto"/>
              </w:rPr>
              <w:t>(197)</w:t>
            </w:r>
          </w:p>
        </w:tc>
        <w:tc>
          <w:tcPr>
            <w:tcW w:w="620" w:type="dxa"/>
            <w:vAlign w:val="bottom"/>
            <w:gridSpan w:val="2"/>
            <w:shd w:val="clear" w:color="auto" w:fill="CCEEFF"/>
          </w:tcPr>
          <w:p>
            <w:pPr>
              <w:jc w:val="right"/>
              <w:ind w:right="180"/>
              <w:spacing w:after="0" w:line="143" w:lineRule="exact"/>
              <w:rPr>
                <w:sz w:val="20"/>
                <w:szCs w:val="20"/>
                <w:color w:val="auto"/>
              </w:rPr>
            </w:pPr>
            <w:r>
              <w:rPr>
                <w:rFonts w:ascii="Times New Roman" w:cs="Times New Roman" w:eastAsia="Times New Roman" w:hAnsi="Times New Roman"/>
                <w:sz w:val="14"/>
                <w:szCs w:val="14"/>
                <w:b w:val="1"/>
                <w:bCs w:val="1"/>
                <w:color w:val="auto"/>
              </w:rPr>
              <w:t>32,452</w:t>
            </w:r>
          </w:p>
        </w:tc>
        <w:tc>
          <w:tcPr>
            <w:tcW w:w="720" w:type="dxa"/>
            <w:vAlign w:val="bottom"/>
            <w:gridSpan w:val="2"/>
            <w:shd w:val="clear" w:color="auto" w:fill="CCEEFF"/>
          </w:tcPr>
          <w:p>
            <w:pPr>
              <w:jc w:val="right"/>
              <w:ind w:right="131"/>
              <w:spacing w:after="0" w:line="143" w:lineRule="exact"/>
              <w:rPr>
                <w:sz w:val="20"/>
                <w:szCs w:val="20"/>
                <w:color w:val="auto"/>
              </w:rPr>
            </w:pPr>
            <w:r>
              <w:rPr>
                <w:rFonts w:ascii="Times New Roman" w:cs="Times New Roman" w:eastAsia="Times New Roman" w:hAnsi="Times New Roman"/>
                <w:sz w:val="14"/>
                <w:szCs w:val="14"/>
                <w:b w:val="1"/>
                <w:bCs w:val="1"/>
                <w:color w:val="auto"/>
              </w:rPr>
              <w:t>26,112</w:t>
            </w:r>
          </w:p>
        </w:tc>
        <w:tc>
          <w:tcPr>
            <w:tcW w:w="620" w:type="dxa"/>
            <w:vAlign w:val="bottom"/>
            <w:gridSpan w:val="2"/>
            <w:shd w:val="clear" w:color="auto" w:fill="CCEEFF"/>
          </w:tcPr>
          <w:p>
            <w:pPr>
              <w:jc w:val="right"/>
              <w:ind w:right="260"/>
              <w:spacing w:after="0" w:line="143" w:lineRule="exact"/>
              <w:rPr>
                <w:sz w:val="20"/>
                <w:szCs w:val="20"/>
                <w:color w:val="auto"/>
              </w:rPr>
            </w:pPr>
            <w:r>
              <w:rPr>
                <w:rFonts w:ascii="Times New Roman" w:cs="Times New Roman" w:eastAsia="Times New Roman" w:hAnsi="Times New Roman"/>
                <w:sz w:val="14"/>
                <w:szCs w:val="14"/>
                <w:b w:val="1"/>
                <w:bCs w:val="1"/>
                <w:color w:val="auto"/>
              </w:rPr>
              <w:t>6,794</w:t>
            </w:r>
          </w:p>
        </w:tc>
        <w:tc>
          <w:tcPr>
            <w:tcW w:w="660" w:type="dxa"/>
            <w:vAlign w:val="bottom"/>
            <w:gridSpan w:val="2"/>
            <w:shd w:val="clear" w:color="auto" w:fill="CCEEFF"/>
          </w:tcPr>
          <w:p>
            <w:pPr>
              <w:jc w:val="right"/>
              <w:ind w:right="200"/>
              <w:spacing w:after="0" w:line="143" w:lineRule="exact"/>
              <w:rPr>
                <w:sz w:val="20"/>
                <w:szCs w:val="20"/>
                <w:color w:val="auto"/>
              </w:rPr>
            </w:pPr>
            <w:r>
              <w:rPr>
                <w:rFonts w:ascii="Times New Roman" w:cs="Times New Roman" w:eastAsia="Times New Roman" w:hAnsi="Times New Roman"/>
                <w:sz w:val="14"/>
                <w:szCs w:val="14"/>
                <w:color w:val="auto"/>
              </w:rPr>
              <w:t>(166)</w:t>
            </w:r>
          </w:p>
        </w:tc>
        <w:tc>
          <w:tcPr>
            <w:tcW w:w="620" w:type="dxa"/>
            <w:vAlign w:val="bottom"/>
            <w:gridSpan w:val="2"/>
            <w:shd w:val="clear" w:color="auto" w:fill="CCEEFF"/>
          </w:tcPr>
          <w:p>
            <w:pPr>
              <w:jc w:val="right"/>
              <w:ind w:right="200"/>
              <w:spacing w:after="0" w:line="143" w:lineRule="exact"/>
              <w:rPr>
                <w:sz w:val="20"/>
                <w:szCs w:val="20"/>
                <w:color w:val="auto"/>
              </w:rPr>
            </w:pPr>
            <w:r>
              <w:rPr>
                <w:rFonts w:ascii="Times New Roman" w:cs="Times New Roman" w:eastAsia="Times New Roman" w:hAnsi="Times New Roman"/>
                <w:sz w:val="14"/>
                <w:szCs w:val="14"/>
                <w:b w:val="1"/>
                <w:bCs w:val="1"/>
                <w:color w:val="auto"/>
              </w:rPr>
              <w:t>32,740</w:t>
            </w:r>
          </w:p>
        </w:tc>
        <w:tc>
          <w:tcPr>
            <w:tcW w:w="700" w:type="dxa"/>
            <w:vAlign w:val="bottom"/>
            <w:gridSpan w:val="2"/>
            <w:shd w:val="clear" w:color="auto" w:fill="CCEEFF"/>
          </w:tcPr>
          <w:p>
            <w:pPr>
              <w:jc w:val="right"/>
              <w:ind w:right="111"/>
              <w:spacing w:after="0" w:line="143" w:lineRule="exact"/>
              <w:rPr>
                <w:sz w:val="20"/>
                <w:szCs w:val="20"/>
                <w:color w:val="auto"/>
              </w:rPr>
            </w:pPr>
            <w:r>
              <w:rPr>
                <w:rFonts w:ascii="Times New Roman" w:cs="Times New Roman" w:eastAsia="Times New Roman" w:hAnsi="Times New Roman"/>
                <w:sz w:val="14"/>
                <w:szCs w:val="14"/>
                <w:b w:val="1"/>
                <w:bCs w:val="1"/>
                <w:color w:val="auto"/>
              </w:rPr>
              <w:t>26,001</w:t>
            </w:r>
          </w:p>
        </w:tc>
        <w:tc>
          <w:tcPr>
            <w:tcW w:w="620" w:type="dxa"/>
            <w:vAlign w:val="bottom"/>
            <w:gridSpan w:val="2"/>
            <w:shd w:val="clear" w:color="auto" w:fill="CCEEFF"/>
          </w:tcPr>
          <w:p>
            <w:pPr>
              <w:jc w:val="right"/>
              <w:ind w:right="240"/>
              <w:spacing w:after="0" w:line="143" w:lineRule="exact"/>
              <w:rPr>
                <w:sz w:val="20"/>
                <w:szCs w:val="20"/>
                <w:color w:val="auto"/>
              </w:rPr>
            </w:pPr>
            <w:r>
              <w:rPr>
                <w:rFonts w:ascii="Times New Roman" w:cs="Times New Roman" w:eastAsia="Times New Roman" w:hAnsi="Times New Roman"/>
                <w:sz w:val="14"/>
                <w:szCs w:val="14"/>
                <w:b w:val="1"/>
                <w:bCs w:val="1"/>
                <w:color w:val="auto"/>
              </w:rPr>
              <w:t>6,226</w:t>
            </w:r>
          </w:p>
        </w:tc>
        <w:tc>
          <w:tcPr>
            <w:tcW w:w="660" w:type="dxa"/>
            <w:vAlign w:val="bottom"/>
            <w:gridSpan w:val="2"/>
            <w:shd w:val="clear" w:color="auto" w:fill="CCEEFF"/>
          </w:tcPr>
          <w:p>
            <w:pPr>
              <w:jc w:val="right"/>
              <w:ind w:right="200"/>
              <w:spacing w:after="0" w:line="143" w:lineRule="exact"/>
              <w:rPr>
                <w:sz w:val="20"/>
                <w:szCs w:val="20"/>
                <w:color w:val="auto"/>
              </w:rPr>
            </w:pPr>
            <w:r>
              <w:rPr>
                <w:rFonts w:ascii="Times New Roman" w:cs="Times New Roman" w:eastAsia="Times New Roman" w:hAnsi="Times New Roman"/>
                <w:sz w:val="14"/>
                <w:szCs w:val="14"/>
                <w:color w:val="auto"/>
              </w:rPr>
              <w:t>(152)</w:t>
            </w:r>
          </w:p>
        </w:tc>
        <w:tc>
          <w:tcPr>
            <w:tcW w:w="620" w:type="dxa"/>
            <w:vAlign w:val="bottom"/>
            <w:gridSpan w:val="2"/>
            <w:shd w:val="clear" w:color="auto" w:fill="CCEEFF"/>
          </w:tcPr>
          <w:p>
            <w:pPr>
              <w:jc w:val="right"/>
              <w:ind w:right="200"/>
              <w:spacing w:after="0" w:line="143" w:lineRule="exact"/>
              <w:rPr>
                <w:sz w:val="20"/>
                <w:szCs w:val="20"/>
                <w:color w:val="auto"/>
              </w:rPr>
            </w:pPr>
            <w:r>
              <w:rPr>
                <w:rFonts w:ascii="Times New Roman" w:cs="Times New Roman" w:eastAsia="Times New Roman" w:hAnsi="Times New Roman"/>
                <w:sz w:val="14"/>
                <w:szCs w:val="14"/>
                <w:b w:val="1"/>
                <w:bCs w:val="1"/>
                <w:color w:val="auto"/>
              </w:rPr>
              <w:t>32,075</w:t>
            </w:r>
          </w:p>
        </w:tc>
        <w:tc>
          <w:tcPr>
            <w:tcW w:w="600" w:type="dxa"/>
            <w:vAlign w:val="bottom"/>
            <w:gridSpan w:val="2"/>
            <w:shd w:val="clear" w:color="auto" w:fill="CCEEFF"/>
          </w:tcPr>
          <w:p>
            <w:pPr>
              <w:jc w:val="right"/>
              <w:ind w:right="80"/>
              <w:spacing w:after="0" w:line="143" w:lineRule="exact"/>
              <w:rPr>
                <w:sz w:val="20"/>
                <w:szCs w:val="20"/>
                <w:color w:val="auto"/>
              </w:rPr>
            </w:pPr>
            <w:r>
              <w:rPr>
                <w:rFonts w:ascii="Times New Roman" w:cs="Times New Roman" w:eastAsia="Times New Roman" w:hAnsi="Times New Roman"/>
                <w:sz w:val="14"/>
                <w:szCs w:val="14"/>
                <w:b w:val="1"/>
                <w:bCs w:val="1"/>
                <w:color w:val="auto"/>
              </w:rPr>
              <w:t>3,769</w:t>
            </w:r>
          </w:p>
        </w:tc>
        <w:tc>
          <w:tcPr>
            <w:tcW w:w="540" w:type="dxa"/>
            <w:vAlign w:val="bottom"/>
            <w:gridSpan w:val="2"/>
            <w:shd w:val="clear" w:color="auto" w:fill="CCEEFF"/>
          </w:tcPr>
          <w:p>
            <w:pPr>
              <w:jc w:val="right"/>
              <w:ind w:right="111"/>
              <w:spacing w:after="0" w:line="143" w:lineRule="exact"/>
              <w:rPr>
                <w:sz w:val="20"/>
                <w:szCs w:val="20"/>
                <w:color w:val="auto"/>
              </w:rPr>
            </w:pPr>
            <w:r>
              <w:rPr>
                <w:rFonts w:ascii="Times New Roman" w:cs="Times New Roman" w:eastAsia="Times New Roman" w:hAnsi="Times New Roman"/>
                <w:sz w:val="14"/>
                <w:szCs w:val="14"/>
                <w:b w:val="1"/>
                <w:bCs w:val="1"/>
                <w:color w:val="auto"/>
              </w:rPr>
              <w:t>903</w:t>
            </w:r>
          </w:p>
        </w:tc>
        <w:tc>
          <w:tcPr>
            <w:tcW w:w="660" w:type="dxa"/>
            <w:vAlign w:val="bottom"/>
            <w:gridSpan w:val="2"/>
            <w:shd w:val="clear" w:color="auto" w:fill="CCEEFF"/>
          </w:tcPr>
          <w:p>
            <w:pPr>
              <w:jc w:val="right"/>
              <w:ind w:right="200"/>
              <w:spacing w:after="0" w:line="143" w:lineRule="exact"/>
              <w:rPr>
                <w:sz w:val="20"/>
                <w:szCs w:val="20"/>
                <w:color w:val="auto"/>
              </w:rPr>
            </w:pPr>
            <w:r>
              <w:rPr>
                <w:rFonts w:ascii="Times New Roman" w:cs="Times New Roman" w:eastAsia="Times New Roman" w:hAnsi="Times New Roman"/>
                <w:sz w:val="14"/>
                <w:szCs w:val="14"/>
                <w:color w:val="auto"/>
              </w:rPr>
              <w:t>(22)</w:t>
            </w:r>
          </w:p>
        </w:tc>
        <w:tc>
          <w:tcPr>
            <w:tcW w:w="26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4,6</w:t>
            </w:r>
          </w:p>
        </w:tc>
        <w:tc>
          <w:tcPr>
            <w:tcW w:w="0" w:type="dxa"/>
            <w:vAlign w:val="bottom"/>
          </w:tcPr>
          <w:p>
            <w:pPr>
              <w:spacing w:after="0"/>
              <w:rPr>
                <w:sz w:val="1"/>
                <w:szCs w:val="1"/>
                <w:color w:val="auto"/>
              </w:rPr>
            </w:pPr>
          </w:p>
        </w:tc>
      </w:tr>
      <w:tr>
        <w:trPr>
          <w:trHeight w:val="143"/>
        </w:trPr>
        <w:tc>
          <w:tcPr>
            <w:tcW w:w="1240" w:type="dxa"/>
            <w:vAlign w:val="bottom"/>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Costs and expenses:</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24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Cost of revenue</w:t>
            </w:r>
            <w:r>
              <w:rPr>
                <w:rFonts w:ascii="Times New Roman" w:cs="Times New Roman" w:eastAsia="Times New Roman" w:hAnsi="Times New Roman"/>
                <w:sz w:val="10"/>
                <w:szCs w:val="10"/>
                <w:color w:val="auto"/>
              </w:rPr>
              <w:t>(1)</w:t>
            </w:r>
          </w:p>
        </w:tc>
        <w:tc>
          <w:tcPr>
            <w:tcW w:w="720" w:type="dxa"/>
            <w:vAlign w:val="bottom"/>
            <w:gridSpan w:val="2"/>
            <w:shd w:val="clear" w:color="auto" w:fill="CCEEFF"/>
          </w:tcPr>
          <w:p>
            <w:pPr>
              <w:jc w:val="right"/>
              <w:ind w:right="131"/>
              <w:spacing w:after="0" w:line="143" w:lineRule="exact"/>
              <w:rPr>
                <w:sz w:val="20"/>
                <w:szCs w:val="20"/>
                <w:color w:val="auto"/>
              </w:rPr>
            </w:pPr>
            <w:r>
              <w:rPr>
                <w:rFonts w:ascii="Times New Roman" w:cs="Times New Roman" w:eastAsia="Times New Roman" w:hAnsi="Times New Roman"/>
                <w:sz w:val="14"/>
                <w:szCs w:val="14"/>
                <w:color w:val="auto"/>
              </w:rPr>
              <w:t>12,246</w:t>
            </w:r>
          </w:p>
        </w:tc>
        <w:tc>
          <w:tcPr>
            <w:tcW w:w="560" w:type="dxa"/>
            <w:vAlign w:val="bottom"/>
            <w:gridSpan w:val="2"/>
            <w:shd w:val="clear" w:color="auto" w:fill="CCEEFF"/>
          </w:tcPr>
          <w:p>
            <w:pPr>
              <w:jc w:val="right"/>
              <w:ind w:right="200"/>
              <w:spacing w:after="0" w:line="143" w:lineRule="exact"/>
              <w:rPr>
                <w:sz w:val="20"/>
                <w:szCs w:val="20"/>
                <w:color w:val="auto"/>
              </w:rPr>
            </w:pPr>
            <w:r>
              <w:rPr>
                <w:rFonts w:ascii="Times New Roman" w:cs="Times New Roman" w:eastAsia="Times New Roman" w:hAnsi="Times New Roman"/>
                <w:sz w:val="14"/>
                <w:szCs w:val="14"/>
                <w:color w:val="auto"/>
              </w:rPr>
              <w:t>5,406</w:t>
            </w:r>
          </w:p>
        </w:tc>
        <w:tc>
          <w:tcPr>
            <w:tcW w:w="600" w:type="dxa"/>
            <w:vAlign w:val="bottom"/>
            <w:gridSpan w:val="2"/>
            <w:shd w:val="clear" w:color="auto" w:fill="CCEEFF"/>
          </w:tcPr>
          <w:p>
            <w:pPr>
              <w:jc w:val="right"/>
              <w:ind w:right="140"/>
              <w:spacing w:after="0" w:line="143" w:lineRule="exact"/>
              <w:rPr>
                <w:sz w:val="20"/>
                <w:szCs w:val="20"/>
                <w:color w:val="auto"/>
              </w:rPr>
            </w:pPr>
            <w:r>
              <w:rPr>
                <w:rFonts w:ascii="Times New Roman" w:cs="Times New Roman" w:eastAsia="Times New Roman" w:hAnsi="Times New Roman"/>
                <w:sz w:val="14"/>
                <w:szCs w:val="14"/>
                <w:color w:val="auto"/>
              </w:rPr>
              <w:t>(165)</w:t>
            </w:r>
          </w:p>
        </w:tc>
        <w:tc>
          <w:tcPr>
            <w:tcW w:w="620" w:type="dxa"/>
            <w:vAlign w:val="bottom"/>
            <w:gridSpan w:val="2"/>
            <w:shd w:val="clear" w:color="auto" w:fill="CCEEFF"/>
          </w:tcPr>
          <w:p>
            <w:pPr>
              <w:jc w:val="right"/>
              <w:ind w:right="180"/>
              <w:spacing w:after="0" w:line="143" w:lineRule="exact"/>
              <w:rPr>
                <w:sz w:val="20"/>
                <w:szCs w:val="20"/>
                <w:color w:val="auto"/>
              </w:rPr>
            </w:pPr>
            <w:r>
              <w:rPr>
                <w:rFonts w:ascii="Times New Roman" w:cs="Times New Roman" w:eastAsia="Times New Roman" w:hAnsi="Times New Roman"/>
                <w:sz w:val="14"/>
                <w:szCs w:val="14"/>
                <w:color w:val="auto"/>
              </w:rPr>
              <w:t>17,487</w:t>
            </w:r>
          </w:p>
        </w:tc>
        <w:tc>
          <w:tcPr>
            <w:tcW w:w="720" w:type="dxa"/>
            <w:vAlign w:val="bottom"/>
            <w:gridSpan w:val="2"/>
            <w:shd w:val="clear" w:color="auto" w:fill="CCEEFF"/>
          </w:tcPr>
          <w:p>
            <w:pPr>
              <w:jc w:val="right"/>
              <w:ind w:right="131"/>
              <w:spacing w:after="0" w:line="143" w:lineRule="exact"/>
              <w:rPr>
                <w:sz w:val="20"/>
                <w:szCs w:val="20"/>
                <w:color w:val="auto"/>
              </w:rPr>
            </w:pPr>
            <w:r>
              <w:rPr>
                <w:rFonts w:ascii="Times New Roman" w:cs="Times New Roman" w:eastAsia="Times New Roman" w:hAnsi="Times New Roman"/>
                <w:sz w:val="14"/>
                <w:szCs w:val="14"/>
                <w:color w:val="auto"/>
              </w:rPr>
              <w:t>13,042</w:t>
            </w:r>
          </w:p>
        </w:tc>
        <w:tc>
          <w:tcPr>
            <w:tcW w:w="620" w:type="dxa"/>
            <w:vAlign w:val="bottom"/>
            <w:gridSpan w:val="2"/>
            <w:shd w:val="clear" w:color="auto" w:fill="CCEEFF"/>
          </w:tcPr>
          <w:p>
            <w:pPr>
              <w:jc w:val="right"/>
              <w:ind w:right="260"/>
              <w:spacing w:after="0" w:line="143" w:lineRule="exact"/>
              <w:rPr>
                <w:sz w:val="20"/>
                <w:szCs w:val="20"/>
                <w:color w:val="auto"/>
              </w:rPr>
            </w:pPr>
            <w:r>
              <w:rPr>
                <w:rFonts w:ascii="Times New Roman" w:cs="Times New Roman" w:eastAsia="Times New Roman" w:hAnsi="Times New Roman"/>
                <w:sz w:val="14"/>
                <w:szCs w:val="14"/>
                <w:color w:val="auto"/>
              </w:rPr>
              <w:t>5,376</w:t>
            </w:r>
          </w:p>
        </w:tc>
        <w:tc>
          <w:tcPr>
            <w:tcW w:w="660" w:type="dxa"/>
            <w:vAlign w:val="bottom"/>
            <w:gridSpan w:val="2"/>
            <w:shd w:val="clear" w:color="auto" w:fill="CCEEFF"/>
          </w:tcPr>
          <w:p>
            <w:pPr>
              <w:jc w:val="right"/>
              <w:ind w:right="200"/>
              <w:spacing w:after="0" w:line="143" w:lineRule="exact"/>
              <w:rPr>
                <w:sz w:val="20"/>
                <w:szCs w:val="20"/>
                <w:color w:val="auto"/>
              </w:rPr>
            </w:pPr>
            <w:r>
              <w:rPr>
                <w:rFonts w:ascii="Times New Roman" w:cs="Times New Roman" w:eastAsia="Times New Roman" w:hAnsi="Times New Roman"/>
                <w:sz w:val="14"/>
                <w:szCs w:val="14"/>
                <w:color w:val="auto"/>
              </w:rPr>
              <w:t>(141)</w:t>
            </w:r>
          </w:p>
        </w:tc>
        <w:tc>
          <w:tcPr>
            <w:tcW w:w="620" w:type="dxa"/>
            <w:vAlign w:val="bottom"/>
            <w:gridSpan w:val="2"/>
            <w:shd w:val="clear" w:color="auto" w:fill="CCEEFF"/>
          </w:tcPr>
          <w:p>
            <w:pPr>
              <w:jc w:val="right"/>
              <w:ind w:right="200"/>
              <w:spacing w:after="0" w:line="143" w:lineRule="exact"/>
              <w:rPr>
                <w:sz w:val="20"/>
                <w:szCs w:val="20"/>
                <w:color w:val="auto"/>
              </w:rPr>
            </w:pPr>
            <w:r>
              <w:rPr>
                <w:rFonts w:ascii="Times New Roman" w:cs="Times New Roman" w:eastAsia="Times New Roman" w:hAnsi="Times New Roman"/>
                <w:sz w:val="14"/>
                <w:szCs w:val="14"/>
                <w:color w:val="auto"/>
              </w:rPr>
              <w:t>18,277</w:t>
            </w:r>
          </w:p>
        </w:tc>
        <w:tc>
          <w:tcPr>
            <w:tcW w:w="700" w:type="dxa"/>
            <w:vAlign w:val="bottom"/>
            <w:gridSpan w:val="2"/>
            <w:shd w:val="clear" w:color="auto" w:fill="CCEEFF"/>
          </w:tcPr>
          <w:p>
            <w:pPr>
              <w:jc w:val="right"/>
              <w:ind w:right="111"/>
              <w:spacing w:after="0" w:line="143" w:lineRule="exact"/>
              <w:rPr>
                <w:sz w:val="20"/>
                <w:szCs w:val="20"/>
                <w:color w:val="auto"/>
              </w:rPr>
            </w:pPr>
            <w:r>
              <w:rPr>
                <w:rFonts w:ascii="Times New Roman" w:cs="Times New Roman" w:eastAsia="Times New Roman" w:hAnsi="Times New Roman"/>
                <w:sz w:val="14"/>
                <w:szCs w:val="14"/>
                <w:color w:val="auto"/>
              </w:rPr>
              <w:t>14,498</w:t>
            </w:r>
          </w:p>
        </w:tc>
        <w:tc>
          <w:tcPr>
            <w:tcW w:w="620" w:type="dxa"/>
            <w:vAlign w:val="bottom"/>
            <w:gridSpan w:val="2"/>
            <w:shd w:val="clear" w:color="auto" w:fill="CCEEFF"/>
          </w:tcPr>
          <w:p>
            <w:pPr>
              <w:jc w:val="right"/>
              <w:ind w:right="240"/>
              <w:spacing w:after="0" w:line="143" w:lineRule="exact"/>
              <w:rPr>
                <w:sz w:val="20"/>
                <w:szCs w:val="20"/>
                <w:color w:val="auto"/>
              </w:rPr>
            </w:pPr>
            <w:r>
              <w:rPr>
                <w:rFonts w:ascii="Times New Roman" w:cs="Times New Roman" w:eastAsia="Times New Roman" w:hAnsi="Times New Roman"/>
                <w:sz w:val="14"/>
                <w:szCs w:val="14"/>
                <w:color w:val="auto"/>
              </w:rPr>
              <w:t>5,233</w:t>
            </w:r>
          </w:p>
        </w:tc>
        <w:tc>
          <w:tcPr>
            <w:tcW w:w="660" w:type="dxa"/>
            <w:vAlign w:val="bottom"/>
            <w:gridSpan w:val="2"/>
            <w:shd w:val="clear" w:color="auto" w:fill="CCEEFF"/>
          </w:tcPr>
          <w:p>
            <w:pPr>
              <w:jc w:val="right"/>
              <w:ind w:right="200"/>
              <w:spacing w:after="0" w:line="143" w:lineRule="exact"/>
              <w:rPr>
                <w:sz w:val="20"/>
                <w:szCs w:val="20"/>
                <w:color w:val="auto"/>
              </w:rPr>
            </w:pPr>
            <w:r>
              <w:rPr>
                <w:rFonts w:ascii="Times New Roman" w:cs="Times New Roman" w:eastAsia="Times New Roman" w:hAnsi="Times New Roman"/>
                <w:sz w:val="14"/>
                <w:szCs w:val="14"/>
                <w:color w:val="auto"/>
              </w:rPr>
              <w:t>(142)</w:t>
            </w:r>
          </w:p>
        </w:tc>
        <w:tc>
          <w:tcPr>
            <w:tcW w:w="620" w:type="dxa"/>
            <w:vAlign w:val="bottom"/>
            <w:gridSpan w:val="2"/>
            <w:shd w:val="clear" w:color="auto" w:fill="CCEEFF"/>
          </w:tcPr>
          <w:p>
            <w:pPr>
              <w:jc w:val="right"/>
              <w:ind w:right="200"/>
              <w:spacing w:after="0" w:line="143" w:lineRule="exact"/>
              <w:rPr>
                <w:sz w:val="20"/>
                <w:szCs w:val="20"/>
                <w:color w:val="auto"/>
              </w:rPr>
            </w:pPr>
            <w:r>
              <w:rPr>
                <w:rFonts w:ascii="Times New Roman" w:cs="Times New Roman" w:eastAsia="Times New Roman" w:hAnsi="Times New Roman"/>
                <w:sz w:val="14"/>
                <w:szCs w:val="14"/>
                <w:color w:val="auto"/>
              </w:rPr>
              <w:t>19,589</w:t>
            </w:r>
          </w:p>
        </w:tc>
        <w:tc>
          <w:tcPr>
            <w:tcW w:w="600" w:type="dxa"/>
            <w:vAlign w:val="bottom"/>
            <w:gridSpan w:val="2"/>
            <w:shd w:val="clear" w:color="auto" w:fill="CCEEFF"/>
          </w:tcPr>
          <w:p>
            <w:pPr>
              <w:jc w:val="right"/>
              <w:ind w:right="80"/>
              <w:spacing w:after="0" w:line="143" w:lineRule="exact"/>
              <w:rPr>
                <w:sz w:val="20"/>
                <w:szCs w:val="20"/>
                <w:color w:val="auto"/>
              </w:rPr>
            </w:pPr>
            <w:r>
              <w:rPr>
                <w:rFonts w:ascii="Times New Roman" w:cs="Times New Roman" w:eastAsia="Times New Roman" w:hAnsi="Times New Roman"/>
                <w:sz w:val="14"/>
                <w:szCs w:val="14"/>
                <w:color w:val="auto"/>
              </w:rPr>
              <w:t>2,102</w:t>
            </w:r>
          </w:p>
        </w:tc>
        <w:tc>
          <w:tcPr>
            <w:tcW w:w="540" w:type="dxa"/>
            <w:vAlign w:val="bottom"/>
            <w:gridSpan w:val="2"/>
            <w:shd w:val="clear" w:color="auto" w:fill="CCEEFF"/>
          </w:tcPr>
          <w:p>
            <w:pPr>
              <w:jc w:val="right"/>
              <w:ind w:right="111"/>
              <w:spacing w:after="0" w:line="143" w:lineRule="exact"/>
              <w:rPr>
                <w:sz w:val="20"/>
                <w:szCs w:val="20"/>
                <w:color w:val="auto"/>
              </w:rPr>
            </w:pPr>
            <w:r>
              <w:rPr>
                <w:rFonts w:ascii="Times New Roman" w:cs="Times New Roman" w:eastAsia="Times New Roman" w:hAnsi="Times New Roman"/>
                <w:sz w:val="14"/>
                <w:szCs w:val="14"/>
                <w:color w:val="auto"/>
              </w:rPr>
              <w:t>759</w:t>
            </w:r>
          </w:p>
        </w:tc>
        <w:tc>
          <w:tcPr>
            <w:tcW w:w="660" w:type="dxa"/>
            <w:vAlign w:val="bottom"/>
            <w:gridSpan w:val="2"/>
            <w:shd w:val="clear" w:color="auto" w:fill="CCEEFF"/>
          </w:tcPr>
          <w:p>
            <w:pPr>
              <w:jc w:val="right"/>
              <w:ind w:right="200"/>
              <w:spacing w:after="0" w:line="143" w:lineRule="exact"/>
              <w:rPr>
                <w:sz w:val="20"/>
                <w:szCs w:val="20"/>
                <w:color w:val="auto"/>
              </w:rPr>
            </w:pPr>
            <w:r>
              <w:rPr>
                <w:rFonts w:ascii="Times New Roman" w:cs="Times New Roman" w:eastAsia="Times New Roman" w:hAnsi="Times New Roman"/>
                <w:sz w:val="14"/>
                <w:szCs w:val="14"/>
                <w:color w:val="auto"/>
              </w:rPr>
              <w:t>(21)</w:t>
            </w:r>
          </w:p>
        </w:tc>
        <w:tc>
          <w:tcPr>
            <w:tcW w:w="26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20"/>
        </w:trPr>
        <w:tc>
          <w:tcPr>
            <w:tcW w:w="1240" w:type="dxa"/>
            <w:vAlign w:val="bottom"/>
          </w:tcPr>
          <w:p>
            <w:pPr>
              <w:ind w:left="140"/>
              <w:spacing w:after="0" w:line="121" w:lineRule="exact"/>
              <w:rPr>
                <w:sz w:val="20"/>
                <w:szCs w:val="20"/>
                <w:color w:val="auto"/>
              </w:rPr>
            </w:pPr>
            <w:r>
              <w:rPr>
                <w:rFonts w:ascii="Times New Roman" w:cs="Times New Roman" w:eastAsia="Times New Roman" w:hAnsi="Times New Roman"/>
                <w:sz w:val="13"/>
                <w:szCs w:val="13"/>
                <w:color w:val="auto"/>
              </w:rPr>
              <w:t>Selling, general</w:t>
            </w: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240" w:type="dxa"/>
            <w:vAlign w:val="bottom"/>
          </w:tcPr>
          <w:p>
            <w:pPr>
              <w:ind w:left="280"/>
              <w:spacing w:after="0" w:line="143" w:lineRule="exact"/>
              <w:rPr>
                <w:sz w:val="20"/>
                <w:szCs w:val="20"/>
                <w:color w:val="auto"/>
              </w:rPr>
            </w:pPr>
            <w:r>
              <w:rPr>
                <w:rFonts w:ascii="Times New Roman" w:cs="Times New Roman" w:eastAsia="Times New Roman" w:hAnsi="Times New Roman"/>
                <w:sz w:val="14"/>
                <w:szCs w:val="14"/>
                <w:color w:val="auto"/>
              </w:rPr>
              <w:t>and</w:t>
            </w:r>
          </w:p>
        </w:tc>
        <w:tc>
          <w:tcPr>
            <w:tcW w:w="720" w:type="dxa"/>
            <w:vAlign w:val="bottom"/>
            <w:gridSpan w:val="2"/>
            <w:vMerge w:val="restart"/>
          </w:tcPr>
          <w:p>
            <w:pPr>
              <w:jc w:val="right"/>
              <w:ind w:right="131"/>
              <w:spacing w:after="0"/>
              <w:rPr>
                <w:sz w:val="20"/>
                <w:szCs w:val="20"/>
                <w:color w:val="auto"/>
              </w:rPr>
            </w:pPr>
            <w:r>
              <w:rPr>
                <w:rFonts w:ascii="Times New Roman" w:cs="Times New Roman" w:eastAsia="Times New Roman" w:hAnsi="Times New Roman"/>
                <w:sz w:val="14"/>
                <w:szCs w:val="14"/>
                <w:color w:val="auto"/>
              </w:rPr>
              <w:t>4,921</w:t>
            </w:r>
          </w:p>
        </w:tc>
        <w:tc>
          <w:tcPr>
            <w:tcW w:w="5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1,026</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(34)</w:t>
            </w:r>
          </w:p>
        </w:tc>
        <w:tc>
          <w:tcPr>
            <w:tcW w:w="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5,913</w:t>
            </w:r>
          </w:p>
        </w:tc>
        <w:tc>
          <w:tcPr>
            <w:tcW w:w="720" w:type="dxa"/>
            <w:vAlign w:val="bottom"/>
            <w:gridSpan w:val="2"/>
            <w:vMerge w:val="restart"/>
          </w:tcPr>
          <w:p>
            <w:pPr>
              <w:jc w:val="right"/>
              <w:ind w:right="131"/>
              <w:spacing w:after="0"/>
              <w:rPr>
                <w:sz w:val="20"/>
                <w:szCs w:val="20"/>
                <w:color w:val="auto"/>
              </w:rPr>
            </w:pPr>
            <w:r>
              <w:rPr>
                <w:rFonts w:ascii="Times New Roman" w:cs="Times New Roman" w:eastAsia="Times New Roman" w:hAnsi="Times New Roman"/>
                <w:sz w:val="14"/>
                <w:szCs w:val="14"/>
                <w:color w:val="auto"/>
              </w:rPr>
              <w:t>6,455</w:t>
            </w:r>
          </w:p>
        </w:tc>
        <w:tc>
          <w:tcPr>
            <w:tcW w:w="6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946</w:t>
            </w: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w:t>
            </w: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7,389</w:t>
            </w:r>
          </w:p>
        </w:tc>
        <w:tc>
          <w:tcPr>
            <w:tcW w:w="700" w:type="dxa"/>
            <w:vAlign w:val="bottom"/>
            <w:gridSpan w:val="2"/>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rPr>
              <w:t>4,109</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817</w:t>
            </w:r>
          </w:p>
        </w:tc>
        <w:tc>
          <w:tcPr>
            <w:tcW w:w="240" w:type="dxa"/>
            <w:vAlign w:val="bottom"/>
          </w:tcPr>
          <w:p>
            <w:pPr>
              <w:spacing w:after="0"/>
              <w:rPr>
                <w:sz w:val="12"/>
                <w:szCs w:val="12"/>
                <w:color w:val="auto"/>
              </w:rPr>
            </w:pP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(14)</w:t>
            </w: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4,912</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80" w:type="dxa"/>
            <w:vAlign w:val="bottom"/>
          </w:tcPr>
          <w:p>
            <w:pPr>
              <w:spacing w:after="0"/>
              <w:rPr>
                <w:sz w:val="12"/>
                <w:szCs w:val="12"/>
                <w:color w:val="auto"/>
              </w:rPr>
            </w:pPr>
          </w:p>
        </w:tc>
        <w:tc>
          <w:tcPr>
            <w:tcW w:w="540" w:type="dxa"/>
            <w:vAlign w:val="bottom"/>
            <w:gridSpan w:val="2"/>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rPr>
              <w:t>118</w:t>
            </w: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65"/>
        </w:trPr>
        <w:tc>
          <w:tcPr>
            <w:tcW w:w="12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administrative</w:t>
            </w:r>
            <w:r>
              <w:rPr>
                <w:rFonts w:ascii="Times New Roman" w:cs="Times New Roman" w:eastAsia="Times New Roman" w:hAnsi="Times New Roman"/>
                <w:sz w:val="10"/>
                <w:szCs w:val="10"/>
                <w:color w:val="auto"/>
              </w:rPr>
              <w:t>(1)</w:t>
            </w:r>
          </w:p>
        </w:tc>
        <w:tc>
          <w:tcPr>
            <w:tcW w:w="72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240" w:type="dxa"/>
            <w:vAlign w:val="bottom"/>
            <w:shd w:val="clear" w:color="auto" w:fill="CCEEFF"/>
          </w:tcPr>
          <w:p>
            <w:pPr>
              <w:ind w:left="140"/>
              <w:spacing w:after="0" w:line="121" w:lineRule="exact"/>
              <w:rPr>
                <w:sz w:val="20"/>
                <w:szCs w:val="20"/>
                <w:color w:val="auto"/>
              </w:rPr>
            </w:pPr>
            <w:r>
              <w:rPr>
                <w:rFonts w:ascii="Times New Roman" w:cs="Times New Roman" w:eastAsia="Times New Roman" w:hAnsi="Times New Roman"/>
                <w:sz w:val="13"/>
                <w:szCs w:val="13"/>
                <w:color w:val="auto"/>
              </w:rPr>
              <w:t>Research and</w:t>
            </w:r>
          </w:p>
        </w:tc>
        <w:tc>
          <w:tcPr>
            <w:tcW w:w="720" w:type="dxa"/>
            <w:vAlign w:val="bottom"/>
            <w:gridSpan w:val="2"/>
            <w:vMerge w:val="restart"/>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4,132</w:t>
            </w:r>
          </w:p>
        </w:tc>
        <w:tc>
          <w:tcPr>
            <w:tcW w:w="5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412</w:t>
            </w:r>
          </w:p>
        </w:tc>
        <w:tc>
          <w:tcPr>
            <w:tcW w:w="6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xml:space="preserve">— </w:t>
            </w:r>
          </w:p>
        </w:tc>
        <w:tc>
          <w:tcPr>
            <w:tcW w:w="6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4,544</w:t>
            </w:r>
          </w:p>
        </w:tc>
        <w:tc>
          <w:tcPr>
            <w:tcW w:w="720" w:type="dxa"/>
            <w:vAlign w:val="bottom"/>
            <w:gridSpan w:val="2"/>
            <w:vMerge w:val="restart"/>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5,174</w:t>
            </w:r>
          </w:p>
        </w:tc>
        <w:tc>
          <w:tcPr>
            <w:tcW w:w="6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417</w:t>
            </w:r>
          </w:p>
        </w:tc>
        <w:tc>
          <w:tcPr>
            <w:tcW w:w="6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xml:space="preserve">— </w:t>
            </w: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5,591</w:t>
            </w:r>
          </w:p>
        </w:tc>
        <w:tc>
          <w:tcPr>
            <w:tcW w:w="700" w:type="dxa"/>
            <w:vAlign w:val="bottom"/>
            <w:gridSpan w:val="2"/>
            <w:vMerge w:val="restart"/>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3,978</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24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w:t>
            </w: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4,381</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8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59</w:t>
            </w:r>
          </w:p>
        </w:tc>
        <w:tc>
          <w:tcPr>
            <w:tcW w:w="6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xml:space="preserve">— </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65"/>
        </w:trPr>
        <w:tc>
          <w:tcPr>
            <w:tcW w:w="1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development</w:t>
            </w:r>
            <w:r>
              <w:rPr>
                <w:rFonts w:ascii="Times New Roman" w:cs="Times New Roman" w:eastAsia="Times New Roman" w:hAnsi="Times New Roman"/>
                <w:sz w:val="10"/>
                <w:szCs w:val="10"/>
                <w:color w:val="auto"/>
              </w:rPr>
              <w:t>(1)</w:t>
            </w:r>
          </w:p>
        </w:tc>
        <w:tc>
          <w:tcPr>
            <w:tcW w:w="72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Total costs and</w:t>
            </w: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240" w:type="dxa"/>
            <w:vAlign w:val="bottom"/>
            <w:vMerge w:val="continue"/>
          </w:tcPr>
          <w:p>
            <w:pPr>
              <w:spacing w:after="0"/>
              <w:rPr>
                <w:sz w:val="10"/>
                <w:szCs w:val="10"/>
                <w:color w:val="auto"/>
              </w:rPr>
            </w:pPr>
          </w:p>
        </w:tc>
        <w:tc>
          <w:tcPr>
            <w:tcW w:w="720" w:type="dxa"/>
            <w:vAlign w:val="bottom"/>
            <w:gridSpan w:val="2"/>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21,299</w:t>
            </w:r>
          </w:p>
        </w:tc>
        <w:tc>
          <w:tcPr>
            <w:tcW w:w="5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6,844</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(199)</w:t>
            </w:r>
          </w:p>
        </w:tc>
        <w:tc>
          <w:tcPr>
            <w:tcW w:w="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27,944</w:t>
            </w:r>
          </w:p>
        </w:tc>
        <w:tc>
          <w:tcPr>
            <w:tcW w:w="720" w:type="dxa"/>
            <w:vAlign w:val="bottom"/>
            <w:gridSpan w:val="2"/>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24,671</w:t>
            </w:r>
          </w:p>
        </w:tc>
        <w:tc>
          <w:tcPr>
            <w:tcW w:w="6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6,739</w:t>
            </w: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(153)</w:t>
            </w: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31,257</w:t>
            </w:r>
          </w:p>
        </w:tc>
        <w:tc>
          <w:tcPr>
            <w:tcW w:w="700" w:type="dxa"/>
            <w:vAlign w:val="bottom"/>
            <w:gridSpan w:val="2"/>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22,585</w:t>
            </w:r>
          </w:p>
        </w:tc>
        <w:tc>
          <w:tcPr>
            <w:tcW w:w="6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6,454</w:t>
            </w: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(157)</w:t>
            </w: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28,882</w:t>
            </w: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3,274</w:t>
            </w:r>
          </w:p>
        </w:tc>
        <w:tc>
          <w:tcPr>
            <w:tcW w:w="540" w:type="dxa"/>
            <w:vAlign w:val="bottom"/>
            <w:gridSpan w:val="2"/>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936</w:t>
            </w: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(23)</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4,1</w:t>
            </w:r>
          </w:p>
        </w:tc>
        <w:tc>
          <w:tcPr>
            <w:tcW w:w="0" w:type="dxa"/>
            <w:vAlign w:val="bottom"/>
          </w:tcPr>
          <w:p>
            <w:pPr>
              <w:spacing w:after="0"/>
              <w:rPr>
                <w:sz w:val="1"/>
                <w:szCs w:val="1"/>
                <w:color w:val="auto"/>
              </w:rPr>
            </w:pPr>
          </w:p>
        </w:tc>
      </w:tr>
      <w:tr>
        <w:trPr>
          <w:trHeight w:val="167"/>
        </w:trPr>
        <w:tc>
          <w:tcPr>
            <w:tcW w:w="12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72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1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124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Operating income</w:t>
            </w:r>
          </w:p>
        </w:tc>
        <w:tc>
          <w:tcPr>
            <w:tcW w:w="720" w:type="dxa"/>
            <w:vAlign w:val="bottom"/>
            <w:gridSpan w:val="2"/>
            <w:vMerge w:val="restart"/>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4,164</w:t>
            </w:r>
          </w:p>
        </w:tc>
        <w:tc>
          <w:tcPr>
            <w:tcW w:w="5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342</w:t>
            </w:r>
          </w:p>
        </w:tc>
        <w:tc>
          <w:tcPr>
            <w:tcW w:w="6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w:t>
            </w:r>
          </w:p>
        </w:tc>
        <w:tc>
          <w:tcPr>
            <w:tcW w:w="6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4,508</w:t>
            </w:r>
          </w:p>
        </w:tc>
        <w:tc>
          <w:tcPr>
            <w:tcW w:w="720" w:type="dxa"/>
            <w:vAlign w:val="bottom"/>
            <w:gridSpan w:val="2"/>
            <w:vMerge w:val="restart"/>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1,441</w:t>
            </w:r>
          </w:p>
        </w:tc>
        <w:tc>
          <w:tcPr>
            <w:tcW w:w="6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55</w:t>
            </w:r>
          </w:p>
        </w:tc>
        <w:tc>
          <w:tcPr>
            <w:tcW w:w="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w:t>
            </w: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1,483</w:t>
            </w:r>
          </w:p>
        </w:tc>
        <w:tc>
          <w:tcPr>
            <w:tcW w:w="700" w:type="dxa"/>
            <w:vAlign w:val="bottom"/>
            <w:gridSpan w:val="2"/>
            <w:vMerge w:val="restart"/>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3,416</w:t>
            </w: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(228)</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3,193</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495</w:t>
            </w:r>
          </w:p>
        </w:tc>
        <w:tc>
          <w:tcPr>
            <w:tcW w:w="8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(33)</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0" w:type="dxa"/>
            <w:vAlign w:val="bottom"/>
          </w:tcPr>
          <w:p>
            <w:pPr>
              <w:spacing w:after="0"/>
              <w:rPr>
                <w:sz w:val="1"/>
                <w:szCs w:val="1"/>
                <w:color w:val="auto"/>
              </w:rPr>
            </w:pPr>
          </w:p>
        </w:tc>
      </w:tr>
      <w:tr>
        <w:trPr>
          <w:trHeight w:val="167"/>
        </w:trPr>
        <w:tc>
          <w:tcPr>
            <w:tcW w:w="1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72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240" w:type="dxa"/>
            <w:vAlign w:val="bottom"/>
          </w:tcPr>
          <w:p>
            <w:pPr>
              <w:spacing w:after="0" w:line="143" w:lineRule="exact"/>
              <w:rPr>
                <w:sz w:val="20"/>
                <w:szCs w:val="20"/>
                <w:color w:val="auto"/>
              </w:rPr>
            </w:pPr>
            <w:r>
              <w:rPr>
                <w:rFonts w:ascii="Times New Roman" w:cs="Times New Roman" w:eastAsia="Times New Roman" w:hAnsi="Times New Roman"/>
                <w:sz w:val="14"/>
                <w:szCs w:val="14"/>
                <w:i w:val="1"/>
                <w:iCs w:val="1"/>
                <w:color w:val="auto"/>
              </w:rPr>
              <w:t>Operating margin</w:t>
            </w:r>
          </w:p>
        </w:tc>
        <w:tc>
          <w:tcPr>
            <w:tcW w:w="720" w:type="dxa"/>
            <w:vAlign w:val="bottom"/>
            <w:gridSpan w:val="2"/>
          </w:tcPr>
          <w:p>
            <w:pPr>
              <w:jc w:val="right"/>
              <w:ind w:right="11"/>
              <w:spacing w:after="0" w:line="143" w:lineRule="exact"/>
              <w:rPr>
                <w:sz w:val="20"/>
                <w:szCs w:val="20"/>
                <w:color w:val="auto"/>
              </w:rPr>
            </w:pPr>
            <w:r>
              <w:rPr>
                <w:rFonts w:ascii="Times New Roman" w:cs="Times New Roman" w:eastAsia="Times New Roman" w:hAnsi="Times New Roman"/>
                <w:sz w:val="14"/>
                <w:szCs w:val="14"/>
                <w:i w:val="1"/>
                <w:iCs w:val="1"/>
                <w:color w:val="auto"/>
              </w:rPr>
              <w:t>16%</w:t>
            </w:r>
          </w:p>
        </w:tc>
        <w:tc>
          <w:tcPr>
            <w:tcW w:w="560" w:type="dxa"/>
            <w:vAlign w:val="bottom"/>
            <w:gridSpan w:val="2"/>
          </w:tcPr>
          <w:p>
            <w:pPr>
              <w:jc w:val="right"/>
              <w:ind w:right="80"/>
              <w:spacing w:after="0" w:line="143" w:lineRule="exact"/>
              <w:rPr>
                <w:sz w:val="20"/>
                <w:szCs w:val="20"/>
                <w:color w:val="auto"/>
              </w:rPr>
            </w:pPr>
            <w:r>
              <w:rPr>
                <w:rFonts w:ascii="Times New Roman" w:cs="Times New Roman" w:eastAsia="Times New Roman" w:hAnsi="Times New Roman"/>
                <w:sz w:val="14"/>
                <w:szCs w:val="14"/>
                <w:i w:val="1"/>
                <w:iCs w:val="1"/>
                <w:color w:val="auto"/>
              </w:rPr>
              <w:t>5%</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ind w:right="80"/>
              <w:spacing w:after="0" w:line="143" w:lineRule="exact"/>
              <w:rPr>
                <w:sz w:val="20"/>
                <w:szCs w:val="20"/>
                <w:color w:val="auto"/>
              </w:rPr>
            </w:pPr>
            <w:r>
              <w:rPr>
                <w:rFonts w:ascii="Times New Roman" w:cs="Times New Roman" w:eastAsia="Times New Roman" w:hAnsi="Times New Roman"/>
                <w:sz w:val="14"/>
                <w:szCs w:val="14"/>
                <w:i w:val="1"/>
                <w:iCs w:val="1"/>
                <w:color w:val="auto"/>
              </w:rPr>
              <w:t>14%</w:t>
            </w:r>
          </w:p>
        </w:tc>
        <w:tc>
          <w:tcPr>
            <w:tcW w:w="720" w:type="dxa"/>
            <w:vAlign w:val="bottom"/>
            <w:gridSpan w:val="2"/>
          </w:tcPr>
          <w:p>
            <w:pPr>
              <w:jc w:val="right"/>
              <w:ind w:right="11"/>
              <w:spacing w:after="0" w:line="143" w:lineRule="exact"/>
              <w:rPr>
                <w:sz w:val="20"/>
                <w:szCs w:val="20"/>
                <w:color w:val="auto"/>
              </w:rPr>
            </w:pPr>
            <w:r>
              <w:rPr>
                <w:rFonts w:ascii="Times New Roman" w:cs="Times New Roman" w:eastAsia="Times New Roman" w:hAnsi="Times New Roman"/>
                <w:sz w:val="14"/>
                <w:szCs w:val="14"/>
                <w:i w:val="1"/>
                <w:iCs w:val="1"/>
                <w:color w:val="auto"/>
              </w:rPr>
              <w:t>6%</w:t>
            </w:r>
          </w:p>
        </w:tc>
        <w:tc>
          <w:tcPr>
            <w:tcW w:w="620" w:type="dxa"/>
            <w:vAlign w:val="bottom"/>
            <w:gridSpan w:val="2"/>
          </w:tcPr>
          <w:p>
            <w:pPr>
              <w:jc w:val="right"/>
              <w:ind w:right="140"/>
              <w:spacing w:after="0" w:line="143" w:lineRule="exact"/>
              <w:rPr>
                <w:sz w:val="20"/>
                <w:szCs w:val="20"/>
                <w:color w:val="auto"/>
              </w:rPr>
            </w:pPr>
            <w:r>
              <w:rPr>
                <w:rFonts w:ascii="Times New Roman" w:cs="Times New Roman" w:eastAsia="Times New Roman" w:hAnsi="Times New Roman"/>
                <w:sz w:val="14"/>
                <w:szCs w:val="14"/>
                <w:i w:val="1"/>
                <w:iCs w:val="1"/>
                <w:color w:val="auto"/>
              </w:rPr>
              <w:t>1%</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jc w:val="right"/>
              <w:ind w:right="80"/>
              <w:spacing w:after="0" w:line="143" w:lineRule="exact"/>
              <w:rPr>
                <w:sz w:val="20"/>
                <w:szCs w:val="20"/>
                <w:color w:val="auto"/>
              </w:rPr>
            </w:pPr>
            <w:r>
              <w:rPr>
                <w:rFonts w:ascii="Times New Roman" w:cs="Times New Roman" w:eastAsia="Times New Roman" w:hAnsi="Times New Roman"/>
                <w:sz w:val="14"/>
                <w:szCs w:val="14"/>
                <w:i w:val="1"/>
                <w:iCs w:val="1"/>
                <w:color w:val="auto"/>
              </w:rPr>
              <w:t>5%</w:t>
            </w:r>
          </w:p>
        </w:tc>
        <w:tc>
          <w:tcPr>
            <w:tcW w:w="700" w:type="dxa"/>
            <w:vAlign w:val="bottom"/>
            <w:gridSpan w:val="2"/>
          </w:tcPr>
          <w:p>
            <w:pPr>
              <w:jc w:val="right"/>
              <w:ind w:right="11"/>
              <w:spacing w:after="0" w:line="143" w:lineRule="exact"/>
              <w:rPr>
                <w:sz w:val="20"/>
                <w:szCs w:val="20"/>
                <w:color w:val="auto"/>
              </w:rPr>
            </w:pPr>
            <w:r>
              <w:rPr>
                <w:rFonts w:ascii="Times New Roman" w:cs="Times New Roman" w:eastAsia="Times New Roman" w:hAnsi="Times New Roman"/>
                <w:sz w:val="14"/>
                <w:szCs w:val="14"/>
                <w:i w:val="1"/>
                <w:iCs w:val="1"/>
                <w:color w:val="auto"/>
              </w:rPr>
              <w:t>13%</w:t>
            </w:r>
          </w:p>
        </w:tc>
        <w:tc>
          <w:tcPr>
            <w:tcW w:w="620" w:type="dxa"/>
            <w:vAlign w:val="bottom"/>
            <w:gridSpan w:val="2"/>
          </w:tcPr>
          <w:p>
            <w:pPr>
              <w:jc w:val="right"/>
              <w:ind w:right="80"/>
              <w:spacing w:after="0" w:line="143" w:lineRule="exact"/>
              <w:rPr>
                <w:sz w:val="20"/>
                <w:szCs w:val="20"/>
                <w:color w:val="auto"/>
              </w:rPr>
            </w:pPr>
            <w:r>
              <w:rPr>
                <w:rFonts w:ascii="Times New Roman" w:cs="Times New Roman" w:eastAsia="Times New Roman" w:hAnsi="Times New Roman"/>
                <w:sz w:val="14"/>
                <w:szCs w:val="14"/>
                <w:i w:val="1"/>
                <w:iCs w:val="1"/>
                <w:color w:val="auto"/>
              </w:rPr>
              <w:t>(4%)</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2"/>
          </w:tcPr>
          <w:p>
            <w:pPr>
              <w:jc w:val="right"/>
              <w:ind w:right="80"/>
              <w:spacing w:after="0" w:line="143" w:lineRule="exact"/>
              <w:rPr>
                <w:sz w:val="20"/>
                <w:szCs w:val="20"/>
                <w:color w:val="auto"/>
              </w:rPr>
            </w:pPr>
            <w:r>
              <w:rPr>
                <w:rFonts w:ascii="Times New Roman" w:cs="Times New Roman" w:eastAsia="Times New Roman" w:hAnsi="Times New Roman"/>
                <w:sz w:val="14"/>
                <w:szCs w:val="14"/>
                <w:i w:val="1"/>
                <w:iCs w:val="1"/>
                <w:color w:val="auto"/>
              </w:rPr>
              <w:t>10%</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1240" w:type="dxa"/>
            <w:vAlign w:val="bottom"/>
            <w:shd w:val="clear" w:color="auto" w:fill="CCEEFF"/>
          </w:tcPr>
          <w:p>
            <w:pPr>
              <w:ind w:left="140"/>
              <w:spacing w:after="0" w:line="121" w:lineRule="exact"/>
              <w:rPr>
                <w:sz w:val="20"/>
                <w:szCs w:val="20"/>
                <w:color w:val="auto"/>
              </w:rPr>
            </w:pPr>
            <w:r>
              <w:rPr>
                <w:rFonts w:ascii="Times New Roman" w:cs="Times New Roman" w:eastAsia="Times New Roman" w:hAnsi="Times New Roman"/>
                <w:sz w:val="13"/>
                <w:szCs w:val="13"/>
                <w:color w:val="auto"/>
              </w:rPr>
              <w:t>Add: total other</w:t>
            </w: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240" w:type="dxa"/>
            <w:vAlign w:val="bottom"/>
            <w:shd w:val="clear" w:color="auto" w:fill="CCEEFF"/>
          </w:tcPr>
          <w:p>
            <w:pPr>
              <w:ind w:left="280"/>
              <w:spacing w:after="0" w:line="143" w:lineRule="exact"/>
              <w:rPr>
                <w:sz w:val="20"/>
                <w:szCs w:val="20"/>
                <w:color w:val="auto"/>
              </w:rPr>
            </w:pPr>
            <w:r>
              <w:rPr>
                <w:rFonts w:ascii="Times New Roman" w:cs="Times New Roman" w:eastAsia="Times New Roman" w:hAnsi="Times New Roman"/>
                <w:sz w:val="14"/>
                <w:szCs w:val="14"/>
                <w:color w:val="auto"/>
              </w:rPr>
              <w:t>income (loss),</w:t>
            </w:r>
          </w:p>
        </w:tc>
        <w:tc>
          <w:tcPr>
            <w:tcW w:w="720" w:type="dxa"/>
            <w:vAlign w:val="bottom"/>
            <w:gridSpan w:val="2"/>
            <w:vMerge w:val="restart"/>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4,602</w:t>
            </w: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(115)</w:t>
            </w:r>
          </w:p>
        </w:tc>
        <w:tc>
          <w:tcPr>
            <w:tcW w:w="6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4,487</w:t>
            </w:r>
          </w:p>
        </w:tc>
        <w:tc>
          <w:tcPr>
            <w:tcW w:w="720" w:type="dxa"/>
            <w:vAlign w:val="bottom"/>
            <w:gridSpan w:val="2"/>
            <w:vMerge w:val="restart"/>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1,270</w:t>
            </w:r>
          </w:p>
        </w:tc>
        <w:tc>
          <w:tcPr>
            <w:tcW w:w="6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(27)</w:t>
            </w:r>
          </w:p>
        </w:tc>
        <w:tc>
          <w:tcPr>
            <w:tcW w:w="6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1,243</w:t>
            </w:r>
          </w:p>
        </w:tc>
        <w:tc>
          <w:tcPr>
            <w:tcW w:w="700" w:type="dxa"/>
            <w:vAlign w:val="bottom"/>
            <w:gridSpan w:val="2"/>
            <w:vMerge w:val="restart"/>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654</w:t>
            </w: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(28)</w:t>
            </w:r>
          </w:p>
        </w:tc>
        <w:tc>
          <w:tcPr>
            <w:tcW w:w="6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626</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w:t>
            </w:r>
          </w:p>
        </w:tc>
        <w:tc>
          <w:tcPr>
            <w:tcW w:w="6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w:t>
            </w:r>
          </w:p>
        </w:tc>
        <w:tc>
          <w:tcPr>
            <w:tcW w:w="72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240" w:type="dxa"/>
            <w:vAlign w:val="bottom"/>
          </w:tcPr>
          <w:p>
            <w:pPr>
              <w:ind w:left="140"/>
              <w:spacing w:after="0" w:line="121" w:lineRule="exact"/>
              <w:rPr>
                <w:sz w:val="20"/>
                <w:szCs w:val="20"/>
                <w:color w:val="auto"/>
              </w:rPr>
            </w:pPr>
            <w:r>
              <w:rPr>
                <w:rFonts w:ascii="Times New Roman" w:cs="Times New Roman" w:eastAsia="Times New Roman" w:hAnsi="Times New Roman"/>
                <w:sz w:val="13"/>
                <w:szCs w:val="13"/>
                <w:color w:val="auto"/>
              </w:rPr>
              <w:t>Less: income tax</w:t>
            </w:r>
          </w:p>
        </w:tc>
        <w:tc>
          <w:tcPr>
            <w:tcW w:w="720" w:type="dxa"/>
            <w:vAlign w:val="bottom"/>
            <w:gridSpan w:val="2"/>
            <w:vMerge w:val="restart"/>
          </w:tcPr>
          <w:p>
            <w:pPr>
              <w:jc w:val="right"/>
              <w:ind w:right="131"/>
              <w:spacing w:after="0"/>
              <w:rPr>
                <w:sz w:val="20"/>
                <w:szCs w:val="20"/>
                <w:color w:val="auto"/>
              </w:rPr>
            </w:pPr>
            <w:r>
              <w:rPr>
                <w:rFonts w:ascii="Times New Roman" w:cs="Times New Roman" w:eastAsia="Times New Roman" w:hAnsi="Times New Roman"/>
                <w:sz w:val="14"/>
                <w:szCs w:val="14"/>
                <w:color w:val="auto"/>
              </w:rPr>
              <w:t>1,136</w:t>
            </w:r>
          </w:p>
        </w:tc>
        <w:tc>
          <w:tcPr>
            <w:tcW w:w="5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41</w:t>
            </w:r>
          </w:p>
        </w:tc>
        <w:tc>
          <w:tcPr>
            <w:tcW w:w="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1,177</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200" w:type="dxa"/>
            <w:vAlign w:val="bottom"/>
          </w:tcPr>
          <w:p>
            <w:pPr>
              <w:spacing w:after="0"/>
              <w:rPr>
                <w:sz w:val="10"/>
                <w:szCs w:val="10"/>
                <w:color w:val="auto"/>
              </w:rPr>
            </w:pPr>
          </w:p>
        </w:tc>
        <w:tc>
          <w:tcPr>
            <w:tcW w:w="6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36</w:t>
            </w:r>
          </w:p>
        </w:tc>
        <w:tc>
          <w:tcPr>
            <w:tcW w:w="6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1,029</w:t>
            </w:r>
          </w:p>
        </w:tc>
        <w:tc>
          <w:tcPr>
            <w:tcW w:w="700" w:type="dxa"/>
            <w:vAlign w:val="bottom"/>
            <w:gridSpan w:val="2"/>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rPr>
              <w:t>491</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40" w:type="dxa"/>
            <w:vAlign w:val="bottom"/>
          </w:tcPr>
          <w:p>
            <w:pPr>
              <w:spacing w:after="0"/>
              <w:rPr>
                <w:sz w:val="10"/>
                <w:szCs w:val="10"/>
                <w:color w:val="auto"/>
              </w:rPr>
            </w:pPr>
          </w:p>
        </w:tc>
        <w:tc>
          <w:tcPr>
            <w:tcW w:w="6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528</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Pr>
          <w:p>
            <w:pPr>
              <w:spacing w:after="0"/>
              <w:rPr>
                <w:sz w:val="10"/>
                <w:szCs w:val="10"/>
                <w:color w:val="auto"/>
              </w:rPr>
            </w:pPr>
          </w:p>
        </w:tc>
        <w:tc>
          <w:tcPr>
            <w:tcW w:w="540" w:type="dxa"/>
            <w:vAlign w:val="bottom"/>
            <w:gridSpan w:val="2"/>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rPr>
              <w:t>5</w:t>
            </w:r>
          </w:p>
        </w:tc>
        <w:tc>
          <w:tcPr>
            <w:tcW w:w="6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expense</w:t>
            </w:r>
          </w:p>
        </w:tc>
        <w:tc>
          <w:tcPr>
            <w:tcW w:w="72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240" w:type="dxa"/>
            <w:vAlign w:val="bottom"/>
            <w:shd w:val="clear" w:color="auto" w:fill="CCEEFF"/>
          </w:tcPr>
          <w:p>
            <w:pPr>
              <w:ind w:left="140"/>
              <w:spacing w:after="0" w:line="121" w:lineRule="exact"/>
              <w:rPr>
                <w:sz w:val="20"/>
                <w:szCs w:val="20"/>
                <w:color w:val="auto"/>
              </w:rPr>
            </w:pPr>
            <w:r>
              <w:rPr>
                <w:rFonts w:ascii="Times New Roman" w:cs="Times New Roman" w:eastAsia="Times New Roman" w:hAnsi="Times New Roman"/>
                <w:sz w:val="13"/>
                <w:szCs w:val="13"/>
                <w:color w:val="auto"/>
              </w:rPr>
              <w:t>Less: net income</w:t>
            </w: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240" w:type="dxa"/>
            <w:vAlign w:val="bottom"/>
            <w:shd w:val="clear" w:color="auto" w:fill="CCEEFF"/>
          </w:tcPr>
          <w:p>
            <w:pPr>
              <w:ind w:left="280"/>
              <w:spacing w:after="0" w:line="143" w:lineRule="exact"/>
              <w:rPr>
                <w:sz w:val="20"/>
                <w:szCs w:val="20"/>
                <w:color w:val="auto"/>
              </w:rPr>
            </w:pPr>
            <w:r>
              <w:rPr>
                <w:rFonts w:ascii="Times New Roman" w:cs="Times New Roman" w:eastAsia="Times New Roman" w:hAnsi="Times New Roman"/>
                <w:sz w:val="14"/>
                <w:szCs w:val="14"/>
                <w:color w:val="auto"/>
              </w:rPr>
              <w:t>(loss)</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240" w:type="dxa"/>
            <w:vAlign w:val="bottom"/>
            <w:shd w:val="clear" w:color="auto" w:fill="CCEEFF"/>
          </w:tcPr>
          <w:p>
            <w:pPr>
              <w:ind w:left="280"/>
              <w:spacing w:after="0" w:line="143" w:lineRule="exact"/>
              <w:rPr>
                <w:sz w:val="20"/>
                <w:szCs w:val="20"/>
                <w:color w:val="auto"/>
              </w:rPr>
            </w:pPr>
            <w:r>
              <w:rPr>
                <w:rFonts w:ascii="Times New Roman" w:cs="Times New Roman" w:eastAsia="Times New Roman" w:hAnsi="Times New Roman"/>
                <w:sz w:val="14"/>
                <w:szCs w:val="14"/>
                <w:color w:val="auto"/>
              </w:rPr>
              <w:t>attributable to</w:t>
            </w:r>
          </w:p>
        </w:tc>
        <w:tc>
          <w:tcPr>
            <w:tcW w:w="720" w:type="dxa"/>
            <w:vAlign w:val="bottom"/>
            <w:gridSpan w:val="2"/>
            <w:vMerge w:val="restart"/>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(3)</w:t>
            </w:r>
          </w:p>
        </w:tc>
        <w:tc>
          <w:tcPr>
            <w:tcW w:w="5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w:t>
            </w: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100</w:t>
            </w:r>
            <w:r>
              <w:rPr>
                <w:rFonts w:ascii="Times New Roman" w:cs="Times New Roman" w:eastAsia="Times New Roman" w:hAnsi="Times New Roman"/>
                <w:sz w:val="10"/>
                <w:szCs w:val="10"/>
                <w:color w:val="auto"/>
              </w:rPr>
              <w:t>(3)</w:t>
            </w:r>
          </w:p>
        </w:tc>
        <w:tc>
          <w:tcPr>
            <w:tcW w:w="6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101</w:t>
            </w:r>
          </w:p>
        </w:tc>
        <w:tc>
          <w:tcPr>
            <w:tcW w:w="720" w:type="dxa"/>
            <w:vAlign w:val="bottom"/>
            <w:gridSpan w:val="2"/>
            <w:vMerge w:val="restart"/>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(79)</w:t>
            </w:r>
          </w:p>
        </w:tc>
        <w:tc>
          <w:tcPr>
            <w:tcW w:w="6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w:t>
            </w: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w:t>
            </w:r>
            <w:r>
              <w:rPr>
                <w:rFonts w:ascii="Times New Roman" w:cs="Times New Roman" w:eastAsia="Times New Roman" w:hAnsi="Times New Roman"/>
                <w:sz w:val="10"/>
                <w:szCs w:val="10"/>
                <w:color w:val="auto"/>
              </w:rPr>
              <w:t>(3)</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(85)</w:t>
            </w:r>
          </w:p>
        </w:tc>
        <w:tc>
          <w:tcPr>
            <w:tcW w:w="700" w:type="dxa"/>
            <w:vAlign w:val="bottom"/>
            <w:gridSpan w:val="2"/>
            <w:vMerge w:val="restart"/>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6</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(161)</w:t>
            </w:r>
            <w:r>
              <w:rPr>
                <w:rFonts w:ascii="Times New Roman" w:cs="Times New Roman" w:eastAsia="Times New Roman" w:hAnsi="Times New Roman"/>
                <w:sz w:val="10"/>
                <w:szCs w:val="10"/>
                <w:color w:val="auto"/>
              </w:rPr>
              <w:t>(3)</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(154)</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(22)</w:t>
            </w:r>
            <w:r>
              <w:rPr>
                <w:rFonts w:ascii="Times New Roman" w:cs="Times New Roman" w:eastAsia="Times New Roman" w:hAnsi="Times New Roman"/>
                <w:sz w:val="10"/>
                <w:szCs w:val="10"/>
                <w:color w:val="auto"/>
              </w:rPr>
              <w:t>(3)</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1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NCI</w:t>
            </w:r>
          </w:p>
        </w:tc>
        <w:tc>
          <w:tcPr>
            <w:tcW w:w="72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240" w:type="dxa"/>
            <w:vAlign w:val="bottom"/>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Net income (loss)</w:t>
            </w:r>
          </w:p>
        </w:tc>
        <w:tc>
          <w:tcPr>
            <w:tcW w:w="5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24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720" w:type="dxa"/>
            <w:vAlign w:val="bottom"/>
            <w:gridSpan w:val="2"/>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7,633</w:t>
            </w:r>
          </w:p>
        </w:tc>
        <w:tc>
          <w:tcPr>
            <w:tcW w:w="5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182</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(98)</w:t>
            </w:r>
          </w:p>
        </w:tc>
        <w:tc>
          <w:tcPr>
            <w:tcW w:w="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7,717</w:t>
            </w:r>
          </w:p>
        </w:tc>
        <w:tc>
          <w:tcPr>
            <w:tcW w:w="720" w:type="dxa"/>
            <w:vAlign w:val="bottom"/>
            <w:gridSpan w:val="2"/>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1,797</w:t>
            </w:r>
          </w:p>
        </w:tc>
        <w:tc>
          <w:tcPr>
            <w:tcW w:w="6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(6)</w:t>
            </w: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(9)</w:t>
            </w: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1,782</w:t>
            </w:r>
          </w:p>
        </w:tc>
        <w:tc>
          <w:tcPr>
            <w:tcW w:w="700" w:type="dxa"/>
            <w:vAlign w:val="bottom"/>
            <w:gridSpan w:val="2"/>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3,573</w:t>
            </w: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(294)</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240" w:type="dxa"/>
            <w:vAlign w:val="bottom"/>
          </w:tcPr>
          <w:p>
            <w:pPr>
              <w:spacing w:after="0"/>
              <w:rPr>
                <w:sz w:val="12"/>
                <w:szCs w:val="12"/>
                <w:color w:val="auto"/>
              </w:rPr>
            </w:pP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3,445</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518</w:t>
            </w:r>
          </w:p>
        </w:tc>
        <w:tc>
          <w:tcPr>
            <w:tcW w:w="80" w:type="dxa"/>
            <w:vAlign w:val="bottom"/>
          </w:tcPr>
          <w:p>
            <w:pPr>
              <w:spacing w:after="0"/>
              <w:rPr>
                <w:sz w:val="12"/>
                <w:szCs w:val="12"/>
                <w:color w:val="auto"/>
              </w:rPr>
            </w:pPr>
          </w:p>
        </w:tc>
        <w:tc>
          <w:tcPr>
            <w:tcW w:w="540" w:type="dxa"/>
            <w:vAlign w:val="bottom"/>
            <w:gridSpan w:val="2"/>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(42)</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6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0" w:type="dxa"/>
            <w:vAlign w:val="bottom"/>
          </w:tcPr>
          <w:p>
            <w:pPr>
              <w:spacing w:after="0"/>
              <w:rPr>
                <w:sz w:val="1"/>
                <w:szCs w:val="1"/>
                <w:color w:val="auto"/>
              </w:rPr>
            </w:pPr>
          </w:p>
        </w:tc>
      </w:tr>
      <w:tr>
        <w:trPr>
          <w:trHeight w:val="167"/>
        </w:trPr>
        <w:tc>
          <w:tcPr>
            <w:tcW w:w="12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Baidu</w:t>
            </w:r>
          </w:p>
        </w:tc>
        <w:tc>
          <w:tcPr>
            <w:tcW w:w="72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i w:val="1"/>
                <w:iCs w:val="1"/>
                <w:color w:val="auto"/>
              </w:rPr>
              <w:t>Net margin</w:t>
            </w:r>
          </w:p>
        </w:tc>
        <w:tc>
          <w:tcPr>
            <w:tcW w:w="720" w:type="dxa"/>
            <w:vAlign w:val="bottom"/>
            <w:gridSpan w:val="2"/>
            <w:shd w:val="clear" w:color="auto" w:fill="CCEEFF"/>
          </w:tcPr>
          <w:p>
            <w:pPr>
              <w:jc w:val="right"/>
              <w:ind w:right="11"/>
              <w:spacing w:after="0" w:line="135" w:lineRule="exact"/>
              <w:rPr>
                <w:sz w:val="20"/>
                <w:szCs w:val="20"/>
                <w:color w:val="auto"/>
              </w:rPr>
            </w:pPr>
            <w:r>
              <w:rPr>
                <w:rFonts w:ascii="Times New Roman" w:cs="Times New Roman" w:eastAsia="Times New Roman" w:hAnsi="Times New Roman"/>
                <w:sz w:val="14"/>
                <w:szCs w:val="14"/>
                <w:i w:val="1"/>
                <w:iCs w:val="1"/>
                <w:color w:val="auto"/>
              </w:rPr>
              <w:t>30%</w:t>
            </w:r>
          </w:p>
        </w:tc>
        <w:tc>
          <w:tcPr>
            <w:tcW w:w="5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4"/>
                <w:szCs w:val="14"/>
                <w:i w:val="1"/>
                <w:iCs w:val="1"/>
                <w:color w:val="auto"/>
              </w:rPr>
              <w:t>3%</w:t>
            </w: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4"/>
                <w:szCs w:val="14"/>
                <w:i w:val="1"/>
                <w:iCs w:val="1"/>
                <w:color w:val="auto"/>
              </w:rPr>
              <w:t>24%</w:t>
            </w:r>
          </w:p>
        </w:tc>
        <w:tc>
          <w:tcPr>
            <w:tcW w:w="720" w:type="dxa"/>
            <w:vAlign w:val="bottom"/>
            <w:gridSpan w:val="2"/>
            <w:shd w:val="clear" w:color="auto" w:fill="CCEEFF"/>
          </w:tcPr>
          <w:p>
            <w:pPr>
              <w:jc w:val="right"/>
              <w:ind w:right="11"/>
              <w:spacing w:after="0" w:line="135" w:lineRule="exact"/>
              <w:rPr>
                <w:sz w:val="20"/>
                <w:szCs w:val="20"/>
                <w:color w:val="auto"/>
              </w:rPr>
            </w:pPr>
            <w:r>
              <w:rPr>
                <w:rFonts w:ascii="Times New Roman" w:cs="Times New Roman" w:eastAsia="Times New Roman" w:hAnsi="Times New Roman"/>
                <w:sz w:val="14"/>
                <w:szCs w:val="14"/>
                <w:i w:val="1"/>
                <w:iCs w:val="1"/>
                <w:color w:val="auto"/>
              </w:rPr>
              <w:t>7%</w:t>
            </w:r>
          </w:p>
        </w:tc>
        <w:tc>
          <w:tcPr>
            <w:tcW w:w="6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4"/>
                <w:szCs w:val="14"/>
                <w:i w:val="1"/>
                <w:iCs w:val="1"/>
                <w:color w:val="auto"/>
              </w:rPr>
              <w:t>(0%)</w:t>
            </w: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4"/>
                <w:szCs w:val="14"/>
                <w:i w:val="1"/>
                <w:iCs w:val="1"/>
                <w:color w:val="auto"/>
              </w:rPr>
              <w:t>5%</w:t>
            </w:r>
          </w:p>
        </w:tc>
        <w:tc>
          <w:tcPr>
            <w:tcW w:w="700" w:type="dxa"/>
            <w:vAlign w:val="bottom"/>
            <w:gridSpan w:val="2"/>
            <w:shd w:val="clear" w:color="auto" w:fill="CCEEFF"/>
          </w:tcPr>
          <w:p>
            <w:pPr>
              <w:jc w:val="right"/>
              <w:ind w:right="11"/>
              <w:spacing w:after="0" w:line="135" w:lineRule="exact"/>
              <w:rPr>
                <w:sz w:val="20"/>
                <w:szCs w:val="20"/>
                <w:color w:val="auto"/>
              </w:rPr>
            </w:pPr>
            <w:r>
              <w:rPr>
                <w:rFonts w:ascii="Times New Roman" w:cs="Times New Roman" w:eastAsia="Times New Roman" w:hAnsi="Times New Roman"/>
                <w:sz w:val="14"/>
                <w:szCs w:val="14"/>
                <w:i w:val="1"/>
                <w:iCs w:val="1"/>
                <w:color w:val="auto"/>
              </w:rPr>
              <w:t>14%</w:t>
            </w: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4"/>
                <w:szCs w:val="14"/>
                <w:i w:val="1"/>
                <w:iCs w:val="1"/>
                <w:color w:val="auto"/>
              </w:rPr>
              <w:t>(5%)</w:t>
            </w: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4"/>
                <w:szCs w:val="14"/>
                <w:i w:val="1"/>
                <w:iCs w:val="1"/>
                <w:color w:val="auto"/>
              </w:rPr>
              <w:t>11%</w:t>
            </w: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240" w:type="dxa"/>
            <w:vAlign w:val="bottom"/>
          </w:tcPr>
          <w:p>
            <w:pPr>
              <w:spacing w:after="0" w:line="118" w:lineRule="exact"/>
              <w:rPr>
                <w:sz w:val="20"/>
                <w:szCs w:val="20"/>
                <w:color w:val="auto"/>
              </w:rPr>
            </w:pPr>
            <w:r>
              <w:rPr>
                <w:rFonts w:ascii="Times New Roman" w:cs="Times New Roman" w:eastAsia="Times New Roman" w:hAnsi="Times New Roman"/>
                <w:sz w:val="13"/>
                <w:szCs w:val="13"/>
                <w:i w:val="1"/>
                <w:iCs w:val="1"/>
                <w:color w:val="auto"/>
              </w:rPr>
              <w:t>Non-GAAP financial</w:t>
            </w: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24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measures:</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24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Operating income</w:t>
            </w: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24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b w:val="1"/>
                <w:bCs w:val="1"/>
                <w:color w:val="auto"/>
              </w:rPr>
              <w:t>(loss)</w:t>
            </w:r>
          </w:p>
        </w:tc>
        <w:tc>
          <w:tcPr>
            <w:tcW w:w="720" w:type="dxa"/>
            <w:vAlign w:val="bottom"/>
            <w:gridSpan w:val="2"/>
            <w:vMerge w:val="restart"/>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4,872</w:t>
            </w:r>
          </w:p>
        </w:tc>
        <w:tc>
          <w:tcPr>
            <w:tcW w:w="5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459</w:t>
            </w: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5,333</w:t>
            </w:r>
          </w:p>
        </w:tc>
        <w:tc>
          <w:tcPr>
            <w:tcW w:w="720" w:type="dxa"/>
            <w:vAlign w:val="bottom"/>
            <w:gridSpan w:val="2"/>
            <w:vMerge w:val="restart"/>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2,837</w:t>
            </w:r>
          </w:p>
        </w:tc>
        <w:tc>
          <w:tcPr>
            <w:tcW w:w="6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143</w:t>
            </w: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2,967</w:t>
            </w:r>
          </w:p>
        </w:tc>
        <w:tc>
          <w:tcPr>
            <w:tcW w:w="700" w:type="dxa"/>
            <w:vAlign w:val="bottom"/>
            <w:gridSpan w:val="2"/>
            <w:vMerge w:val="restart"/>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3,950</w:t>
            </w: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(148)</w:t>
            </w: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3,807</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573</w:t>
            </w:r>
          </w:p>
        </w:tc>
        <w:tc>
          <w:tcPr>
            <w:tcW w:w="8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(22)</w:t>
            </w: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0" w:type="dxa"/>
            <w:vAlign w:val="bottom"/>
          </w:tcPr>
          <w:p>
            <w:pPr>
              <w:spacing w:after="0"/>
              <w:rPr>
                <w:sz w:val="1"/>
                <w:szCs w:val="1"/>
                <w:color w:val="auto"/>
              </w:rPr>
            </w:pPr>
          </w:p>
        </w:tc>
      </w:tr>
      <w:tr>
        <w:trPr>
          <w:trHeight w:val="167"/>
        </w:trPr>
        <w:tc>
          <w:tcPr>
            <w:tcW w:w="1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72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240" w:type="dxa"/>
            <w:vAlign w:val="bottom"/>
          </w:tcPr>
          <w:p>
            <w:pPr>
              <w:spacing w:after="0" w:line="118" w:lineRule="exact"/>
              <w:rPr>
                <w:sz w:val="20"/>
                <w:szCs w:val="20"/>
                <w:color w:val="auto"/>
              </w:rPr>
            </w:pPr>
            <w:r>
              <w:rPr>
                <w:rFonts w:ascii="Times New Roman" w:cs="Times New Roman" w:eastAsia="Times New Roman" w:hAnsi="Times New Roman"/>
                <w:sz w:val="13"/>
                <w:szCs w:val="13"/>
                <w:i w:val="1"/>
                <w:iCs w:val="1"/>
                <w:color w:val="auto"/>
              </w:rPr>
              <w:t>Operating margin</w:t>
            </w:r>
          </w:p>
        </w:tc>
        <w:tc>
          <w:tcPr>
            <w:tcW w:w="720" w:type="dxa"/>
            <w:vAlign w:val="bottom"/>
            <w:gridSpan w:val="2"/>
            <w:vMerge w:val="restart"/>
          </w:tcPr>
          <w:p>
            <w:pPr>
              <w:jc w:val="right"/>
              <w:ind w:right="11"/>
              <w:spacing w:after="0"/>
              <w:rPr>
                <w:sz w:val="20"/>
                <w:szCs w:val="20"/>
                <w:color w:val="auto"/>
              </w:rPr>
            </w:pPr>
            <w:r>
              <w:rPr>
                <w:rFonts w:ascii="Times New Roman" w:cs="Times New Roman" w:eastAsia="Times New Roman" w:hAnsi="Times New Roman"/>
                <w:sz w:val="14"/>
                <w:szCs w:val="14"/>
                <w:i w:val="1"/>
                <w:iCs w:val="1"/>
                <w:color w:val="auto"/>
              </w:rPr>
              <w:t>19%</w:t>
            </w: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i w:val="1"/>
                <w:iCs w:val="1"/>
                <w:color w:val="auto"/>
              </w:rPr>
              <w:t>6%</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i w:val="1"/>
                <w:iCs w:val="1"/>
                <w:color w:val="auto"/>
              </w:rPr>
              <w:t>16%</w:t>
            </w:r>
          </w:p>
        </w:tc>
        <w:tc>
          <w:tcPr>
            <w:tcW w:w="720" w:type="dxa"/>
            <w:vAlign w:val="bottom"/>
            <w:gridSpan w:val="2"/>
            <w:vMerge w:val="restart"/>
          </w:tcPr>
          <w:p>
            <w:pPr>
              <w:jc w:val="right"/>
              <w:ind w:right="11"/>
              <w:spacing w:after="0"/>
              <w:rPr>
                <w:sz w:val="20"/>
                <w:szCs w:val="20"/>
                <w:color w:val="auto"/>
              </w:rPr>
            </w:pPr>
            <w:r>
              <w:rPr>
                <w:rFonts w:ascii="Times New Roman" w:cs="Times New Roman" w:eastAsia="Times New Roman" w:hAnsi="Times New Roman"/>
                <w:sz w:val="14"/>
                <w:szCs w:val="14"/>
                <w:i w:val="1"/>
                <w:iCs w:val="1"/>
                <w:color w:val="auto"/>
              </w:rPr>
              <w:t>11%</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i w:val="1"/>
                <w:iCs w:val="1"/>
                <w:color w:val="auto"/>
              </w:rPr>
              <w:t>2%</w:t>
            </w: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i w:val="1"/>
                <w:iCs w:val="1"/>
                <w:color w:val="auto"/>
              </w:rPr>
              <w:t>9%</w:t>
            </w:r>
          </w:p>
        </w:tc>
        <w:tc>
          <w:tcPr>
            <w:tcW w:w="700" w:type="dxa"/>
            <w:vAlign w:val="bottom"/>
            <w:gridSpan w:val="2"/>
            <w:vMerge w:val="restart"/>
          </w:tcPr>
          <w:p>
            <w:pPr>
              <w:jc w:val="right"/>
              <w:ind w:right="11"/>
              <w:spacing w:after="0"/>
              <w:rPr>
                <w:sz w:val="20"/>
                <w:szCs w:val="20"/>
                <w:color w:val="auto"/>
              </w:rPr>
            </w:pPr>
            <w:r>
              <w:rPr>
                <w:rFonts w:ascii="Times New Roman" w:cs="Times New Roman" w:eastAsia="Times New Roman" w:hAnsi="Times New Roman"/>
                <w:sz w:val="14"/>
                <w:szCs w:val="14"/>
                <w:i w:val="1"/>
                <w:iCs w:val="1"/>
                <w:color w:val="auto"/>
              </w:rPr>
              <w:t>15%</w:t>
            </w: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i w:val="1"/>
                <w:iCs w:val="1"/>
                <w:color w:val="auto"/>
              </w:rPr>
              <w:t>(2%)</w:t>
            </w: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i w:val="1"/>
                <w:iCs w:val="1"/>
                <w:color w:val="auto"/>
              </w:rPr>
              <w:t>12%</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24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(non-GAAP)</w:t>
            </w:r>
          </w:p>
        </w:tc>
        <w:tc>
          <w:tcPr>
            <w:tcW w:w="72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24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Net income (loss)</w:t>
            </w: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24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24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b w:val="1"/>
                <w:bCs w:val="1"/>
                <w:color w:val="auto"/>
              </w:rPr>
              <w:t>Baidu</w:t>
            </w:r>
          </w:p>
        </w:tc>
        <w:tc>
          <w:tcPr>
            <w:tcW w:w="720" w:type="dxa"/>
            <w:vAlign w:val="bottom"/>
            <w:gridSpan w:val="2"/>
            <w:vMerge w:val="restart"/>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6,330</w:t>
            </w:r>
          </w:p>
        </w:tc>
        <w:tc>
          <w:tcPr>
            <w:tcW w:w="5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304</w:t>
            </w: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6,469</w:t>
            </w:r>
          </w:p>
        </w:tc>
        <w:tc>
          <w:tcPr>
            <w:tcW w:w="720" w:type="dxa"/>
            <w:vAlign w:val="bottom"/>
            <w:gridSpan w:val="2"/>
            <w:vMerge w:val="restart"/>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3,869</w:t>
            </w:r>
          </w:p>
        </w:tc>
        <w:tc>
          <w:tcPr>
            <w:tcW w:w="6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109</w:t>
            </w: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3,907</w:t>
            </w:r>
          </w:p>
        </w:tc>
        <w:tc>
          <w:tcPr>
            <w:tcW w:w="700" w:type="dxa"/>
            <w:vAlign w:val="bottom"/>
            <w:gridSpan w:val="2"/>
            <w:vMerge w:val="restart"/>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4,433</w:t>
            </w: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(233)</w:t>
            </w: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4,332</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643</w:t>
            </w:r>
          </w:p>
        </w:tc>
        <w:tc>
          <w:tcPr>
            <w:tcW w:w="8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(34)</w:t>
            </w: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0" w:type="dxa"/>
            <w:vAlign w:val="bottom"/>
          </w:tcPr>
          <w:p>
            <w:pPr>
              <w:spacing w:after="0"/>
              <w:rPr>
                <w:sz w:val="1"/>
                <w:szCs w:val="1"/>
                <w:color w:val="auto"/>
              </w:rPr>
            </w:pPr>
          </w:p>
        </w:tc>
      </w:tr>
      <w:tr>
        <w:trPr>
          <w:trHeight w:val="167"/>
        </w:trPr>
        <w:tc>
          <w:tcPr>
            <w:tcW w:w="1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72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240" w:type="dxa"/>
            <w:vAlign w:val="bottom"/>
          </w:tcPr>
          <w:p>
            <w:pPr>
              <w:spacing w:after="0" w:line="118" w:lineRule="exact"/>
              <w:rPr>
                <w:sz w:val="20"/>
                <w:szCs w:val="20"/>
                <w:color w:val="auto"/>
              </w:rPr>
            </w:pPr>
            <w:r>
              <w:rPr>
                <w:rFonts w:ascii="Times New Roman" w:cs="Times New Roman" w:eastAsia="Times New Roman" w:hAnsi="Times New Roman"/>
                <w:sz w:val="13"/>
                <w:szCs w:val="13"/>
                <w:i w:val="1"/>
                <w:iCs w:val="1"/>
                <w:color w:val="auto"/>
              </w:rPr>
              <w:t>Net margin</w:t>
            </w:r>
          </w:p>
        </w:tc>
        <w:tc>
          <w:tcPr>
            <w:tcW w:w="720" w:type="dxa"/>
            <w:vAlign w:val="bottom"/>
            <w:gridSpan w:val="2"/>
            <w:vMerge w:val="restart"/>
          </w:tcPr>
          <w:p>
            <w:pPr>
              <w:jc w:val="right"/>
              <w:ind w:right="11"/>
              <w:spacing w:after="0"/>
              <w:rPr>
                <w:sz w:val="20"/>
                <w:szCs w:val="20"/>
                <w:color w:val="auto"/>
              </w:rPr>
            </w:pPr>
            <w:r>
              <w:rPr>
                <w:rFonts w:ascii="Times New Roman" w:cs="Times New Roman" w:eastAsia="Times New Roman" w:hAnsi="Times New Roman"/>
                <w:sz w:val="14"/>
                <w:szCs w:val="14"/>
                <w:i w:val="1"/>
                <w:iCs w:val="1"/>
                <w:color w:val="auto"/>
              </w:rPr>
              <w:t>25%</w:t>
            </w: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i w:val="1"/>
                <w:iCs w:val="1"/>
                <w:color w:val="auto"/>
              </w:rPr>
              <w:t>4%</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i w:val="1"/>
                <w:iCs w:val="1"/>
                <w:color w:val="auto"/>
              </w:rPr>
              <w:t>20%</w:t>
            </w:r>
          </w:p>
        </w:tc>
        <w:tc>
          <w:tcPr>
            <w:tcW w:w="720" w:type="dxa"/>
            <w:vAlign w:val="bottom"/>
            <w:gridSpan w:val="2"/>
            <w:vMerge w:val="restart"/>
          </w:tcPr>
          <w:p>
            <w:pPr>
              <w:jc w:val="right"/>
              <w:ind w:right="11"/>
              <w:spacing w:after="0"/>
              <w:rPr>
                <w:sz w:val="20"/>
                <w:szCs w:val="20"/>
                <w:color w:val="auto"/>
              </w:rPr>
            </w:pPr>
            <w:r>
              <w:rPr>
                <w:rFonts w:ascii="Times New Roman" w:cs="Times New Roman" w:eastAsia="Times New Roman" w:hAnsi="Times New Roman"/>
                <w:sz w:val="14"/>
                <w:szCs w:val="14"/>
                <w:i w:val="1"/>
                <w:iCs w:val="1"/>
                <w:color w:val="auto"/>
              </w:rPr>
              <w:t>15%</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i w:val="1"/>
                <w:iCs w:val="1"/>
                <w:color w:val="auto"/>
              </w:rPr>
              <w:t>2%</w:t>
            </w: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i w:val="1"/>
                <w:iCs w:val="1"/>
                <w:color w:val="auto"/>
              </w:rPr>
              <w:t>12%</w:t>
            </w:r>
          </w:p>
        </w:tc>
        <w:tc>
          <w:tcPr>
            <w:tcW w:w="700" w:type="dxa"/>
            <w:vAlign w:val="bottom"/>
            <w:gridSpan w:val="2"/>
            <w:vMerge w:val="restart"/>
          </w:tcPr>
          <w:p>
            <w:pPr>
              <w:jc w:val="right"/>
              <w:ind w:right="11"/>
              <w:spacing w:after="0"/>
              <w:rPr>
                <w:sz w:val="20"/>
                <w:szCs w:val="20"/>
                <w:color w:val="auto"/>
              </w:rPr>
            </w:pPr>
            <w:r>
              <w:rPr>
                <w:rFonts w:ascii="Times New Roman" w:cs="Times New Roman" w:eastAsia="Times New Roman" w:hAnsi="Times New Roman"/>
                <w:sz w:val="14"/>
                <w:szCs w:val="14"/>
                <w:i w:val="1"/>
                <w:iCs w:val="1"/>
                <w:color w:val="auto"/>
              </w:rPr>
              <w:t>17%</w:t>
            </w: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i w:val="1"/>
                <w:iCs w:val="1"/>
                <w:color w:val="auto"/>
              </w:rPr>
              <w:t>(4%)</w:t>
            </w: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i w:val="1"/>
                <w:iCs w:val="1"/>
                <w:color w:val="auto"/>
              </w:rPr>
              <w:t>14%</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24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(non-GAAP)</w:t>
            </w:r>
          </w:p>
        </w:tc>
        <w:tc>
          <w:tcPr>
            <w:tcW w:w="72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24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Adjusted EBITDA</w:t>
            </w:r>
          </w:p>
        </w:tc>
        <w:tc>
          <w:tcPr>
            <w:tcW w:w="720" w:type="dxa"/>
            <w:vAlign w:val="bottom"/>
            <w:gridSpan w:val="2"/>
            <w:shd w:val="clear" w:color="auto" w:fill="CCEEFF"/>
          </w:tcPr>
          <w:p>
            <w:pPr>
              <w:jc w:val="right"/>
              <w:ind w:right="131"/>
              <w:spacing w:after="0" w:line="143" w:lineRule="exact"/>
              <w:rPr>
                <w:sz w:val="20"/>
                <w:szCs w:val="20"/>
                <w:color w:val="auto"/>
              </w:rPr>
            </w:pPr>
            <w:r>
              <w:rPr>
                <w:rFonts w:ascii="Times New Roman" w:cs="Times New Roman" w:eastAsia="Times New Roman" w:hAnsi="Times New Roman"/>
                <w:sz w:val="14"/>
                <w:szCs w:val="14"/>
                <w:b w:val="1"/>
                <w:bCs w:val="1"/>
                <w:color w:val="auto"/>
              </w:rPr>
              <w:t>6,712</w:t>
            </w:r>
          </w:p>
        </w:tc>
        <w:tc>
          <w:tcPr>
            <w:tcW w:w="560" w:type="dxa"/>
            <w:vAlign w:val="bottom"/>
            <w:gridSpan w:val="2"/>
            <w:shd w:val="clear" w:color="auto" w:fill="CCEEFF"/>
          </w:tcPr>
          <w:p>
            <w:pPr>
              <w:jc w:val="right"/>
              <w:ind w:right="200"/>
              <w:spacing w:after="0" w:line="143" w:lineRule="exact"/>
              <w:rPr>
                <w:sz w:val="20"/>
                <w:szCs w:val="20"/>
                <w:color w:val="auto"/>
              </w:rPr>
            </w:pPr>
            <w:r>
              <w:rPr>
                <w:rFonts w:ascii="Times New Roman" w:cs="Times New Roman" w:eastAsia="Times New Roman" w:hAnsi="Times New Roman"/>
                <w:sz w:val="14"/>
                <w:szCs w:val="14"/>
                <w:b w:val="1"/>
                <w:bCs w:val="1"/>
                <w:color w:val="auto"/>
              </w:rPr>
              <w:t>495</w:t>
            </w: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3" w:lineRule="exact"/>
              <w:rPr>
                <w:sz w:val="20"/>
                <w:szCs w:val="20"/>
                <w:color w:val="auto"/>
              </w:rPr>
            </w:pPr>
            <w:r>
              <w:rPr>
                <w:rFonts w:ascii="Times New Roman" w:cs="Times New Roman" w:eastAsia="Times New Roman" w:hAnsi="Times New Roman"/>
                <w:sz w:val="14"/>
                <w:szCs w:val="14"/>
                <w:b w:val="1"/>
                <w:bCs w:val="1"/>
                <w:color w:val="auto"/>
              </w:rPr>
              <w:t>7,209</w:t>
            </w:r>
          </w:p>
        </w:tc>
        <w:tc>
          <w:tcPr>
            <w:tcW w:w="720" w:type="dxa"/>
            <w:vAlign w:val="bottom"/>
            <w:gridSpan w:val="2"/>
            <w:shd w:val="clear" w:color="auto" w:fill="CCEEFF"/>
          </w:tcPr>
          <w:p>
            <w:pPr>
              <w:jc w:val="right"/>
              <w:ind w:right="131"/>
              <w:spacing w:after="0" w:line="143" w:lineRule="exact"/>
              <w:rPr>
                <w:sz w:val="20"/>
                <w:szCs w:val="20"/>
                <w:color w:val="auto"/>
              </w:rPr>
            </w:pPr>
            <w:r>
              <w:rPr>
                <w:rFonts w:ascii="Times New Roman" w:cs="Times New Roman" w:eastAsia="Times New Roman" w:hAnsi="Times New Roman"/>
                <w:sz w:val="14"/>
                <w:szCs w:val="14"/>
                <w:b w:val="1"/>
                <w:bCs w:val="1"/>
                <w:color w:val="auto"/>
              </w:rPr>
              <w:t>4,544</w:t>
            </w:r>
          </w:p>
        </w:tc>
        <w:tc>
          <w:tcPr>
            <w:tcW w:w="620" w:type="dxa"/>
            <w:vAlign w:val="bottom"/>
            <w:gridSpan w:val="2"/>
            <w:shd w:val="clear" w:color="auto" w:fill="CCEEFF"/>
          </w:tcPr>
          <w:p>
            <w:pPr>
              <w:jc w:val="right"/>
              <w:ind w:right="260"/>
              <w:spacing w:after="0" w:line="143" w:lineRule="exact"/>
              <w:rPr>
                <w:sz w:val="20"/>
                <w:szCs w:val="20"/>
                <w:color w:val="auto"/>
              </w:rPr>
            </w:pPr>
            <w:r>
              <w:rPr>
                <w:rFonts w:ascii="Times New Roman" w:cs="Times New Roman" w:eastAsia="Times New Roman" w:hAnsi="Times New Roman"/>
                <w:sz w:val="14"/>
                <w:szCs w:val="14"/>
                <w:b w:val="1"/>
                <w:bCs w:val="1"/>
                <w:color w:val="auto"/>
              </w:rPr>
              <w:t>196</w:t>
            </w: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3" w:lineRule="exact"/>
              <w:rPr>
                <w:sz w:val="20"/>
                <w:szCs w:val="20"/>
                <w:color w:val="auto"/>
              </w:rPr>
            </w:pPr>
            <w:r>
              <w:rPr>
                <w:rFonts w:ascii="Times New Roman" w:cs="Times New Roman" w:eastAsia="Times New Roman" w:hAnsi="Times New Roman"/>
                <w:sz w:val="14"/>
                <w:szCs w:val="14"/>
                <w:b w:val="1"/>
                <w:bCs w:val="1"/>
                <w:color w:val="auto"/>
              </w:rPr>
              <w:t>4,727</w:t>
            </w:r>
          </w:p>
        </w:tc>
        <w:tc>
          <w:tcPr>
            <w:tcW w:w="700" w:type="dxa"/>
            <w:vAlign w:val="bottom"/>
            <w:gridSpan w:val="2"/>
            <w:shd w:val="clear" w:color="auto" w:fill="CCEEFF"/>
          </w:tcPr>
          <w:p>
            <w:pPr>
              <w:jc w:val="right"/>
              <w:ind w:right="111"/>
              <w:spacing w:after="0" w:line="143" w:lineRule="exact"/>
              <w:rPr>
                <w:sz w:val="20"/>
                <w:szCs w:val="20"/>
                <w:color w:val="auto"/>
              </w:rPr>
            </w:pPr>
            <w:r>
              <w:rPr>
                <w:rFonts w:ascii="Times New Roman" w:cs="Times New Roman" w:eastAsia="Times New Roman" w:hAnsi="Times New Roman"/>
                <w:sz w:val="14"/>
                <w:szCs w:val="14"/>
                <w:b w:val="1"/>
                <w:bCs w:val="1"/>
                <w:color w:val="auto"/>
              </w:rPr>
              <w:t>6,050</w:t>
            </w:r>
          </w:p>
        </w:tc>
        <w:tc>
          <w:tcPr>
            <w:tcW w:w="620" w:type="dxa"/>
            <w:vAlign w:val="bottom"/>
            <w:gridSpan w:val="2"/>
            <w:shd w:val="clear" w:color="auto" w:fill="CCEEFF"/>
          </w:tcPr>
          <w:p>
            <w:pPr>
              <w:jc w:val="right"/>
              <w:ind w:right="200"/>
              <w:spacing w:after="0" w:line="143" w:lineRule="exact"/>
              <w:rPr>
                <w:sz w:val="20"/>
                <w:szCs w:val="20"/>
                <w:color w:val="auto"/>
              </w:rPr>
            </w:pPr>
            <w:r>
              <w:rPr>
                <w:rFonts w:ascii="Times New Roman" w:cs="Times New Roman" w:eastAsia="Times New Roman" w:hAnsi="Times New Roman"/>
                <w:sz w:val="14"/>
                <w:szCs w:val="14"/>
                <w:b w:val="1"/>
                <w:bCs w:val="1"/>
                <w:color w:val="auto"/>
              </w:rPr>
              <w:t>(101)</w:t>
            </w: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3" w:lineRule="exact"/>
              <w:rPr>
                <w:sz w:val="20"/>
                <w:szCs w:val="20"/>
                <w:color w:val="auto"/>
              </w:rPr>
            </w:pPr>
            <w:r>
              <w:rPr>
                <w:rFonts w:ascii="Times New Roman" w:cs="Times New Roman" w:eastAsia="Times New Roman" w:hAnsi="Times New Roman"/>
                <w:sz w:val="14"/>
                <w:szCs w:val="14"/>
                <w:b w:val="1"/>
                <w:bCs w:val="1"/>
                <w:color w:val="auto"/>
              </w:rPr>
              <w:t>5,954</w:t>
            </w:r>
          </w:p>
        </w:tc>
        <w:tc>
          <w:tcPr>
            <w:tcW w:w="52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877</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51"/>
              <w:spacing w:after="0" w:line="143" w:lineRule="exact"/>
              <w:rPr>
                <w:sz w:val="20"/>
                <w:szCs w:val="20"/>
                <w:color w:val="auto"/>
              </w:rPr>
            </w:pPr>
            <w:r>
              <w:rPr>
                <w:rFonts w:ascii="Times New Roman" w:cs="Times New Roman" w:eastAsia="Times New Roman" w:hAnsi="Times New Roman"/>
                <w:sz w:val="14"/>
                <w:szCs w:val="14"/>
                <w:b w:val="1"/>
                <w:bCs w:val="1"/>
                <w:color w:val="auto"/>
              </w:rPr>
              <w:t>(15)</w:t>
            </w: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8</w:t>
            </w:r>
          </w:p>
        </w:tc>
        <w:tc>
          <w:tcPr>
            <w:tcW w:w="0" w:type="dxa"/>
            <w:vAlign w:val="bottom"/>
          </w:tcPr>
          <w:p>
            <w:pPr>
              <w:spacing w:after="0"/>
              <w:rPr>
                <w:sz w:val="1"/>
                <w:szCs w:val="1"/>
                <w:color w:val="auto"/>
              </w:rPr>
            </w:pPr>
          </w:p>
        </w:tc>
      </w:tr>
      <w:tr>
        <w:trPr>
          <w:trHeight w:val="118"/>
        </w:trPr>
        <w:tc>
          <w:tcPr>
            <w:tcW w:w="1240" w:type="dxa"/>
            <w:vAlign w:val="bottom"/>
          </w:tcPr>
          <w:p>
            <w:pPr>
              <w:spacing w:after="0" w:line="118" w:lineRule="exact"/>
              <w:rPr>
                <w:sz w:val="20"/>
                <w:szCs w:val="20"/>
                <w:color w:val="auto"/>
              </w:rPr>
            </w:pPr>
            <w:r>
              <w:rPr>
                <w:rFonts w:ascii="Times New Roman" w:cs="Times New Roman" w:eastAsia="Times New Roman" w:hAnsi="Times New Roman"/>
                <w:sz w:val="13"/>
                <w:szCs w:val="13"/>
                <w:i w:val="1"/>
                <w:iCs w:val="1"/>
                <w:color w:val="auto"/>
              </w:rPr>
              <w:t>Adjusted EBITDA</w:t>
            </w:r>
          </w:p>
        </w:tc>
        <w:tc>
          <w:tcPr>
            <w:tcW w:w="720" w:type="dxa"/>
            <w:vAlign w:val="bottom"/>
            <w:gridSpan w:val="2"/>
            <w:vMerge w:val="restart"/>
          </w:tcPr>
          <w:p>
            <w:pPr>
              <w:jc w:val="right"/>
              <w:ind w:right="11"/>
              <w:spacing w:after="0"/>
              <w:rPr>
                <w:sz w:val="20"/>
                <w:szCs w:val="20"/>
                <w:color w:val="auto"/>
              </w:rPr>
            </w:pPr>
            <w:r>
              <w:rPr>
                <w:rFonts w:ascii="Times New Roman" w:cs="Times New Roman" w:eastAsia="Times New Roman" w:hAnsi="Times New Roman"/>
                <w:sz w:val="14"/>
                <w:szCs w:val="14"/>
                <w:i w:val="1"/>
                <w:iCs w:val="1"/>
                <w:color w:val="auto"/>
              </w:rPr>
              <w:t>26%</w:t>
            </w: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i w:val="1"/>
                <w:iCs w:val="1"/>
                <w:color w:val="auto"/>
              </w:rPr>
              <w:t>7%</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i w:val="1"/>
                <w:iCs w:val="1"/>
                <w:color w:val="auto"/>
              </w:rPr>
              <w:t>22%</w:t>
            </w:r>
          </w:p>
        </w:tc>
        <w:tc>
          <w:tcPr>
            <w:tcW w:w="720" w:type="dxa"/>
            <w:vAlign w:val="bottom"/>
            <w:gridSpan w:val="2"/>
            <w:vMerge w:val="restart"/>
          </w:tcPr>
          <w:p>
            <w:pPr>
              <w:jc w:val="right"/>
              <w:ind w:right="11"/>
              <w:spacing w:after="0"/>
              <w:rPr>
                <w:sz w:val="20"/>
                <w:szCs w:val="20"/>
                <w:color w:val="auto"/>
              </w:rPr>
            </w:pPr>
            <w:r>
              <w:rPr>
                <w:rFonts w:ascii="Times New Roman" w:cs="Times New Roman" w:eastAsia="Times New Roman" w:hAnsi="Times New Roman"/>
                <w:sz w:val="14"/>
                <w:szCs w:val="14"/>
                <w:i w:val="1"/>
                <w:iCs w:val="1"/>
                <w:color w:val="auto"/>
              </w:rPr>
              <w:t>17%</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i w:val="1"/>
                <w:iCs w:val="1"/>
                <w:color w:val="auto"/>
              </w:rPr>
              <w:t>3%</w:t>
            </w: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i w:val="1"/>
                <w:iCs w:val="1"/>
                <w:color w:val="auto"/>
              </w:rPr>
              <w:t>14%</w:t>
            </w:r>
          </w:p>
        </w:tc>
        <w:tc>
          <w:tcPr>
            <w:tcW w:w="700" w:type="dxa"/>
            <w:vAlign w:val="bottom"/>
            <w:gridSpan w:val="2"/>
            <w:vMerge w:val="restart"/>
          </w:tcPr>
          <w:p>
            <w:pPr>
              <w:jc w:val="right"/>
              <w:ind w:right="11"/>
              <w:spacing w:after="0"/>
              <w:rPr>
                <w:sz w:val="20"/>
                <w:szCs w:val="20"/>
                <w:color w:val="auto"/>
              </w:rPr>
            </w:pPr>
            <w:r>
              <w:rPr>
                <w:rFonts w:ascii="Times New Roman" w:cs="Times New Roman" w:eastAsia="Times New Roman" w:hAnsi="Times New Roman"/>
                <w:sz w:val="14"/>
                <w:szCs w:val="14"/>
                <w:i w:val="1"/>
                <w:iCs w:val="1"/>
                <w:color w:val="auto"/>
              </w:rPr>
              <w:t>23%</w:t>
            </w: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i w:val="1"/>
                <w:iCs w:val="1"/>
                <w:color w:val="auto"/>
              </w:rPr>
              <w:t>(2%)</w:t>
            </w: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i w:val="1"/>
                <w:iCs w:val="1"/>
                <w:color w:val="auto"/>
              </w:rPr>
              <w:t>19%</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24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margin</w:t>
            </w:r>
          </w:p>
        </w:tc>
        <w:tc>
          <w:tcPr>
            <w:tcW w:w="720" w:type="dxa"/>
            <w:vAlign w:val="bottom"/>
            <w:gridSpan w:val="2"/>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31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(1)    Includes share-based compensation as follows:</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xml:space="preserve">     </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124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Cost of revenue</w:t>
            </w:r>
          </w:p>
        </w:tc>
        <w:tc>
          <w:tcPr>
            <w:tcW w:w="720" w:type="dxa"/>
            <w:vAlign w:val="bottom"/>
            <w:gridSpan w:val="2"/>
            <w:shd w:val="clear" w:color="auto" w:fill="CCEEFF"/>
          </w:tcPr>
          <w:p>
            <w:pPr>
              <w:jc w:val="right"/>
              <w:ind w:right="131"/>
              <w:spacing w:after="0" w:line="143" w:lineRule="exact"/>
              <w:rPr>
                <w:sz w:val="20"/>
                <w:szCs w:val="20"/>
                <w:color w:val="auto"/>
              </w:rPr>
            </w:pPr>
            <w:r>
              <w:rPr>
                <w:rFonts w:ascii="Times New Roman" w:cs="Times New Roman" w:eastAsia="Times New Roman" w:hAnsi="Times New Roman"/>
                <w:sz w:val="14"/>
                <w:szCs w:val="14"/>
                <w:color w:val="auto"/>
              </w:rPr>
              <w:t>50</w:t>
            </w:r>
          </w:p>
        </w:tc>
        <w:tc>
          <w:tcPr>
            <w:tcW w:w="560" w:type="dxa"/>
            <w:vAlign w:val="bottom"/>
            <w:gridSpan w:val="2"/>
            <w:shd w:val="clear" w:color="auto" w:fill="CCEEFF"/>
          </w:tcPr>
          <w:p>
            <w:pPr>
              <w:jc w:val="right"/>
              <w:ind w:right="200"/>
              <w:spacing w:after="0" w:line="143" w:lineRule="exact"/>
              <w:rPr>
                <w:sz w:val="20"/>
                <w:szCs w:val="20"/>
                <w:color w:val="auto"/>
              </w:rPr>
            </w:pPr>
            <w:r>
              <w:rPr>
                <w:rFonts w:ascii="Times New Roman" w:cs="Times New Roman" w:eastAsia="Times New Roman" w:hAnsi="Times New Roman"/>
                <w:sz w:val="14"/>
                <w:szCs w:val="14"/>
                <w:color w:val="auto"/>
              </w:rPr>
              <w:t>27</w:t>
            </w: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3" w:lineRule="exact"/>
              <w:rPr>
                <w:sz w:val="20"/>
                <w:szCs w:val="20"/>
                <w:color w:val="auto"/>
              </w:rPr>
            </w:pPr>
            <w:r>
              <w:rPr>
                <w:rFonts w:ascii="Times New Roman" w:cs="Times New Roman" w:eastAsia="Times New Roman" w:hAnsi="Times New Roman"/>
                <w:sz w:val="14"/>
                <w:szCs w:val="14"/>
                <w:color w:val="auto"/>
              </w:rPr>
              <w:t>77</w:t>
            </w:r>
          </w:p>
        </w:tc>
        <w:tc>
          <w:tcPr>
            <w:tcW w:w="52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56</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60"/>
              <w:spacing w:after="0" w:line="143" w:lineRule="exact"/>
              <w:rPr>
                <w:sz w:val="20"/>
                <w:szCs w:val="20"/>
                <w:color w:val="auto"/>
              </w:rPr>
            </w:pPr>
            <w:r>
              <w:rPr>
                <w:rFonts w:ascii="Times New Roman" w:cs="Times New Roman" w:eastAsia="Times New Roman" w:hAnsi="Times New Roman"/>
                <w:sz w:val="14"/>
                <w:szCs w:val="14"/>
                <w:color w:val="auto"/>
              </w:rPr>
              <w:t>23</w:t>
            </w: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79</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11"/>
              <w:spacing w:after="0" w:line="143" w:lineRule="exact"/>
              <w:rPr>
                <w:sz w:val="20"/>
                <w:szCs w:val="20"/>
                <w:color w:val="auto"/>
              </w:rPr>
            </w:pPr>
            <w:r>
              <w:rPr>
                <w:rFonts w:ascii="Times New Roman" w:cs="Times New Roman" w:eastAsia="Times New Roman" w:hAnsi="Times New Roman"/>
                <w:sz w:val="14"/>
                <w:szCs w:val="14"/>
                <w:color w:val="auto"/>
              </w:rPr>
              <w:t>59</w:t>
            </w:r>
          </w:p>
        </w:tc>
        <w:tc>
          <w:tcPr>
            <w:tcW w:w="38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23</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3" w:lineRule="exact"/>
              <w:rPr>
                <w:sz w:val="20"/>
                <w:szCs w:val="20"/>
                <w:color w:val="auto"/>
              </w:rPr>
            </w:pPr>
            <w:r>
              <w:rPr>
                <w:rFonts w:ascii="Times New Roman" w:cs="Times New Roman" w:eastAsia="Times New Roman" w:hAnsi="Times New Roman"/>
                <w:sz w:val="14"/>
                <w:szCs w:val="14"/>
                <w:color w:val="auto"/>
              </w:rPr>
              <w:t>82</w:t>
            </w:r>
          </w:p>
        </w:tc>
        <w:tc>
          <w:tcPr>
            <w:tcW w:w="52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11"/>
              <w:spacing w:after="0" w:line="143" w:lineRule="exact"/>
              <w:rPr>
                <w:sz w:val="20"/>
                <w:szCs w:val="20"/>
                <w:color w:val="auto"/>
              </w:rPr>
            </w:pPr>
            <w:r>
              <w:rPr>
                <w:rFonts w:ascii="Times New Roman" w:cs="Times New Roman" w:eastAsia="Times New Roman" w:hAnsi="Times New Roman"/>
                <w:sz w:val="14"/>
                <w:szCs w:val="14"/>
                <w:color w:val="auto"/>
              </w:rPr>
              <w:t>3</w:t>
            </w: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1240" w:type="dxa"/>
            <w:vAlign w:val="bottom"/>
          </w:tcPr>
          <w:p>
            <w:pPr>
              <w:ind w:left="140"/>
              <w:spacing w:after="0" w:line="121" w:lineRule="exact"/>
              <w:rPr>
                <w:sz w:val="20"/>
                <w:szCs w:val="20"/>
                <w:color w:val="auto"/>
              </w:rPr>
            </w:pPr>
            <w:r>
              <w:rPr>
                <w:rFonts w:ascii="Times New Roman" w:cs="Times New Roman" w:eastAsia="Times New Roman" w:hAnsi="Times New Roman"/>
                <w:sz w:val="13"/>
                <w:szCs w:val="13"/>
                <w:color w:val="auto"/>
              </w:rPr>
              <w:t>Selling, general</w:t>
            </w: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240" w:type="dxa"/>
            <w:vAlign w:val="bottom"/>
          </w:tcPr>
          <w:p>
            <w:pPr>
              <w:ind w:left="280"/>
              <w:spacing w:after="0" w:line="143" w:lineRule="exact"/>
              <w:rPr>
                <w:sz w:val="20"/>
                <w:szCs w:val="20"/>
                <w:color w:val="auto"/>
              </w:rPr>
            </w:pPr>
            <w:r>
              <w:rPr>
                <w:rFonts w:ascii="Times New Roman" w:cs="Times New Roman" w:eastAsia="Times New Roman" w:hAnsi="Times New Roman"/>
                <w:sz w:val="14"/>
                <w:szCs w:val="14"/>
                <w:color w:val="auto"/>
              </w:rPr>
              <w:t>and</w:t>
            </w:r>
          </w:p>
        </w:tc>
        <w:tc>
          <w:tcPr>
            <w:tcW w:w="720" w:type="dxa"/>
            <w:vAlign w:val="bottom"/>
            <w:gridSpan w:val="2"/>
            <w:vMerge w:val="restart"/>
          </w:tcPr>
          <w:p>
            <w:pPr>
              <w:jc w:val="right"/>
              <w:ind w:right="131"/>
              <w:spacing w:after="0"/>
              <w:rPr>
                <w:sz w:val="20"/>
                <w:szCs w:val="20"/>
                <w:color w:val="auto"/>
              </w:rPr>
            </w:pPr>
            <w:r>
              <w:rPr>
                <w:rFonts w:ascii="Times New Roman" w:cs="Times New Roman" w:eastAsia="Times New Roman" w:hAnsi="Times New Roman"/>
                <w:sz w:val="14"/>
                <w:szCs w:val="14"/>
                <w:color w:val="auto"/>
              </w:rPr>
              <w:t>257</w:t>
            </w:r>
          </w:p>
        </w:tc>
        <w:tc>
          <w:tcPr>
            <w:tcW w:w="5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56</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313</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200" w:type="dxa"/>
            <w:vAlign w:val="bottom"/>
          </w:tcPr>
          <w:p>
            <w:pPr>
              <w:spacing w:after="0"/>
              <w:rPr>
                <w:sz w:val="12"/>
                <w:szCs w:val="12"/>
                <w:color w:val="auto"/>
              </w:rPr>
            </w:pPr>
          </w:p>
        </w:tc>
        <w:tc>
          <w:tcPr>
            <w:tcW w:w="6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33</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200" w:type="dxa"/>
            <w:vAlign w:val="bottom"/>
          </w:tcPr>
          <w:p>
            <w:pPr>
              <w:spacing w:after="0"/>
              <w:rPr>
                <w:sz w:val="12"/>
                <w:szCs w:val="12"/>
                <w:color w:val="auto"/>
              </w:rPr>
            </w:pPr>
          </w:p>
        </w:tc>
        <w:tc>
          <w:tcPr>
            <w:tcW w:w="700" w:type="dxa"/>
            <w:vAlign w:val="bottom"/>
            <w:gridSpan w:val="2"/>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rPr>
              <w:t>161</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190</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2"/>
                <w:szCs w:val="12"/>
                <w:color w:val="auto"/>
              </w:rPr>
            </w:pPr>
          </w:p>
        </w:tc>
        <w:tc>
          <w:tcPr>
            <w:tcW w:w="540" w:type="dxa"/>
            <w:vAlign w:val="bottom"/>
            <w:gridSpan w:val="2"/>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rPr>
              <w:t>4</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2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administrative</w:t>
            </w:r>
          </w:p>
        </w:tc>
        <w:tc>
          <w:tcPr>
            <w:tcW w:w="72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240" w:type="dxa"/>
            <w:vAlign w:val="bottom"/>
            <w:shd w:val="clear" w:color="auto" w:fill="CCEEFF"/>
          </w:tcPr>
          <w:p>
            <w:pPr>
              <w:ind w:left="140"/>
              <w:spacing w:after="0" w:line="121" w:lineRule="exact"/>
              <w:rPr>
                <w:sz w:val="20"/>
                <w:szCs w:val="20"/>
                <w:color w:val="auto"/>
              </w:rPr>
            </w:pPr>
            <w:r>
              <w:rPr>
                <w:rFonts w:ascii="Times New Roman" w:cs="Times New Roman" w:eastAsia="Times New Roman" w:hAnsi="Times New Roman"/>
                <w:sz w:val="13"/>
                <w:szCs w:val="13"/>
                <w:color w:val="auto"/>
              </w:rPr>
              <w:t>Research and</w:t>
            </w:r>
          </w:p>
        </w:tc>
        <w:tc>
          <w:tcPr>
            <w:tcW w:w="720" w:type="dxa"/>
            <w:vAlign w:val="bottom"/>
            <w:gridSpan w:val="2"/>
            <w:vMerge w:val="restart"/>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329</w:t>
            </w:r>
          </w:p>
        </w:tc>
        <w:tc>
          <w:tcPr>
            <w:tcW w:w="5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32</w:t>
            </w: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361</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20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30</w:t>
            </w:r>
          </w:p>
        </w:tc>
        <w:tc>
          <w:tcPr>
            <w:tcW w:w="4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2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265</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291</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w:t>
            </w:r>
          </w:p>
        </w:tc>
        <w:tc>
          <w:tcPr>
            <w:tcW w:w="4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development</w:t>
            </w:r>
          </w:p>
        </w:tc>
        <w:tc>
          <w:tcPr>
            <w:tcW w:w="72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40"/>
              <w:spacing w:after="0" w:line="147" w:lineRule="exact"/>
              <w:rPr>
                <w:sz w:val="20"/>
                <w:szCs w:val="20"/>
                <w:color w:val="auto"/>
              </w:rPr>
            </w:pPr>
            <w:r>
              <w:rPr>
                <w:rFonts w:ascii="Times New Roman" w:cs="Times New Roman" w:eastAsia="Times New Roman" w:hAnsi="Times New Roman"/>
                <w:sz w:val="14"/>
                <w:szCs w:val="14"/>
                <w:color w:val="auto"/>
              </w:rPr>
              <w:t>Total share-based</w:t>
            </w: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1240" w:type="dxa"/>
            <w:vAlign w:val="bottom"/>
            <w:vMerge w:val="continue"/>
          </w:tcPr>
          <w:p>
            <w:pPr>
              <w:spacing w:after="0"/>
              <w:rPr>
                <w:sz w:val="10"/>
                <w:szCs w:val="10"/>
                <w:color w:val="auto"/>
              </w:rPr>
            </w:pPr>
          </w:p>
        </w:tc>
        <w:tc>
          <w:tcPr>
            <w:tcW w:w="720" w:type="dxa"/>
            <w:vAlign w:val="bottom"/>
            <w:gridSpan w:val="2"/>
            <w:vMerge w:val="restart"/>
          </w:tcPr>
          <w:p>
            <w:pPr>
              <w:jc w:val="right"/>
              <w:ind w:right="131"/>
              <w:spacing w:after="0"/>
              <w:rPr>
                <w:sz w:val="20"/>
                <w:szCs w:val="20"/>
                <w:color w:val="auto"/>
              </w:rPr>
            </w:pPr>
            <w:r>
              <w:rPr>
                <w:rFonts w:ascii="Times New Roman" w:cs="Times New Roman" w:eastAsia="Times New Roman" w:hAnsi="Times New Roman"/>
                <w:sz w:val="14"/>
                <w:szCs w:val="14"/>
                <w:color w:val="auto"/>
              </w:rPr>
              <w:t>636</w:t>
            </w:r>
          </w:p>
        </w:tc>
        <w:tc>
          <w:tcPr>
            <w:tcW w:w="5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115</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751</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200" w:type="dxa"/>
            <w:vAlign w:val="bottom"/>
          </w:tcPr>
          <w:p>
            <w:pPr>
              <w:spacing w:after="0"/>
              <w:rPr>
                <w:sz w:val="10"/>
                <w:szCs w:val="10"/>
                <w:color w:val="auto"/>
              </w:rPr>
            </w:pPr>
          </w:p>
        </w:tc>
        <w:tc>
          <w:tcPr>
            <w:tcW w:w="6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86</w:t>
            </w: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200" w:type="dxa"/>
            <w:vAlign w:val="bottom"/>
          </w:tcPr>
          <w:p>
            <w:pPr>
              <w:spacing w:after="0"/>
              <w:rPr>
                <w:sz w:val="10"/>
                <w:szCs w:val="10"/>
                <w:color w:val="auto"/>
              </w:rPr>
            </w:pPr>
          </w:p>
        </w:tc>
        <w:tc>
          <w:tcPr>
            <w:tcW w:w="700" w:type="dxa"/>
            <w:vAlign w:val="bottom"/>
            <w:gridSpan w:val="2"/>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rPr>
              <w:t>485</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563</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Pr>
          <w:p>
            <w:pPr>
              <w:spacing w:after="0"/>
              <w:rPr>
                <w:sz w:val="10"/>
                <w:szCs w:val="10"/>
                <w:color w:val="auto"/>
              </w:rPr>
            </w:pPr>
          </w:p>
        </w:tc>
        <w:tc>
          <w:tcPr>
            <w:tcW w:w="540" w:type="dxa"/>
            <w:vAlign w:val="bottom"/>
            <w:gridSpan w:val="2"/>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rPr>
              <w:t>11</w:t>
            </w: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2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compensation</w:t>
            </w:r>
          </w:p>
        </w:tc>
        <w:tc>
          <w:tcPr>
            <w:tcW w:w="720" w:type="dxa"/>
            <w:vAlign w:val="bottom"/>
            <w:gridSpan w:val="2"/>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74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(2)    Relates to intersegment eliminations and adjustments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2"/>
              </w:rPr>
              <w:t>    </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446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(3)    Relates to the net income attributable to iQIYI noncontrolling interests</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2"/>
              </w:rPr>
              <w:t>    </w:t>
            </w: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020"/>
          </w:cols>
          <w:pgMar w:left="640" w:top="262"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9310" cy="37465"/>
                    </a:xfrm>
                    <a:prstGeom prst="rect">
                      <a:avLst/>
                    </a:prstGeom>
                    <a:noFill/>
                  </pic:spPr>
                </pic:pic>
              </a:graphicData>
            </a:graphic>
          </wp:anchor>
        </w:drawing>
        <w:t>Baidu, Inc.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202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Three months ended</w:t>
            </w:r>
          </w:p>
        </w:tc>
        <w:tc>
          <w:tcPr>
            <w:tcW w:w="214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Three months ended</w:t>
            </w:r>
          </w:p>
        </w:tc>
        <w:tc>
          <w:tcPr>
            <w:tcW w:w="208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170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0" w:type="dxa"/>
            <w:vAlign w:val="bottom"/>
          </w:tcPr>
          <w:p>
            <w:pPr>
              <w:spacing w:after="0"/>
              <w:rPr>
                <w:sz w:val="1"/>
                <w:szCs w:val="1"/>
                <w:color w:val="auto"/>
              </w:rPr>
            </w:pPr>
          </w:p>
        </w:tc>
      </w:tr>
      <w:tr>
        <w:trPr>
          <w:trHeight w:val="167"/>
        </w:trPr>
        <w:tc>
          <w:tcPr>
            <w:tcW w:w="2660" w:type="dxa"/>
            <w:vAlign w:val="bottom"/>
          </w:tcPr>
          <w:p>
            <w:pPr>
              <w:spacing w:after="0"/>
              <w:rPr>
                <w:sz w:val="14"/>
                <w:szCs w:val="14"/>
                <w:color w:val="auto"/>
              </w:rPr>
            </w:pPr>
          </w:p>
        </w:tc>
        <w:tc>
          <w:tcPr>
            <w:tcW w:w="18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March 31, 2025 (RMB)</w:t>
            </w:r>
          </w:p>
        </w:tc>
        <w:tc>
          <w:tcPr>
            <w:tcW w:w="160" w:type="dxa"/>
            <w:vAlign w:val="bottom"/>
          </w:tcPr>
          <w:p>
            <w:pPr>
              <w:spacing w:after="0"/>
              <w:rPr>
                <w:sz w:val="14"/>
                <w:szCs w:val="14"/>
                <w:color w:val="auto"/>
              </w:rPr>
            </w:pPr>
          </w:p>
        </w:tc>
        <w:tc>
          <w:tcPr>
            <w:tcW w:w="19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December 31, 2025 (RMB)</w:t>
            </w:r>
          </w:p>
        </w:tc>
        <w:tc>
          <w:tcPr>
            <w:tcW w:w="160" w:type="dxa"/>
            <w:vAlign w:val="bottom"/>
          </w:tcPr>
          <w:p>
            <w:pPr>
              <w:spacing w:after="0"/>
              <w:rPr>
                <w:sz w:val="14"/>
                <w:szCs w:val="14"/>
                <w:color w:val="auto"/>
              </w:rPr>
            </w:pPr>
          </w:p>
        </w:tc>
        <w:tc>
          <w:tcPr>
            <w:tcW w:w="19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March 31, 2026 (RMB)</w:t>
            </w:r>
          </w:p>
        </w:tc>
        <w:tc>
          <w:tcPr>
            <w:tcW w:w="160" w:type="dxa"/>
            <w:vAlign w:val="bottom"/>
          </w:tcPr>
          <w:p>
            <w:pPr>
              <w:spacing w:after="0"/>
              <w:rPr>
                <w:sz w:val="14"/>
                <w:szCs w:val="14"/>
                <w:color w:val="auto"/>
              </w:rPr>
            </w:pPr>
          </w:p>
        </w:tc>
        <w:tc>
          <w:tcPr>
            <w:tcW w:w="16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March 31, 2026 (US$)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2660" w:type="dxa"/>
            <w:vAlign w:val="bottom"/>
          </w:tcPr>
          <w:p>
            <w:pPr>
              <w:spacing w:after="0"/>
              <w:rPr>
                <w:sz w:val="9"/>
                <w:szCs w:val="9"/>
                <w:color w:val="auto"/>
              </w:rPr>
            </w:pPr>
          </w:p>
        </w:tc>
        <w:tc>
          <w:tcPr>
            <w:tcW w:w="720" w:type="dxa"/>
            <w:vAlign w:val="bottom"/>
            <w:gridSpan w:val="2"/>
          </w:tcPr>
          <w:p>
            <w:pPr>
              <w:jc w:val="center"/>
              <w:ind w:right="160"/>
              <w:spacing w:after="0" w:line="111" w:lineRule="exact"/>
              <w:rPr>
                <w:sz w:val="20"/>
                <w:szCs w:val="20"/>
                <w:color w:val="auto"/>
              </w:rPr>
            </w:pPr>
            <w:r>
              <w:rPr>
                <w:rFonts w:ascii="Times New Roman" w:cs="Times New Roman" w:eastAsia="Times New Roman" w:hAnsi="Times New Roman"/>
                <w:sz w:val="12"/>
                <w:szCs w:val="12"/>
                <w:b w:val="1"/>
                <w:bCs w:val="1"/>
                <w:color w:val="auto"/>
              </w:rPr>
              <w:t>Baidu</w:t>
            </w: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Baidu,</w:t>
            </w:r>
          </w:p>
        </w:tc>
        <w:tc>
          <w:tcPr>
            <w:tcW w:w="760" w:type="dxa"/>
            <w:vAlign w:val="bottom"/>
            <w:gridSpan w:val="2"/>
          </w:tcPr>
          <w:p>
            <w:pPr>
              <w:jc w:val="center"/>
              <w:ind w:right="160"/>
              <w:spacing w:after="0" w:line="111" w:lineRule="exact"/>
              <w:rPr>
                <w:sz w:val="20"/>
                <w:szCs w:val="20"/>
                <w:color w:val="auto"/>
              </w:rPr>
            </w:pPr>
            <w:r>
              <w:rPr>
                <w:rFonts w:ascii="Times New Roman" w:cs="Times New Roman" w:eastAsia="Times New Roman" w:hAnsi="Times New Roman"/>
                <w:sz w:val="12"/>
                <w:szCs w:val="12"/>
                <w:b w:val="1"/>
                <w:bCs w:val="1"/>
                <w:color w:val="auto"/>
              </w:rPr>
              <w:t>Baidu</w:t>
            </w: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Baidu,</w:t>
            </w:r>
          </w:p>
        </w:tc>
        <w:tc>
          <w:tcPr>
            <w:tcW w:w="700" w:type="dxa"/>
            <w:vAlign w:val="bottom"/>
            <w:gridSpan w:val="2"/>
          </w:tcPr>
          <w:p>
            <w:pPr>
              <w:jc w:val="center"/>
              <w:ind w:right="160"/>
              <w:spacing w:after="0" w:line="111" w:lineRule="exact"/>
              <w:rPr>
                <w:sz w:val="20"/>
                <w:szCs w:val="20"/>
                <w:color w:val="auto"/>
              </w:rPr>
            </w:pPr>
            <w:r>
              <w:rPr>
                <w:rFonts w:ascii="Times New Roman" w:cs="Times New Roman" w:eastAsia="Times New Roman" w:hAnsi="Times New Roman"/>
                <w:sz w:val="12"/>
                <w:szCs w:val="12"/>
                <w:b w:val="1"/>
                <w:bCs w:val="1"/>
                <w:color w:val="auto"/>
              </w:rPr>
              <w:t>Baidu</w:t>
            </w: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Baidu,</w:t>
            </w:r>
          </w:p>
        </w:tc>
        <w:tc>
          <w:tcPr>
            <w:tcW w:w="600" w:type="dxa"/>
            <w:vAlign w:val="bottom"/>
            <w:gridSpan w:val="2"/>
          </w:tcPr>
          <w:p>
            <w:pPr>
              <w:jc w:val="center"/>
              <w:ind w:right="160"/>
              <w:spacing w:after="0" w:line="111" w:lineRule="exact"/>
              <w:rPr>
                <w:sz w:val="20"/>
                <w:szCs w:val="20"/>
                <w:color w:val="auto"/>
              </w:rPr>
            </w:pPr>
            <w:r>
              <w:rPr>
                <w:rFonts w:ascii="Times New Roman" w:cs="Times New Roman" w:eastAsia="Times New Roman" w:hAnsi="Times New Roman"/>
                <w:sz w:val="12"/>
                <w:szCs w:val="12"/>
                <w:b w:val="1"/>
                <w:bCs w:val="1"/>
                <w:color w:val="auto"/>
              </w:rPr>
              <w:t>Baidu</w:t>
            </w: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6"/>
              </w:rPr>
              <w:t>Baidu,</w:t>
            </w:r>
          </w:p>
        </w:tc>
        <w:tc>
          <w:tcPr>
            <w:tcW w:w="0" w:type="dxa"/>
            <w:vAlign w:val="bottom"/>
          </w:tcPr>
          <w:p>
            <w:pPr>
              <w:spacing w:after="0"/>
              <w:rPr>
                <w:sz w:val="1"/>
                <w:szCs w:val="1"/>
                <w:color w:val="auto"/>
              </w:rPr>
            </w:pPr>
          </w:p>
        </w:tc>
      </w:tr>
      <w:tr>
        <w:trPr>
          <w:trHeight w:val="143"/>
        </w:trPr>
        <w:tc>
          <w:tcPr>
            <w:tcW w:w="2660" w:type="dxa"/>
            <w:vAlign w:val="bottom"/>
          </w:tcPr>
          <w:p>
            <w:pPr>
              <w:spacing w:after="0"/>
              <w:rPr>
                <w:sz w:val="12"/>
                <w:szCs w:val="12"/>
                <w:color w:val="auto"/>
              </w:rPr>
            </w:pPr>
          </w:p>
        </w:tc>
        <w:tc>
          <w:tcPr>
            <w:tcW w:w="720" w:type="dxa"/>
            <w:vAlign w:val="bottom"/>
            <w:gridSpan w:val="2"/>
          </w:tcPr>
          <w:p>
            <w:pPr>
              <w:jc w:val="center"/>
              <w:ind w:right="180"/>
              <w:spacing w:after="0" w:line="143" w:lineRule="exact"/>
              <w:rPr>
                <w:sz w:val="20"/>
                <w:szCs w:val="20"/>
                <w:color w:val="auto"/>
              </w:rPr>
            </w:pPr>
            <w:r>
              <w:rPr>
                <w:rFonts w:ascii="Times New Roman" w:cs="Times New Roman" w:eastAsia="Times New Roman" w:hAnsi="Times New Roman"/>
                <w:sz w:val="14"/>
                <w:szCs w:val="14"/>
                <w:b w:val="1"/>
                <w:bCs w:val="1"/>
                <w:color w:val="auto"/>
                <w:w w:val="96"/>
              </w:rPr>
              <w:t>excl.</w:t>
            </w:r>
          </w:p>
        </w:tc>
        <w:tc>
          <w:tcPr>
            <w:tcW w:w="6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4"/>
              </w:rPr>
              <w:t>iQIYI</w:t>
            </w:r>
          </w:p>
        </w:tc>
        <w:tc>
          <w:tcPr>
            <w:tcW w:w="700" w:type="dxa"/>
            <w:vAlign w:val="bottom"/>
            <w:gridSpan w:val="2"/>
            <w:vMerge w:val="continue"/>
          </w:tcPr>
          <w:p>
            <w:pPr>
              <w:spacing w:after="0"/>
              <w:rPr>
                <w:sz w:val="12"/>
                <w:szCs w:val="12"/>
                <w:color w:val="auto"/>
              </w:rPr>
            </w:pPr>
          </w:p>
        </w:tc>
        <w:tc>
          <w:tcPr>
            <w:tcW w:w="760" w:type="dxa"/>
            <w:vAlign w:val="bottom"/>
            <w:gridSpan w:val="2"/>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rPr>
              <w:t>excl.</w:t>
            </w:r>
          </w:p>
        </w:tc>
        <w:tc>
          <w:tcPr>
            <w:tcW w:w="6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4"/>
              </w:rPr>
              <w:t>iQIYI</w:t>
            </w:r>
          </w:p>
        </w:tc>
        <w:tc>
          <w:tcPr>
            <w:tcW w:w="760" w:type="dxa"/>
            <w:vAlign w:val="bottom"/>
            <w:gridSpan w:val="2"/>
            <w:vMerge w:val="continue"/>
          </w:tcPr>
          <w:p>
            <w:pPr>
              <w:spacing w:after="0"/>
              <w:rPr>
                <w:sz w:val="12"/>
                <w:szCs w:val="12"/>
                <w:color w:val="auto"/>
              </w:rPr>
            </w:pPr>
          </w:p>
        </w:tc>
        <w:tc>
          <w:tcPr>
            <w:tcW w:w="700" w:type="dxa"/>
            <w:vAlign w:val="bottom"/>
            <w:gridSpan w:val="2"/>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6"/>
              </w:rPr>
              <w:t>excl.</w:t>
            </w:r>
          </w:p>
        </w:tc>
        <w:tc>
          <w:tcPr>
            <w:tcW w:w="6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iQIYI</w:t>
            </w:r>
          </w:p>
        </w:tc>
        <w:tc>
          <w:tcPr>
            <w:tcW w:w="700" w:type="dxa"/>
            <w:vAlign w:val="bottom"/>
            <w:gridSpan w:val="2"/>
            <w:vMerge w:val="continue"/>
          </w:tcPr>
          <w:p>
            <w:pPr>
              <w:spacing w:after="0"/>
              <w:rPr>
                <w:sz w:val="12"/>
                <w:szCs w:val="12"/>
                <w:color w:val="auto"/>
              </w:rPr>
            </w:pPr>
          </w:p>
        </w:tc>
        <w:tc>
          <w:tcPr>
            <w:tcW w:w="600" w:type="dxa"/>
            <w:vAlign w:val="bottom"/>
            <w:gridSpan w:val="2"/>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rPr>
              <w:t>excl.</w:t>
            </w:r>
          </w:p>
        </w:tc>
        <w:tc>
          <w:tcPr>
            <w:tcW w:w="5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iQIYI</w:t>
            </w: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iQIYI</w:t>
            </w:r>
          </w:p>
        </w:tc>
        <w:tc>
          <w:tcPr>
            <w:tcW w:w="600" w:type="dxa"/>
            <w:vAlign w:val="bottom"/>
            <w:gridSpan w:val="2"/>
            <w:vMerge w:val="continue"/>
          </w:tcPr>
          <w:p>
            <w:pPr>
              <w:spacing w:after="0"/>
              <w:rPr>
                <w:sz w:val="14"/>
                <w:szCs w:val="14"/>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Inc.</w:t>
            </w: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iQIYI</w:t>
            </w:r>
          </w:p>
        </w:tc>
        <w:tc>
          <w:tcPr>
            <w:tcW w:w="620" w:type="dxa"/>
            <w:vAlign w:val="bottom"/>
            <w:gridSpan w:val="2"/>
            <w:vMerge w:val="continue"/>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Inc.</w:t>
            </w: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4"/>
              </w:rPr>
              <w:t>iQIYI</w:t>
            </w:r>
          </w:p>
        </w:tc>
        <w:tc>
          <w:tcPr>
            <w:tcW w:w="680" w:type="dxa"/>
            <w:vAlign w:val="bottom"/>
            <w:gridSpan w:val="2"/>
            <w:vMerge w:val="continue"/>
          </w:tcPr>
          <w:p>
            <w:pPr>
              <w:spacing w:after="0"/>
              <w:rPr>
                <w:sz w:val="14"/>
                <w:szCs w:val="14"/>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Inc.</w:t>
            </w:r>
          </w:p>
        </w:tc>
        <w:tc>
          <w:tcPr>
            <w:tcW w:w="6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iQIYI</w:t>
            </w:r>
          </w:p>
        </w:tc>
        <w:tc>
          <w:tcPr>
            <w:tcW w:w="560" w:type="dxa"/>
            <w:vAlign w:val="bottom"/>
            <w:gridSpan w:val="2"/>
            <w:vMerge w:val="continue"/>
          </w:tcPr>
          <w:p>
            <w:pPr>
              <w:spacing w:after="0"/>
              <w:rPr>
                <w:sz w:val="14"/>
                <w:szCs w:val="14"/>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Inc.</w:t>
            </w:r>
          </w:p>
        </w:tc>
        <w:tc>
          <w:tcPr>
            <w:tcW w:w="0" w:type="dxa"/>
            <w:vAlign w:val="bottom"/>
          </w:tcPr>
          <w:p>
            <w:pPr>
              <w:spacing w:after="0"/>
              <w:rPr>
                <w:sz w:val="1"/>
                <w:szCs w:val="1"/>
                <w:color w:val="auto"/>
              </w:rPr>
            </w:pPr>
          </w:p>
        </w:tc>
      </w:tr>
      <w:tr>
        <w:trPr>
          <w:trHeight w:val="187"/>
        </w:trPr>
        <w:tc>
          <w:tcPr>
            <w:tcW w:w="266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7"/>
                <w:szCs w:val="17"/>
                <w:b w:val="1"/>
                <w:bCs w:val="1"/>
                <w:color w:val="auto"/>
              </w:rPr>
              <w:t>Net cash provided by (used in)</w:t>
            </w: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(6,340)</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339</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(6,001)</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2,562</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2,609</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2,484</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186</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2,670</w:t>
            </w:r>
          </w:p>
        </w:tc>
        <w:tc>
          <w:tcPr>
            <w:tcW w:w="1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360</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27</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387</w:t>
            </w:r>
          </w:p>
        </w:tc>
        <w:tc>
          <w:tcPr>
            <w:tcW w:w="0" w:type="dxa"/>
            <w:vAlign w:val="bottom"/>
          </w:tcPr>
          <w:p>
            <w:pPr>
              <w:spacing w:after="0"/>
              <w:rPr>
                <w:sz w:val="1"/>
                <w:szCs w:val="1"/>
                <w:color w:val="auto"/>
              </w:rPr>
            </w:pPr>
          </w:p>
        </w:tc>
      </w:tr>
      <w:tr>
        <w:trPr>
          <w:trHeight w:val="189"/>
        </w:trPr>
        <w:tc>
          <w:tcPr>
            <w:tcW w:w="266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Net cash provided by (used in)</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6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investing activities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(1,175)</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(30)</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(1,205)</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(17,439)</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(947)</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(18,386)</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5,217</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(275)</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4,942</w:t>
            </w:r>
          </w:p>
        </w:tc>
        <w:tc>
          <w:tcPr>
            <w:tcW w:w="16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756</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(40)</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716</w:t>
            </w: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Net cash provided by (used in)</w:t>
            </w: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financing activities</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19,639</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860</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20,499</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595</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518</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1,113</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(702)</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(933)</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(1,635)</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(102)</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(135)</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(237)</w:t>
            </w:r>
          </w:p>
        </w:tc>
        <w:tc>
          <w:tcPr>
            <w:tcW w:w="0" w:type="dxa"/>
            <w:vAlign w:val="bottom"/>
          </w:tcPr>
          <w:p>
            <w:pPr>
              <w:spacing w:after="0"/>
              <w:rPr>
                <w:sz w:val="1"/>
                <w:szCs w:val="1"/>
                <w:color w:val="auto"/>
              </w:rPr>
            </w:pPr>
          </w:p>
        </w:tc>
      </w:tr>
      <w:tr>
        <w:trPr>
          <w:trHeight w:val="189"/>
        </w:trPr>
        <w:tc>
          <w:tcPr>
            <w:tcW w:w="266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Effect of exchange rate changes on</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6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cash, cash equivalents and</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6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restricted cash</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(295)</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(305)</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(241)</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(35)</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(276)</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(34)</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187"/>
        </w:trPr>
        <w:tc>
          <w:tcPr>
            <w:tcW w:w="266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7"/>
                <w:szCs w:val="17"/>
                <w:b w:val="1"/>
                <w:bCs w:val="1"/>
                <w:color w:val="auto"/>
              </w:rPr>
              <w:t>Net increase (decrease) in cash,</w:t>
            </w:r>
          </w:p>
        </w:tc>
        <w:tc>
          <w:tcPr>
            <w:tcW w:w="54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cash equivalents and restricted</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cash</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12,119</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1,168</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13,287</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(14,577)</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(392)</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(14,969)</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6,758</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(1,057)</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5,701</w:t>
            </w:r>
          </w:p>
        </w:tc>
        <w:tc>
          <w:tcPr>
            <w:tcW w:w="1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980</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(153)</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827</w:t>
            </w:r>
          </w:p>
        </w:tc>
        <w:tc>
          <w:tcPr>
            <w:tcW w:w="0" w:type="dxa"/>
            <w:vAlign w:val="bottom"/>
          </w:tcPr>
          <w:p>
            <w:pPr>
              <w:spacing w:after="0"/>
              <w:rPr>
                <w:sz w:val="1"/>
                <w:szCs w:val="1"/>
                <w:color w:val="auto"/>
              </w:rPr>
            </w:pPr>
          </w:p>
        </w:tc>
      </w:tr>
      <w:tr>
        <w:trPr>
          <w:trHeight w:val="189"/>
        </w:trPr>
        <w:tc>
          <w:tcPr>
            <w:tcW w:w="266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Cash, cash equivalents and restricted</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6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cash</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At beginning of period</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32,999</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3,590</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36,589</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35,030</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4,770</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39,800</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20,453</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4,378</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24,831</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2,965</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635</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6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At end of period</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45,118</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4,758</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49,876</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20,453</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4,378</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24,831</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27,211</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3,321</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30,532</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3,945</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482</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66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7"/>
                <w:szCs w:val="17"/>
                <w:b w:val="1"/>
                <w:bCs w:val="1"/>
                <w:color w:val="auto"/>
              </w:rPr>
              <w:t>Net cash provided by (used in)</w:t>
            </w: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(6,340)</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339</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(6,001)</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2,562</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2,609</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2,484</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186</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2,670</w:t>
            </w:r>
          </w:p>
        </w:tc>
        <w:tc>
          <w:tcPr>
            <w:tcW w:w="1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360</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27</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387</w:t>
            </w:r>
          </w:p>
        </w:tc>
        <w:tc>
          <w:tcPr>
            <w:tcW w:w="0" w:type="dxa"/>
            <w:vAlign w:val="bottom"/>
          </w:tcPr>
          <w:p>
            <w:pPr>
              <w:spacing w:after="0"/>
              <w:rPr>
                <w:sz w:val="1"/>
                <w:szCs w:val="1"/>
                <w:color w:val="auto"/>
              </w:rPr>
            </w:pPr>
          </w:p>
        </w:tc>
      </w:tr>
      <w:tr>
        <w:trPr>
          <w:trHeight w:val="208"/>
        </w:trPr>
        <w:tc>
          <w:tcPr>
            <w:tcW w:w="2660" w:type="dxa"/>
            <w:vAlign w:val="bottom"/>
          </w:tcPr>
          <w:p>
            <w:pPr>
              <w:spacing w:after="0"/>
              <w:rPr>
                <w:sz w:val="20"/>
                <w:szCs w:val="20"/>
                <w:color w:val="auto"/>
              </w:rPr>
            </w:pPr>
            <w:r>
              <w:rPr>
                <w:rFonts w:ascii="Times New Roman" w:cs="Times New Roman" w:eastAsia="Times New Roman" w:hAnsi="Times New Roman"/>
                <w:sz w:val="17"/>
                <w:szCs w:val="17"/>
                <w:color w:val="auto"/>
              </w:rPr>
              <w:t>Less: Capital expenditures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(2,869)</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(31)</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(2,900)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(1,952)</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(1,972)</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(5,839)</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(77)</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(5,916)</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(846)</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(11)</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(857)</w:t>
            </w: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Free cash flow</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(9,209)</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308</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(8,901)</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610</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637</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(3,355)</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109</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(3,246)</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(486)</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16</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(470)</w:t>
            </w: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 Baidu excl. iQIYI represents Baidu, Inc. minus iQIYI’s consolidated cash flows.</w:t>
      </w:r>
    </w:p>
    <w:p>
      <w:pPr>
        <w:spacing w:after="0" w:line="15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0600"/>
          </w:cols>
          <w:pgMar w:left="640" w:top="262" w:right="6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9310" cy="37465"/>
                    </a:xfrm>
                    <a:prstGeom prst="rect">
                      <a:avLst/>
                    </a:prstGeom>
                    <a:noFill/>
                  </pic:spPr>
                </pic:pic>
              </a:graphicData>
            </a:graphic>
          </wp:anchor>
        </w:drawing>
        <w:t>Baidu, Inc.</w:t>
      </w:r>
    </w:p>
    <w:p>
      <w:pPr>
        <w:spacing w:after="0" w:line="33" w:lineRule="exact"/>
        <w:rPr>
          <w:sz w:val="20"/>
          <w:szCs w:val="20"/>
          <w:color w:val="auto"/>
        </w:rPr>
      </w:pPr>
    </w:p>
    <w:p>
      <w:pPr>
        <w:ind w:right="358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Reconciliations of Non-GAAP Financial Measures to the Nearest Comparable GAAP Measures </w:t>
      </w:r>
      <w:r>
        <w:rPr>
          <w:rFonts w:ascii="Times New Roman" w:cs="Times New Roman" w:eastAsia="Times New Roman" w:hAnsi="Times New Roman"/>
          <w:sz w:val="17"/>
          <w:szCs w:val="17"/>
          <w:color w:val="auto"/>
        </w:rPr>
        <w:t>(In millions except for per ADS information, unaudited)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192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Three months ended</w:t>
            </w:r>
          </w:p>
        </w:tc>
        <w:tc>
          <w:tcPr>
            <w:tcW w:w="188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8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4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7"/>
        </w:trPr>
        <w:tc>
          <w:tcPr>
            <w:tcW w:w="3180" w:type="dxa"/>
            <w:vAlign w:val="bottom"/>
          </w:tcPr>
          <w:p>
            <w:pPr>
              <w:spacing w:after="0"/>
              <w:rPr>
                <w:sz w:val="14"/>
                <w:szCs w:val="14"/>
                <w:color w:val="auto"/>
              </w:rPr>
            </w:pPr>
          </w:p>
        </w:tc>
        <w:tc>
          <w:tcPr>
            <w:tcW w:w="17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March 31, 2025 (RMB)</w:t>
            </w:r>
          </w:p>
        </w:tc>
        <w:tc>
          <w:tcPr>
            <w:tcW w:w="180" w:type="dxa"/>
            <w:vAlign w:val="bottom"/>
          </w:tcPr>
          <w:p>
            <w:pPr>
              <w:spacing w:after="0"/>
              <w:rPr>
                <w:sz w:val="14"/>
                <w:szCs w:val="14"/>
                <w:color w:val="auto"/>
              </w:rPr>
            </w:pPr>
          </w:p>
        </w:tc>
        <w:tc>
          <w:tcPr>
            <w:tcW w:w="17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 (RMB)</w:t>
            </w:r>
          </w:p>
        </w:tc>
        <w:tc>
          <w:tcPr>
            <w:tcW w:w="180" w:type="dxa"/>
            <w:vAlign w:val="bottom"/>
          </w:tcPr>
          <w:p>
            <w:pPr>
              <w:spacing w:after="0"/>
              <w:rPr>
                <w:sz w:val="14"/>
                <w:szCs w:val="14"/>
                <w:color w:val="auto"/>
              </w:rPr>
            </w:pPr>
          </w:p>
        </w:tc>
        <w:tc>
          <w:tcPr>
            <w:tcW w:w="1700" w:type="dxa"/>
            <w:vAlign w:val="bottom"/>
            <w:tcBorders>
              <w:bottom w:val="single" w:sz="8" w:color="auto"/>
            </w:tcBorders>
            <w:gridSpan w:val="5"/>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March 31, 2026 (RMB)</w:t>
            </w:r>
          </w:p>
        </w:tc>
        <w:tc>
          <w:tcPr>
            <w:tcW w:w="180" w:type="dxa"/>
            <w:vAlign w:val="bottom"/>
          </w:tcPr>
          <w:p>
            <w:pPr>
              <w:spacing w:after="0"/>
              <w:rPr>
                <w:sz w:val="14"/>
                <w:szCs w:val="14"/>
                <w:color w:val="auto"/>
              </w:rPr>
            </w:pPr>
          </w:p>
        </w:tc>
        <w:tc>
          <w:tcPr>
            <w:tcW w:w="1640" w:type="dxa"/>
            <w:vAlign w:val="bottom"/>
            <w:tcBorders>
              <w:bottom w:val="single" w:sz="8" w:color="auto"/>
            </w:tcBorders>
            <w:gridSpan w:val="5"/>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March 31, 2026 (US$)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3180" w:type="dxa"/>
            <w:vAlign w:val="bottom"/>
          </w:tcPr>
          <w:p>
            <w:pPr>
              <w:spacing w:after="0"/>
              <w:rPr>
                <w:sz w:val="9"/>
                <w:szCs w:val="9"/>
                <w:color w:val="auto"/>
              </w:rPr>
            </w:pPr>
          </w:p>
        </w:tc>
        <w:tc>
          <w:tcPr>
            <w:tcW w:w="700" w:type="dxa"/>
            <w:vAlign w:val="bottom"/>
            <w:gridSpan w:val="2"/>
          </w:tcPr>
          <w:p>
            <w:pPr>
              <w:jc w:val="center"/>
              <w:ind w:right="180"/>
              <w:spacing w:after="0" w:line="111" w:lineRule="exact"/>
              <w:rPr>
                <w:sz w:val="20"/>
                <w:szCs w:val="20"/>
                <w:color w:val="auto"/>
              </w:rPr>
            </w:pPr>
            <w:r>
              <w:rPr>
                <w:rFonts w:ascii="Times New Roman" w:cs="Times New Roman" w:eastAsia="Times New Roman" w:hAnsi="Times New Roman"/>
                <w:sz w:val="12"/>
                <w:szCs w:val="12"/>
                <w:b w:val="1"/>
                <w:bCs w:val="1"/>
                <w:color w:val="auto"/>
              </w:rPr>
              <w:t>Baidu</w:t>
            </w: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Baidu,</w:t>
            </w:r>
          </w:p>
        </w:tc>
        <w:tc>
          <w:tcPr>
            <w:tcW w:w="720" w:type="dxa"/>
            <w:vAlign w:val="bottom"/>
            <w:gridSpan w:val="2"/>
          </w:tcPr>
          <w:p>
            <w:pPr>
              <w:jc w:val="center"/>
              <w:ind w:right="180"/>
              <w:spacing w:after="0" w:line="111" w:lineRule="exact"/>
              <w:rPr>
                <w:sz w:val="20"/>
                <w:szCs w:val="20"/>
                <w:color w:val="auto"/>
              </w:rPr>
            </w:pPr>
            <w:r>
              <w:rPr>
                <w:rFonts w:ascii="Times New Roman" w:cs="Times New Roman" w:eastAsia="Times New Roman" w:hAnsi="Times New Roman"/>
                <w:sz w:val="12"/>
                <w:szCs w:val="12"/>
                <w:b w:val="1"/>
                <w:bCs w:val="1"/>
                <w:color w:val="auto"/>
              </w:rPr>
              <w:t>Baidu</w:t>
            </w: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Baidu,</w:t>
            </w:r>
          </w:p>
        </w:tc>
        <w:tc>
          <w:tcPr>
            <w:tcW w:w="700" w:type="dxa"/>
            <w:vAlign w:val="bottom"/>
            <w:gridSpan w:val="2"/>
          </w:tcPr>
          <w:p>
            <w:pPr>
              <w:jc w:val="center"/>
              <w:ind w:right="180"/>
              <w:spacing w:after="0" w:line="111" w:lineRule="exact"/>
              <w:rPr>
                <w:sz w:val="20"/>
                <w:szCs w:val="20"/>
                <w:color w:val="auto"/>
              </w:rPr>
            </w:pPr>
            <w:r>
              <w:rPr>
                <w:rFonts w:ascii="Times New Roman" w:cs="Times New Roman" w:eastAsia="Times New Roman" w:hAnsi="Times New Roman"/>
                <w:sz w:val="12"/>
                <w:szCs w:val="12"/>
                <w:b w:val="1"/>
                <w:bCs w:val="1"/>
                <w:color w:val="auto"/>
              </w:rPr>
              <w:t>Baidu</w:t>
            </w: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Baidu,</w:t>
            </w:r>
          </w:p>
        </w:tc>
        <w:tc>
          <w:tcPr>
            <w:tcW w:w="700" w:type="dxa"/>
            <w:vAlign w:val="bottom"/>
            <w:gridSpan w:val="2"/>
          </w:tcPr>
          <w:p>
            <w:pPr>
              <w:jc w:val="center"/>
              <w:ind w:right="180"/>
              <w:spacing w:after="0" w:line="111" w:lineRule="exact"/>
              <w:rPr>
                <w:sz w:val="20"/>
                <w:szCs w:val="20"/>
                <w:color w:val="auto"/>
              </w:rPr>
            </w:pPr>
            <w:r>
              <w:rPr>
                <w:rFonts w:ascii="Times New Roman" w:cs="Times New Roman" w:eastAsia="Times New Roman" w:hAnsi="Times New Roman"/>
                <w:sz w:val="12"/>
                <w:szCs w:val="12"/>
                <w:b w:val="1"/>
                <w:bCs w:val="1"/>
                <w:color w:val="auto"/>
              </w:rPr>
              <w:t>Baidu</w:t>
            </w: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6"/>
              </w:rPr>
              <w:t>Baidu,</w:t>
            </w:r>
          </w:p>
        </w:tc>
        <w:tc>
          <w:tcPr>
            <w:tcW w:w="0" w:type="dxa"/>
            <w:vAlign w:val="bottom"/>
          </w:tcPr>
          <w:p>
            <w:pPr>
              <w:spacing w:after="0"/>
              <w:rPr>
                <w:sz w:val="1"/>
                <w:szCs w:val="1"/>
                <w:color w:val="auto"/>
              </w:rPr>
            </w:pPr>
          </w:p>
        </w:tc>
      </w:tr>
      <w:tr>
        <w:trPr>
          <w:trHeight w:val="143"/>
        </w:trPr>
        <w:tc>
          <w:tcPr>
            <w:tcW w:w="3180" w:type="dxa"/>
            <w:vAlign w:val="bottom"/>
          </w:tcPr>
          <w:p>
            <w:pPr>
              <w:spacing w:after="0"/>
              <w:rPr>
                <w:sz w:val="12"/>
                <w:szCs w:val="12"/>
                <w:color w:val="auto"/>
              </w:rPr>
            </w:pPr>
          </w:p>
        </w:tc>
        <w:tc>
          <w:tcPr>
            <w:tcW w:w="700" w:type="dxa"/>
            <w:vAlign w:val="bottom"/>
            <w:gridSpan w:val="2"/>
          </w:tcPr>
          <w:p>
            <w:pPr>
              <w:jc w:val="center"/>
              <w:ind w:right="180"/>
              <w:spacing w:after="0" w:line="143" w:lineRule="exact"/>
              <w:rPr>
                <w:sz w:val="20"/>
                <w:szCs w:val="20"/>
                <w:color w:val="auto"/>
              </w:rPr>
            </w:pPr>
            <w:r>
              <w:rPr>
                <w:rFonts w:ascii="Times New Roman" w:cs="Times New Roman" w:eastAsia="Times New Roman" w:hAnsi="Times New Roman"/>
                <w:sz w:val="14"/>
                <w:szCs w:val="14"/>
                <w:b w:val="1"/>
                <w:bCs w:val="1"/>
                <w:color w:val="auto"/>
                <w:w w:val="99"/>
              </w:rPr>
              <w:t>General</w:t>
            </w:r>
          </w:p>
        </w:tc>
        <w:tc>
          <w:tcPr>
            <w:tcW w:w="5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iQIYI</w:t>
            </w:r>
          </w:p>
        </w:tc>
        <w:tc>
          <w:tcPr>
            <w:tcW w:w="680" w:type="dxa"/>
            <w:vAlign w:val="bottom"/>
            <w:gridSpan w:val="2"/>
            <w:vMerge w:val="continue"/>
          </w:tcPr>
          <w:p>
            <w:pPr>
              <w:spacing w:after="0"/>
              <w:rPr>
                <w:sz w:val="12"/>
                <w:szCs w:val="12"/>
                <w:color w:val="auto"/>
              </w:rPr>
            </w:pPr>
          </w:p>
        </w:tc>
        <w:tc>
          <w:tcPr>
            <w:tcW w:w="720" w:type="dxa"/>
            <w:vAlign w:val="bottom"/>
            <w:gridSpan w:val="2"/>
          </w:tcPr>
          <w:p>
            <w:pPr>
              <w:jc w:val="center"/>
              <w:ind w:right="180"/>
              <w:spacing w:after="0" w:line="143" w:lineRule="exact"/>
              <w:rPr>
                <w:sz w:val="20"/>
                <w:szCs w:val="20"/>
                <w:color w:val="auto"/>
              </w:rPr>
            </w:pPr>
            <w:r>
              <w:rPr>
                <w:rFonts w:ascii="Times New Roman" w:cs="Times New Roman" w:eastAsia="Times New Roman" w:hAnsi="Times New Roman"/>
                <w:sz w:val="14"/>
                <w:szCs w:val="14"/>
                <w:b w:val="1"/>
                <w:bCs w:val="1"/>
                <w:color w:val="auto"/>
                <w:w w:val="95"/>
              </w:rPr>
              <w:t>General</w:t>
            </w:r>
          </w:p>
        </w:tc>
        <w:tc>
          <w:tcPr>
            <w:tcW w:w="5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89"/>
              </w:rPr>
              <w:t>iQIYI</w:t>
            </w:r>
          </w:p>
        </w:tc>
        <w:tc>
          <w:tcPr>
            <w:tcW w:w="620" w:type="dxa"/>
            <w:vAlign w:val="bottom"/>
            <w:gridSpan w:val="2"/>
            <w:vMerge w:val="continue"/>
          </w:tcPr>
          <w:p>
            <w:pPr>
              <w:spacing w:after="0"/>
              <w:rPr>
                <w:sz w:val="12"/>
                <w:szCs w:val="12"/>
                <w:color w:val="auto"/>
              </w:rPr>
            </w:pPr>
          </w:p>
        </w:tc>
        <w:tc>
          <w:tcPr>
            <w:tcW w:w="700" w:type="dxa"/>
            <w:vAlign w:val="bottom"/>
            <w:gridSpan w:val="2"/>
          </w:tcPr>
          <w:p>
            <w:pPr>
              <w:jc w:val="center"/>
              <w:ind w:right="180"/>
              <w:spacing w:after="0" w:line="143" w:lineRule="exact"/>
              <w:rPr>
                <w:sz w:val="20"/>
                <w:szCs w:val="20"/>
                <w:color w:val="auto"/>
              </w:rPr>
            </w:pPr>
            <w:r>
              <w:rPr>
                <w:rFonts w:ascii="Times New Roman" w:cs="Times New Roman" w:eastAsia="Times New Roman" w:hAnsi="Times New Roman"/>
                <w:sz w:val="14"/>
                <w:szCs w:val="14"/>
                <w:b w:val="1"/>
                <w:bCs w:val="1"/>
                <w:color w:val="auto"/>
                <w:w w:val="99"/>
              </w:rPr>
              <w:t>General</w:t>
            </w:r>
          </w:p>
        </w:tc>
        <w:tc>
          <w:tcPr>
            <w:tcW w:w="5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4"/>
              </w:rPr>
              <w:t>iQIYI</w:t>
            </w:r>
          </w:p>
        </w:tc>
        <w:tc>
          <w:tcPr>
            <w:tcW w:w="620" w:type="dxa"/>
            <w:vAlign w:val="bottom"/>
            <w:gridSpan w:val="2"/>
            <w:vMerge w:val="continue"/>
          </w:tcPr>
          <w:p>
            <w:pPr>
              <w:spacing w:after="0"/>
              <w:rPr>
                <w:sz w:val="12"/>
                <w:szCs w:val="12"/>
                <w:color w:val="auto"/>
              </w:rPr>
            </w:pPr>
          </w:p>
        </w:tc>
        <w:tc>
          <w:tcPr>
            <w:tcW w:w="700" w:type="dxa"/>
            <w:vAlign w:val="bottom"/>
            <w:gridSpan w:val="2"/>
          </w:tcPr>
          <w:p>
            <w:pPr>
              <w:jc w:val="center"/>
              <w:ind w:right="180"/>
              <w:spacing w:after="0" w:line="143" w:lineRule="exact"/>
              <w:rPr>
                <w:sz w:val="20"/>
                <w:szCs w:val="20"/>
                <w:color w:val="auto"/>
              </w:rPr>
            </w:pPr>
            <w:r>
              <w:rPr>
                <w:rFonts w:ascii="Times New Roman" w:cs="Times New Roman" w:eastAsia="Times New Roman" w:hAnsi="Times New Roman"/>
                <w:sz w:val="14"/>
                <w:szCs w:val="14"/>
                <w:b w:val="1"/>
                <w:bCs w:val="1"/>
                <w:color w:val="auto"/>
                <w:w w:val="99"/>
              </w:rPr>
              <w:t>General</w:t>
            </w:r>
          </w:p>
        </w:tc>
        <w:tc>
          <w:tcPr>
            <w:tcW w:w="5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4"/>
              </w:rPr>
              <w:t>iQIYI</w:t>
            </w:r>
          </w:p>
        </w:tc>
        <w:tc>
          <w:tcPr>
            <w:tcW w:w="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8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Business</w:t>
            </w:r>
          </w:p>
        </w:tc>
        <w:tc>
          <w:tcPr>
            <w:tcW w:w="540" w:type="dxa"/>
            <w:vAlign w:val="bottom"/>
            <w:gridSpan w:val="2"/>
            <w:vMerge w:val="continue"/>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Inc.</w:t>
            </w: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Business</w:t>
            </w:r>
          </w:p>
        </w:tc>
        <w:tc>
          <w:tcPr>
            <w:tcW w:w="540" w:type="dxa"/>
            <w:vAlign w:val="bottom"/>
            <w:gridSpan w:val="2"/>
            <w:vMerge w:val="continue"/>
          </w:tcPr>
          <w:p>
            <w:pPr>
              <w:spacing w:after="0"/>
              <w:rPr>
                <w:sz w:val="14"/>
                <w:szCs w:val="14"/>
                <w:color w:val="auto"/>
              </w:rPr>
            </w:pP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Inc.</w:t>
            </w: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560" w:type="dxa"/>
            <w:vAlign w:val="bottom"/>
            <w:gridSpan w:val="2"/>
            <w:vMerge w:val="continue"/>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Inc.</w:t>
            </w: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540" w:type="dxa"/>
            <w:vAlign w:val="bottom"/>
            <w:gridSpan w:val="2"/>
            <w:vMerge w:val="continue"/>
          </w:tcPr>
          <w:p>
            <w:pPr>
              <w:spacing w:after="0"/>
              <w:rPr>
                <w:sz w:val="14"/>
                <w:szCs w:val="14"/>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Inc.</w:t>
            </w:r>
          </w:p>
        </w:tc>
        <w:tc>
          <w:tcPr>
            <w:tcW w:w="0" w:type="dxa"/>
            <w:vAlign w:val="bottom"/>
          </w:tcPr>
          <w:p>
            <w:pPr>
              <w:spacing w:after="0"/>
              <w:rPr>
                <w:sz w:val="1"/>
                <w:szCs w:val="1"/>
                <w:color w:val="auto"/>
              </w:rPr>
            </w:pPr>
          </w:p>
        </w:tc>
      </w:tr>
      <w:tr>
        <w:trPr>
          <w:trHeight w:val="208"/>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income (loss)</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4,164</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342</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4,508</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1,441</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55</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1,483</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3,416</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(228)</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3,193</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495</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(33)</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463</w:t>
            </w:r>
          </w:p>
        </w:tc>
        <w:tc>
          <w:tcPr>
            <w:tcW w:w="0" w:type="dxa"/>
            <w:vAlign w:val="bottom"/>
          </w:tcPr>
          <w:p>
            <w:pPr>
              <w:spacing w:after="0"/>
              <w:rPr>
                <w:sz w:val="1"/>
                <w:szCs w:val="1"/>
                <w:color w:val="auto"/>
              </w:rPr>
            </w:pPr>
          </w:p>
        </w:tc>
      </w:tr>
      <w:tr>
        <w:trPr>
          <w:trHeight w:val="208"/>
        </w:trPr>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Add: Share-based compensation expenses</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636</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115</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751</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643</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8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729</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485</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8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563</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71</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11</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Add: Amortization and impairment of</w:t>
            </w: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intangible assets resulting from business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combinations</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72</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74</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45</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49</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51</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8"/>
        </w:trPr>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Add: One-time employee severance costs</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7"/>
                <w:szCs w:val="17"/>
                <w:color w:val="auto"/>
                <w:w w:val="93"/>
              </w:rPr>
              <w:t>— </w:t>
            </w: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708</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708</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6"/>
        </w:trPr>
        <w:tc>
          <w:tcPr>
            <w:tcW w:w="3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income (loss) (non-GAAP)</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4,872</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459</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5,333</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2,837</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143</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2,967</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3,950</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(148)</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3,807</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573</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(22)</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552</w:t>
            </w:r>
          </w:p>
        </w:tc>
        <w:tc>
          <w:tcPr>
            <w:tcW w:w="0" w:type="dxa"/>
            <w:vAlign w:val="bottom"/>
          </w:tcPr>
          <w:p>
            <w:pPr>
              <w:spacing w:after="0"/>
              <w:rPr>
                <w:sz w:val="1"/>
                <w:szCs w:val="1"/>
                <w:color w:val="auto"/>
              </w:rPr>
            </w:pPr>
          </w:p>
        </w:tc>
      </w:tr>
      <w:tr>
        <w:trPr>
          <w:trHeight w:val="189"/>
        </w:trPr>
        <w:tc>
          <w:tcPr>
            <w:tcW w:w="31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Add: Depreciation of fixed assets and</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180" w:type="dxa"/>
            <w:vAlign w:val="bottom"/>
          </w:tcPr>
          <w:p>
            <w:pPr>
              <w:ind w:left="180"/>
              <w:spacing w:after="0" w:line="226" w:lineRule="exact"/>
              <w:rPr>
                <w:sz w:val="20"/>
                <w:szCs w:val="20"/>
                <w:color w:val="auto"/>
              </w:rPr>
            </w:pPr>
            <w:r>
              <w:rPr>
                <w:rFonts w:ascii="Times New Roman" w:cs="Times New Roman" w:eastAsia="Times New Roman" w:hAnsi="Times New Roman"/>
                <w:sz w:val="17"/>
                <w:szCs w:val="17"/>
                <w:color w:val="auto"/>
              </w:rPr>
              <w:t>amortization of intangible assets</w:t>
            </w:r>
            <w:r>
              <w:rPr>
                <w:rFonts w:ascii="Times New Roman" w:cs="Times New Roman" w:eastAsia="Times New Roman" w:hAnsi="Times New Roman"/>
                <w:sz w:val="25"/>
                <w:szCs w:val="25"/>
                <w:color w:val="auto"/>
                <w:vertAlign w:val="superscript"/>
              </w:rPr>
              <w:t>(1)</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1,840</w:t>
            </w: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8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1,876</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1,707</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8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1,760</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2,100</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8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2,147</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304</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311</w:t>
            </w:r>
          </w:p>
        </w:tc>
        <w:tc>
          <w:tcPr>
            <w:tcW w:w="0" w:type="dxa"/>
            <w:vAlign w:val="bottom"/>
          </w:tcPr>
          <w:p>
            <w:pPr>
              <w:spacing w:after="0"/>
              <w:rPr>
                <w:sz w:val="1"/>
                <w:szCs w:val="1"/>
                <w:color w:val="auto"/>
              </w:rPr>
            </w:pPr>
          </w:p>
        </w:tc>
      </w:tr>
      <w:tr>
        <w:trPr>
          <w:trHeight w:val="26"/>
        </w:trPr>
        <w:tc>
          <w:tcPr>
            <w:tcW w:w="3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6,712</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495</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7,209</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4,544</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196</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4,727</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6,050</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(101)</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5,954</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877</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(15)</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863</w:t>
            </w:r>
          </w:p>
        </w:tc>
        <w:tc>
          <w:tcPr>
            <w:tcW w:w="0" w:type="dxa"/>
            <w:vAlign w:val="bottom"/>
          </w:tcPr>
          <w:p>
            <w:pPr>
              <w:spacing w:after="0"/>
              <w:rPr>
                <w:sz w:val="1"/>
                <w:szCs w:val="1"/>
                <w:color w:val="auto"/>
              </w:rPr>
            </w:pPr>
          </w:p>
        </w:tc>
      </w:tr>
      <w:tr>
        <w:trPr>
          <w:trHeight w:val="208"/>
        </w:trPr>
        <w:tc>
          <w:tcPr>
            <w:tcW w:w="3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income (loss) attributable to Baidu</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7,633</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182</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7,717</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1,797</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(6)</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1,782</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3,573</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(294)</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3,445</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518</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(42)</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499</w:t>
            </w:r>
          </w:p>
        </w:tc>
        <w:tc>
          <w:tcPr>
            <w:tcW w:w="0" w:type="dxa"/>
            <w:vAlign w:val="bottom"/>
          </w:tcPr>
          <w:p>
            <w:pPr>
              <w:spacing w:after="0"/>
              <w:rPr>
                <w:sz w:val="1"/>
                <w:szCs w:val="1"/>
                <w:color w:val="auto"/>
              </w:rPr>
            </w:pPr>
          </w:p>
        </w:tc>
      </w:tr>
      <w:tr>
        <w:trPr>
          <w:trHeight w:val="208"/>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Add: Share-based compensation expenses</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635</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115</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687</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642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681</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484</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519</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70</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11</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1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Add: Amortization and impairment of</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intangible assets resulting from business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combinations</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70</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71</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43</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47</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48</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8"/>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Add: One-time employee severance costs</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— </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708</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708</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8"/>
        </w:trPr>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Add: Disposal loss (gain)</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(91)</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(91)</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31</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8"/>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Add: Impairment of long-term investments</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59</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79</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9</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83</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11</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1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Add: Fair value loss (gain) of long-term</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investments and exchangeable bonds</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(1,889)</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(1,890)</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923</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8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931</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378</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(28)</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365</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55</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Add: Reconciling items on equity method</w:t>
            </w: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180" w:type="dxa"/>
            <w:vAlign w:val="bottom"/>
            <w:shd w:val="clear" w:color="auto" w:fill="CCEEFF"/>
          </w:tcPr>
          <w:p>
            <w:pPr>
              <w:ind w:left="180"/>
              <w:spacing w:after="0" w:line="226" w:lineRule="exact"/>
              <w:rPr>
                <w:sz w:val="20"/>
                <w:szCs w:val="20"/>
                <w:color w:val="auto"/>
              </w:rPr>
            </w:pPr>
            <w:r>
              <w:rPr>
                <w:rFonts w:ascii="Times New Roman" w:cs="Times New Roman" w:eastAsia="Times New Roman" w:hAnsi="Times New Roman"/>
                <w:sz w:val="17"/>
                <w:szCs w:val="17"/>
                <w:color w:val="auto"/>
              </w:rPr>
              <w:t>investments</w:t>
            </w:r>
            <w:r>
              <w:rPr>
                <w:rFonts w:ascii="Times New Roman" w:cs="Times New Roman" w:eastAsia="Times New Roman" w:hAnsi="Times New Roman"/>
                <w:sz w:val="25"/>
                <w:szCs w:val="25"/>
                <w:color w:val="auto"/>
                <w:vertAlign w:val="superscript"/>
              </w:rPr>
              <w:t>(2)</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(66)</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(64)</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(431)</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(431)</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(44)</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(44)</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189"/>
        </w:trPr>
        <w:tc>
          <w:tcPr>
            <w:tcW w:w="31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Add: Tax effects on non-GAAP</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180" w:type="dxa"/>
            <w:vAlign w:val="bottom"/>
          </w:tcPr>
          <w:p>
            <w:pPr>
              <w:ind w:left="180"/>
              <w:spacing w:after="0" w:line="226" w:lineRule="exact"/>
              <w:rPr>
                <w:sz w:val="20"/>
                <w:szCs w:val="20"/>
                <w:color w:val="auto"/>
              </w:rPr>
            </w:pPr>
            <w:r>
              <w:rPr>
                <w:rFonts w:ascii="Times New Roman" w:cs="Times New Roman" w:eastAsia="Times New Roman" w:hAnsi="Times New Roman"/>
                <w:sz w:val="17"/>
                <w:szCs w:val="17"/>
                <w:color w:val="auto"/>
              </w:rPr>
              <w:t>adjustments</w:t>
            </w:r>
            <w:r>
              <w:rPr>
                <w:rFonts w:ascii="Times New Roman" w:cs="Times New Roman" w:eastAsia="Times New Roman" w:hAnsi="Times New Roman"/>
                <w:sz w:val="25"/>
                <w:szCs w:val="25"/>
                <w:color w:val="auto"/>
                <w:vertAlign w:val="superscript"/>
              </w:rPr>
              <w:t>(3)</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38</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38</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97</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8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(82)</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(82)</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(12)</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187"/>
        </w:trPr>
        <w:tc>
          <w:tcPr>
            <w:tcW w:w="318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7"/>
                <w:szCs w:val="17"/>
                <w:b w:val="1"/>
                <w:bCs w:val="1"/>
                <w:color w:val="auto"/>
              </w:rPr>
              <w:t>Net income (loss) attributable to Baidu</w:t>
            </w:r>
          </w:p>
        </w:tc>
        <w:tc>
          <w:tcPr>
            <w:tcW w:w="5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(non-GAAP)</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6,330</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304</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6,469</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3,869</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109</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3,907</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4,433</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(233)</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4,332</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643</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(34)</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628</w:t>
            </w:r>
          </w:p>
        </w:tc>
        <w:tc>
          <w:tcPr>
            <w:tcW w:w="0" w:type="dxa"/>
            <w:vAlign w:val="bottom"/>
          </w:tcPr>
          <w:p>
            <w:pPr>
              <w:spacing w:after="0"/>
              <w:rPr>
                <w:sz w:val="1"/>
                <w:szCs w:val="1"/>
                <w:color w:val="auto"/>
              </w:rPr>
            </w:pPr>
          </w:p>
        </w:tc>
      </w:tr>
      <w:tr>
        <w:trPr>
          <w:trHeight w:val="208"/>
        </w:trPr>
        <w:tc>
          <w:tcPr>
            <w:tcW w:w="3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Diluted earnings per ADS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21.59</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3.71</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8.76</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1.27</w:t>
            </w:r>
          </w:p>
        </w:tc>
        <w:tc>
          <w:tcPr>
            <w:tcW w:w="0" w:type="dxa"/>
            <w:vAlign w:val="bottom"/>
          </w:tcPr>
          <w:p>
            <w:pPr>
              <w:spacing w:after="0"/>
              <w:rPr>
                <w:sz w:val="1"/>
                <w:szCs w:val="1"/>
                <w:color w:val="auto"/>
              </w:rPr>
            </w:pPr>
          </w:p>
        </w:tc>
      </w:tr>
      <w:tr>
        <w:trPr>
          <w:trHeight w:val="189"/>
        </w:trPr>
        <w:tc>
          <w:tcPr>
            <w:tcW w:w="3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Add: Accretion of the redeemable</w:t>
            </w: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noncontrolling interests</w:t>
            </w: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0.57</w:t>
            </w: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0.75</w:t>
            </w: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0.74</w:t>
            </w: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1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Add: Non-GAAP adjustments to earnings</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per ADS</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(3.62)</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6.16</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2.56</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0.37</w:t>
            </w:r>
          </w:p>
        </w:tc>
        <w:tc>
          <w:tcPr>
            <w:tcW w:w="0" w:type="dxa"/>
            <w:vAlign w:val="bottom"/>
          </w:tcPr>
          <w:p>
            <w:pPr>
              <w:spacing w:after="0"/>
              <w:rPr>
                <w:sz w:val="1"/>
                <w:szCs w:val="1"/>
                <w:color w:val="auto"/>
              </w:rPr>
            </w:pPr>
          </w:p>
        </w:tc>
      </w:tr>
      <w:tr>
        <w:trPr>
          <w:trHeight w:val="26"/>
        </w:trPr>
        <w:tc>
          <w:tcPr>
            <w:tcW w:w="3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Diluted earnings per ADS (non-GAAP)</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18.54</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10.62</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12.06</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1.75</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20" w:hanging="412"/>
        <w:spacing w:after="0"/>
        <w:tabs>
          <w:tab w:leader="none" w:pos="4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represents amortization of intangible assets excluding those resulting from business combinations.</w:t>
      </w:r>
    </w:p>
    <w:p>
      <w:pPr>
        <w:spacing w:after="0" w:line="30" w:lineRule="exact"/>
        <w:rPr>
          <w:rFonts w:ascii="Times New Roman" w:cs="Times New Roman" w:eastAsia="Times New Roman" w:hAnsi="Times New Roman"/>
          <w:sz w:val="17"/>
          <w:szCs w:val="17"/>
          <w:color w:val="auto"/>
        </w:rPr>
      </w:pPr>
    </w:p>
    <w:p>
      <w:pPr>
        <w:ind w:left="420" w:right="320" w:hanging="412"/>
        <w:spacing w:after="0" w:line="254" w:lineRule="auto"/>
        <w:tabs>
          <w:tab w:leader="none" w:pos="4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represents Baidu’s share of equity method investments for other non-GAAP reconciling items, amortization and impairment of intangible assets not on the investee’s books, accretion of their redeemable noncontrolling interests, and the gain or loss associated with the issuance of shares by the investees at a price higher or lower than the carrying value per share.</w:t>
      </w:r>
    </w:p>
    <w:p>
      <w:pPr>
        <w:spacing w:after="0" w:line="2" w:lineRule="exact"/>
        <w:rPr>
          <w:rFonts w:ascii="Times New Roman" w:cs="Times New Roman" w:eastAsia="Times New Roman" w:hAnsi="Times New Roman"/>
          <w:sz w:val="17"/>
          <w:szCs w:val="17"/>
          <w:color w:val="auto"/>
        </w:rPr>
      </w:pPr>
    </w:p>
    <w:p>
      <w:pPr>
        <w:ind w:left="420" w:hanging="412"/>
        <w:spacing w:after="0"/>
        <w:tabs>
          <w:tab w:leader="none" w:pos="4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represents tax impact of all non-GAAP adjustments.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sectPr>
      <w:pgSz w:w="11900" w:h="16838" w:orient="portrait"/>
      <w:cols w:equalWidth="0" w:num="1">
        <w:col w:w="10600"/>
      </w:cols>
      <w:pgMar w:left="640" w:top="262"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bullet"/>
      <w:start w:val="1"/>
    </w:lvl>
  </w:abstractNum>
  <w:abstractNum w:abstractNumId="7">
    <w:nsid w:val="12200854"/>
    <w:multiLevelType w:val="hybridMultilevel"/>
    <w:lvl w:ilvl="0">
      <w:lvlJc w:val="left"/>
      <w:lvlText w:val="2"/>
      <w:numFmt w:val="bullet"/>
      <w:start w:val="1"/>
    </w:lvl>
  </w:abstractNum>
  <w:abstractNum w:abstractNumId="8">
    <w:nsid w:val="4DB127F8"/>
    <w:multiLevelType w:val="hybridMultilevel"/>
    <w:lvl w:ilvl="0">
      <w:lvlJc w:val="left"/>
      <w:lvlText w:val="4"/>
      <w:numFmt w:val="bullet"/>
      <w:start w:val="1"/>
    </w:lvl>
  </w:abstractNum>
  <w:abstractNum w:abstractNumId="9">
    <w:nsid w:val="216231B"/>
    <w:multiLevelType w:val="hybridMultilevel"/>
    <w:lvl w:ilvl="0">
      <w:lvlJc w:val="left"/>
      <w:lvlText w:val="(%1)"/>
      <w:numFmt w:val="decimal"/>
      <w:start w:val="2"/>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2026-05-18T08:29:31Z</dcterms:created>
  <dcterms:modified xsi:type="dcterms:W3CDTF">2026-05-18T08:29:31Z</dcterms:modified>
</cp:coreProperties>
</file>