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63624d6k.htm"/>
      <w:bookmarkStart w:id="1" w:name="ksd63624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UNDER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March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Resignation of Director </w:t>
      </w:r>
    </w:p>
    <w:p>
      <w:pPr>
        <w:pStyle w:val="TextBody"/>
        <w:bidi w:val="0"/>
        <w:spacing w:before="240" w:after="0"/>
        <w:jc w:val="left"/>
        <w:rPr>
          <w:rFonts w:ascii="Times New Roman" w:hAnsi="Times New Roman"/>
          <w:sz w:val="20"/>
        </w:rPr>
      </w:pPr>
      <w:r>
        <w:rPr>
          <w:rFonts w:ascii="Times New Roman" w:hAnsi="Times New Roman"/>
          <w:sz w:val="20"/>
        </w:rPr>
        <w:t xml:space="preserve">Baidu, Inc. (NASDAQ: BIDU and HKEX: 9888 (HKD Counter) and 89888 (RMB Counter)), (“Baidu” or the “Company”), a leading AI company with strong Internet foundation, today announced that Mr. James Ding has resigned as an independent director of the Company’s board, a member of the Company’s audit committee and corporate governance and nominating committee, and the chairman of the Company’s compensation committee, with effect from March 17, 2026, due to change in the personal work arrangement. The resignation of Mr. Ding does not result from any dispute or disagreement with the Company. Mr. Ding has been a valued member of the board and the Company sincerely appreciates Mr. Ding’s dedicated service and invaluable contributions during his tenure, and wishes him continued success in his future endeavors. </w:t>
      </w:r>
    </w:p>
    <w:p>
      <w:pPr>
        <w:pStyle w:val="TextBody"/>
        <w:bidi w:val="0"/>
        <w:spacing w:before="240" w:after="0"/>
        <w:jc w:val="left"/>
        <w:rPr>
          <w:rFonts w:ascii="Times New Roman" w:hAnsi="Times New Roman"/>
          <w:sz w:val="20"/>
        </w:rPr>
      </w:pPr>
      <w:r>
        <w:rPr>
          <w:rFonts w:ascii="Times New Roman" w:hAnsi="Times New Roman"/>
          <w:sz w:val="20"/>
        </w:rPr>
        <w:t xml:space="preserve">Following Mr. Ding’s resignation, the Company’s audit committee, compensation committee and corporate governance and nominating committee will be adjusted to ensure that each committee consists of two of the Company’s independent directors and complies with applicable corporate governance requirements.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147" w:type="dxa"/>
            <w:gridSpan w:val="2"/>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Haijian He</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March 17,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308</Words>
  <Characters>1682</Characters>
  <CharactersWithSpaces>2006</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6-K</dc:title>
</cp:coreProperties>
</file>