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7226d6k.htm"/>
      <w:bookmarkStart w:id="1" w:name="ksd117226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1"/>
        <w:gridCol w:w="426"/>
        <w:gridCol w:w="9218"/>
      </w:tblGrid>
      <w:tr>
        <w:trPr/>
        <w:tc>
          <w:tcPr>
            <w:tcW w:w="561"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9218" w:type="dxa"/>
            <w:tcBorders/>
            <w:vAlign w:val="center"/>
          </w:tcPr>
          <w:p>
            <w:pPr>
              <w:pStyle w:val="TableContents"/>
              <w:bidi w:val="0"/>
              <w:spacing w:before="0" w:after="283"/>
              <w:jc w:val="left"/>
              <w:rPr>
                <w:sz w:val="4"/>
                <w:szCs w:val="4"/>
              </w:rPr>
            </w:pPr>
            <w:r>
              <w:rPr>
                <w:sz w:val="4"/>
                <w:szCs w:val="4"/>
              </w:rPr>
            </w:r>
          </w:p>
        </w:tc>
      </w:tr>
      <w:tr>
        <w:trPr/>
        <w:tc>
          <w:tcPr>
            <w:tcW w:w="56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426" w:type="dxa"/>
            <w:tcBorders/>
            <w:vAlign w:val="bottom"/>
          </w:tcPr>
          <w:p>
            <w:pPr>
              <w:pStyle w:val="TableContents"/>
              <w:bidi w:val="0"/>
              <w:spacing w:before="0" w:after="283"/>
              <w:jc w:val="left"/>
              <w:rPr/>
            </w:pPr>
            <w:r>
              <w:rPr/>
              <w:t>  </w:t>
            </w:r>
          </w:p>
        </w:tc>
        <w:tc>
          <w:tcPr>
            <w:tcW w:w="921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561" w:type="dxa"/>
            <w:tcBorders/>
            <w:vAlign w:val="center"/>
          </w:tcPr>
          <w:p>
            <w:pPr>
              <w:pStyle w:val="TableContents"/>
              <w:bidi w:val="0"/>
              <w:spacing w:before="0" w:after="283"/>
              <w:jc w:val="left"/>
              <w:rPr>
                <w:sz w:val="4"/>
                <w:szCs w:val="4"/>
              </w:rPr>
            </w:pPr>
            <w:r>
              <w:rPr>
                <w:sz w:val="4"/>
                <w:szCs w:val="4"/>
              </w:rPr>
            </w:r>
          </w:p>
        </w:tc>
        <w:tc>
          <w:tcPr>
            <w:tcW w:w="9644" w:type="dxa"/>
            <w:gridSpan w:val="2"/>
            <w:tcBorders/>
            <w:vAlign w:val="center"/>
          </w:tcPr>
          <w:p>
            <w:pPr>
              <w:pStyle w:val="TableContents"/>
              <w:bidi w:val="0"/>
              <w:spacing w:before="0" w:after="283"/>
              <w:jc w:val="left"/>
              <w:rPr>
                <w:sz w:val="4"/>
                <w:szCs w:val="4"/>
              </w:rPr>
            </w:pPr>
            <w:r>
              <w:rPr>
                <w:sz w:val="4"/>
                <w:szCs w:val="4"/>
              </w:rPr>
            </w:r>
          </w:p>
        </w:tc>
      </w:tr>
      <w:tr>
        <w:trPr/>
        <w:tc>
          <w:tcPr>
            <w:tcW w:w="561" w:type="dxa"/>
            <w:tcBorders/>
          </w:tcPr>
          <w:p>
            <w:pPr>
              <w:pStyle w:val="TableContents"/>
              <w:bidi w:val="0"/>
              <w:spacing w:before="0" w:after="283"/>
              <w:jc w:val="left"/>
              <w:rPr/>
            </w:pPr>
            <w:r>
              <w:rPr/>
              <w:t> </w:t>
            </w:r>
            <w:r>
              <w:rPr/>
              <w:t>3.1</w:t>
            </w:r>
          </w:p>
        </w:tc>
        <w:tc>
          <w:tcPr>
            <w:tcW w:w="426" w:type="dxa"/>
            <w:tcBorders/>
            <w:vAlign w:val="bottom"/>
          </w:tcPr>
          <w:p>
            <w:pPr>
              <w:pStyle w:val="TableContents"/>
              <w:bidi w:val="0"/>
              <w:spacing w:before="0" w:after="283"/>
              <w:jc w:val="left"/>
              <w:rPr/>
            </w:pPr>
            <w:r>
              <w:rPr/>
              <w:t>  </w:t>
            </w:r>
          </w:p>
        </w:tc>
        <w:tc>
          <w:tcPr>
            <w:tcW w:w="9218" w:type="dxa"/>
            <w:tcBorders/>
          </w:tcPr>
          <w:p>
            <w:pPr>
              <w:pStyle w:val="TableContents"/>
              <w:bidi w:val="0"/>
              <w:spacing w:before="0" w:after="283"/>
              <w:jc w:val="left"/>
              <w:rPr/>
            </w:pPr>
            <w:r>
              <w:rPr/>
              <w:t>Sixth Amended and Restated Memorandum and Articles of Association of Baidu, Inc.</w:t>
            </w:r>
          </w:p>
        </w:tc>
      </w:tr>
      <w:tr>
        <w:trPr>
          <w:trHeight w:val="120" w:hRule="atLeast"/>
        </w:trPr>
        <w:tc>
          <w:tcPr>
            <w:tcW w:w="561" w:type="dxa"/>
            <w:tcBorders/>
            <w:vAlign w:val="center"/>
          </w:tcPr>
          <w:p>
            <w:pPr>
              <w:pStyle w:val="TableContents"/>
              <w:bidi w:val="0"/>
              <w:spacing w:before="0" w:after="283"/>
              <w:jc w:val="left"/>
              <w:rPr>
                <w:sz w:val="4"/>
                <w:szCs w:val="4"/>
              </w:rPr>
            </w:pPr>
            <w:r>
              <w:rPr>
                <w:sz w:val="4"/>
                <w:szCs w:val="4"/>
              </w:rPr>
            </w:r>
          </w:p>
        </w:tc>
        <w:tc>
          <w:tcPr>
            <w:tcW w:w="9644" w:type="dxa"/>
            <w:gridSpan w:val="2"/>
            <w:tcBorders/>
            <w:vAlign w:val="center"/>
          </w:tcPr>
          <w:p>
            <w:pPr>
              <w:pStyle w:val="TableContents"/>
              <w:bidi w:val="0"/>
              <w:spacing w:before="0" w:after="283"/>
              <w:jc w:val="left"/>
              <w:rPr>
                <w:sz w:val="4"/>
                <w:szCs w:val="4"/>
              </w:rPr>
            </w:pPr>
            <w:r>
              <w:rPr>
                <w:sz w:val="4"/>
                <w:szCs w:val="4"/>
              </w:rPr>
            </w:r>
          </w:p>
        </w:tc>
      </w:tr>
      <w:tr>
        <w:trPr/>
        <w:tc>
          <w:tcPr>
            <w:tcW w:w="561" w:type="dxa"/>
            <w:tcBorders/>
          </w:tcPr>
          <w:p>
            <w:pPr>
              <w:pStyle w:val="TableContents"/>
              <w:bidi w:val="0"/>
              <w:spacing w:before="0" w:after="283"/>
              <w:jc w:val="left"/>
              <w:rPr/>
            </w:pPr>
            <w:r>
              <w:rPr/>
              <w:t>99.1</w:t>
            </w:r>
          </w:p>
        </w:tc>
        <w:tc>
          <w:tcPr>
            <w:tcW w:w="426" w:type="dxa"/>
            <w:tcBorders/>
            <w:vAlign w:val="bottom"/>
          </w:tcPr>
          <w:p>
            <w:pPr>
              <w:pStyle w:val="TableContents"/>
              <w:bidi w:val="0"/>
              <w:spacing w:before="0" w:after="283"/>
              <w:jc w:val="left"/>
              <w:rPr/>
            </w:pPr>
            <w:r>
              <w:rPr/>
              <w:t>  </w:t>
            </w:r>
          </w:p>
        </w:tc>
        <w:tc>
          <w:tcPr>
            <w:tcW w:w="9218" w:type="dxa"/>
            <w:tcBorders/>
          </w:tcPr>
          <w:p>
            <w:pPr>
              <w:pStyle w:val="TableContents"/>
              <w:bidi w:val="0"/>
              <w:spacing w:before="0" w:after="283"/>
              <w:jc w:val="left"/>
              <w:rPr/>
            </w:pPr>
            <w:r>
              <w:rPr/>
              <w:t>Press Release—Baidu Provides Update on Voluntary Conversion to Dual-Primary Listing on the Main Board of the Hong Kong Stock Exchange</w:t>
            </w:r>
          </w:p>
        </w:tc>
      </w:tr>
      <w:tr>
        <w:trPr>
          <w:trHeight w:val="120" w:hRule="atLeast"/>
        </w:trPr>
        <w:tc>
          <w:tcPr>
            <w:tcW w:w="561" w:type="dxa"/>
            <w:tcBorders/>
            <w:vAlign w:val="center"/>
          </w:tcPr>
          <w:p>
            <w:pPr>
              <w:pStyle w:val="TableContents"/>
              <w:bidi w:val="0"/>
              <w:spacing w:before="0" w:after="283"/>
              <w:jc w:val="left"/>
              <w:rPr>
                <w:sz w:val="4"/>
                <w:szCs w:val="4"/>
              </w:rPr>
            </w:pPr>
            <w:r>
              <w:rPr>
                <w:sz w:val="4"/>
                <w:szCs w:val="4"/>
              </w:rPr>
            </w:r>
          </w:p>
        </w:tc>
        <w:tc>
          <w:tcPr>
            <w:tcW w:w="9644" w:type="dxa"/>
            <w:gridSpan w:val="2"/>
            <w:tcBorders/>
            <w:vAlign w:val="center"/>
          </w:tcPr>
          <w:p>
            <w:pPr>
              <w:pStyle w:val="TableContents"/>
              <w:bidi w:val="0"/>
              <w:spacing w:before="0" w:after="283"/>
              <w:jc w:val="left"/>
              <w:rPr>
                <w:sz w:val="4"/>
                <w:szCs w:val="4"/>
              </w:rPr>
            </w:pPr>
            <w:r>
              <w:rPr>
                <w:sz w:val="4"/>
                <w:szCs w:val="4"/>
              </w:rPr>
            </w:r>
          </w:p>
        </w:tc>
      </w:tr>
      <w:tr>
        <w:trPr/>
        <w:tc>
          <w:tcPr>
            <w:tcW w:w="561" w:type="dxa"/>
            <w:tcBorders/>
          </w:tcPr>
          <w:p>
            <w:pPr>
              <w:pStyle w:val="TableContents"/>
              <w:bidi w:val="0"/>
              <w:spacing w:before="0" w:after="283"/>
              <w:jc w:val="left"/>
              <w:rPr/>
            </w:pPr>
            <w:r>
              <w:rPr/>
              <w:t>99.2</w:t>
            </w:r>
          </w:p>
        </w:tc>
        <w:tc>
          <w:tcPr>
            <w:tcW w:w="426" w:type="dxa"/>
            <w:tcBorders/>
            <w:vAlign w:val="bottom"/>
          </w:tcPr>
          <w:p>
            <w:pPr>
              <w:pStyle w:val="TableContents"/>
              <w:bidi w:val="0"/>
              <w:spacing w:before="0" w:after="283"/>
              <w:jc w:val="left"/>
              <w:rPr/>
            </w:pPr>
            <w:r>
              <w:rPr/>
              <w:t>  </w:t>
            </w:r>
          </w:p>
        </w:tc>
        <w:tc>
          <w:tcPr>
            <w:tcW w:w="9218" w:type="dxa"/>
            <w:tcBorders/>
          </w:tcPr>
          <w:p>
            <w:pPr>
              <w:pStyle w:val="TableContents"/>
              <w:bidi w:val="0"/>
              <w:spacing w:before="0" w:after="283"/>
              <w:jc w:val="left"/>
              <w:rPr/>
            </w:pPr>
            <w:r>
              <w:rPr/>
              <w:t>Announcement with the Stock Exchange of Hong Kong Limited––Voluntary Conversion to Dual Primary Listing on the Hong Kong Stock Exchange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7"/>
        <w:gridCol w:w="92"/>
        <w:gridCol w:w="101"/>
        <w:gridCol w:w="120"/>
        <w:gridCol w:w="3142"/>
      </w:tblGrid>
      <w:tr>
        <w:trPr/>
        <w:tc>
          <w:tcPr>
            <w:tcW w:w="627"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BAIDU, INC.</w:t>
            </w:r>
          </w:p>
        </w:tc>
      </w:tr>
      <w:tr>
        <w:trPr>
          <w:trHeight w:val="240" w:hRule="atLeast"/>
        </w:trPr>
        <w:tc>
          <w:tcPr>
            <w:tcW w:w="627" w:type="dxa"/>
            <w:tcBorders/>
            <w:vAlign w:val="center"/>
          </w:tcPr>
          <w:p>
            <w:pPr>
              <w:pStyle w:val="TableContents"/>
              <w:bidi w:val="0"/>
              <w:spacing w:before="0" w:after="283"/>
              <w:jc w:val="left"/>
              <w:rPr>
                <w:sz w:val="4"/>
                <w:szCs w:val="4"/>
              </w:rPr>
            </w:pPr>
            <w:r>
              <w:rPr>
                <w:sz w:val="4"/>
                <w:szCs w:val="4"/>
              </w:rPr>
            </w:r>
          </w:p>
        </w:tc>
        <w:tc>
          <w:tcPr>
            <w:tcW w:w="193" w:type="dxa"/>
            <w:gridSpan w:val="2"/>
            <w:tcBorders/>
            <w:vAlign w:val="center"/>
          </w:tcPr>
          <w:p>
            <w:pPr>
              <w:pStyle w:val="TableContents"/>
              <w:bidi w:val="0"/>
              <w:spacing w:before="0" w:after="283"/>
              <w:jc w:val="left"/>
              <w:rPr>
                <w:sz w:val="4"/>
                <w:szCs w:val="4"/>
              </w:rPr>
            </w:pPr>
            <w:r>
              <w:rPr>
                <w:sz w:val="4"/>
                <w:szCs w:val="4"/>
              </w:rPr>
            </w:r>
          </w:p>
        </w:tc>
        <w:tc>
          <w:tcPr>
            <w:tcW w:w="3262" w:type="dxa"/>
            <w:gridSpan w:val="2"/>
            <w:tcBorders/>
            <w:vAlign w:val="center"/>
          </w:tcPr>
          <w:p>
            <w:pPr>
              <w:pStyle w:val="TableContents"/>
              <w:bidi w:val="0"/>
              <w:spacing w:before="0" w:after="283"/>
              <w:jc w:val="left"/>
              <w:rPr>
                <w:sz w:val="4"/>
                <w:szCs w:val="4"/>
              </w:rPr>
            </w:pPr>
            <w:r>
              <w:rPr>
                <w:sz w:val="4"/>
                <w:szCs w:val="4"/>
              </w:rPr>
            </w:r>
          </w:p>
        </w:tc>
      </w:tr>
      <w:tr>
        <w:trPr/>
        <w:tc>
          <w:tcPr>
            <w:tcW w:w="627" w:type="dxa"/>
            <w:tcBorders/>
          </w:tcPr>
          <w:p>
            <w:pPr>
              <w:pStyle w:val="TableContents"/>
              <w:bidi w:val="0"/>
              <w:spacing w:before="0" w:after="283"/>
              <w:jc w:val="left"/>
              <w:rPr/>
            </w:pPr>
            <w:r>
              <w:rPr/>
              <w:t>By</w:t>
            </w:r>
          </w:p>
        </w:tc>
        <w:tc>
          <w:tcPr>
            <w:tcW w:w="92" w:type="dxa"/>
            <w:tcBorders/>
            <w:vAlign w:val="bottom"/>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31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Haijian He</w:t>
            </w:r>
          </w:p>
        </w:tc>
      </w:tr>
      <w:tr>
        <w:trPr/>
        <w:tc>
          <w:tcPr>
            <w:tcW w:w="627" w:type="dxa"/>
            <w:tcBorders/>
          </w:tcPr>
          <w:p>
            <w:pPr>
              <w:pStyle w:val="TableContents"/>
              <w:bidi w:val="0"/>
              <w:spacing w:before="0" w:after="283"/>
              <w:jc w:val="left"/>
              <w:rPr/>
            </w:pPr>
            <w:r>
              <w:rPr/>
              <w:t>Name</w:t>
            </w:r>
          </w:p>
        </w:tc>
        <w:tc>
          <w:tcPr>
            <w:tcW w:w="92" w:type="dxa"/>
            <w:tcBorders/>
            <w:vAlign w:val="bottom"/>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3142" w:type="dxa"/>
            <w:tcBorders/>
          </w:tcPr>
          <w:p>
            <w:pPr>
              <w:pStyle w:val="TableContents"/>
              <w:bidi w:val="0"/>
              <w:spacing w:before="0" w:after="283"/>
              <w:jc w:val="left"/>
              <w:rPr/>
            </w:pPr>
            <w:r>
              <w:rPr/>
              <w:t>Haijian He</w:t>
            </w:r>
          </w:p>
        </w:tc>
      </w:tr>
      <w:tr>
        <w:trPr/>
        <w:tc>
          <w:tcPr>
            <w:tcW w:w="627" w:type="dxa"/>
            <w:tcBorders/>
          </w:tcPr>
          <w:p>
            <w:pPr>
              <w:pStyle w:val="TableContents"/>
              <w:bidi w:val="0"/>
              <w:spacing w:before="0" w:after="283"/>
              <w:jc w:val="left"/>
              <w:rPr/>
            </w:pPr>
            <w:r>
              <w:rPr/>
              <w:t>Title</w:t>
            </w:r>
          </w:p>
        </w:tc>
        <w:tc>
          <w:tcPr>
            <w:tcW w:w="92" w:type="dxa"/>
            <w:tcBorders/>
            <w:vAlign w:val="bottom"/>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3142" w:type="dxa"/>
            <w:tcBorders/>
          </w:tcPr>
          <w:p>
            <w:pPr>
              <w:pStyle w:val="TableContents"/>
              <w:bidi w:val="0"/>
              <w:spacing w:before="0" w:after="283"/>
              <w:jc w:val="left"/>
              <w:rPr/>
            </w:pPr>
            <w:r>
              <w:rPr/>
              <w:t>Chief Financial Officer</w:t>
            </w:r>
          </w:p>
        </w:tc>
      </w:tr>
    </w:tbl>
    <w:p>
      <w:pPr>
        <w:pStyle w:val="TextBody"/>
        <w:bidi w:val="0"/>
        <w:spacing w:before="360" w:after="0"/>
        <w:jc w:val="left"/>
        <w:rPr>
          <w:rFonts w:ascii="Times New Roman" w:hAnsi="Times New Roman"/>
          <w:sz w:val="20"/>
        </w:rPr>
      </w:pPr>
      <w:r>
        <w:rPr>
          <w:rFonts w:ascii="Times New Roman" w:hAnsi="Times New Roman"/>
          <w:sz w:val="20"/>
        </w:rPr>
        <w:t xml:space="preserve">Date: August 27, 2026 </w:t>
      </w:r>
    </w:p>
    <w:p>
      <w:pPr>
        <w:pStyle w:val="TextBody"/>
        <w:bidi w:val="0"/>
        <w:spacing w:before="0" w:after="0"/>
        <w:jc w:val="right"/>
        <w:rPr>
          <w:rFonts w:ascii="Times New Roman" w:hAnsi="Times New Roman"/>
          <w:b/>
          <w:sz w:val="20"/>
        </w:rPr>
      </w:pPr>
      <w:bookmarkStart w:id="2" w:name="d117226dex31.htm"/>
      <w:bookmarkStart w:id="3" w:name="ksd117226dex31"/>
      <w:bookmarkEnd w:id="2"/>
      <w:bookmarkEnd w:id="3"/>
      <w:r>
        <w:rPr>
          <w:rFonts w:ascii="Times New Roman" w:hAnsi="Times New Roman"/>
          <w:b/>
          <w:sz w:val="20"/>
        </w:rPr>
        <w:t xml:space="preserve">Exhibit 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THE COMPANIES ACT (AS REVISED)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Company Limited by Shares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SIXTH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MEMORANDUM OF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BAIDU, INC. </w:t>
      </w:r>
    </w:p>
    <w:p>
      <w:pPr>
        <w:pStyle w:val="TextBody"/>
        <w:bidi w:val="0"/>
        <w:spacing w:before="0" w:after="0"/>
        <w:jc w:val="center"/>
        <w:rPr>
          <w:rFonts w:eastAsia="Times New Roman"/>
          <w:b/>
          <w:sz w:val="20"/>
        </w:rPr>
      </w:pPr>
      <w:r>
        <w:rPr>
          <w:rFonts w:eastAsia="PMingLiU"/>
          <w:b/>
          <w:sz w:val="18"/>
        </w:rPr>
        <w:t>百度集團股份有限公司</w:t>
      </w:r>
      <w:r>
        <w:rPr>
          <w:rFonts w:eastAsia="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(adopted by special resolution passed on 26 August 2026 and effective on 1 September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pPr>
            <w:r>
              <w:rPr>
                <w:rFonts w:ascii="Times New Roman" w:hAnsi="Times New Roman"/>
                <w:sz w:val="20"/>
              </w:rPr>
              <w:t xml:space="preserve">The name of the Company is Baidu, Inc. </w:t>
            </w:r>
            <w:r>
              <w:rPr>
                <w:rFonts w:eastAsia="PMingLiU"/>
                <w:sz w:val="18"/>
              </w:rPr>
              <w:t>百度集團股份有限公司</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Registered Office of the Company shall be at the offices of Maples Corporate Services Limited, PO Box 309, Ugland House, Grand Cayman, KY1-1104, Cayman Islands or at such other place as the Directors may from time to time decide.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objects for which the Company is established are unrestricted and the Company shall have full power and authority to carry out any object not prohibited by the Companies Act (As Revised), as amended from time to time, or any other law of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liability of each Member is limited to the amount from time to time unpaid on such Member’s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authorized share capital of the Company is US$43,520 divided into 66,000,000,000 Class A ordinary shares of a nominal or par value of US$0.000000625 each, 2,832,000,000 Class B ordinary shares of a nominal or par value of US$0.000000625 each and 800,000,000 preferred shares of a nominal or par value of US$0.000000625 each, with the power for the Company, insofar as is permitted by law, to redeem or purchase any of its shares and to increase or reduce the said capital subject to the provisions of the Companies Act (As Revised) and the Articles of Association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 provided that, notwithstanding any provision to the contrary contained in this Memorandum of Association, the Company shall have no power to issue bearer shares, warrants, coupons or certificates.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This document is the official version. If there is any discrepancy or inconsistency between this document and its Chinese translation, this document shall prevail.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is registered as exempted, its operations will be carried on subject to the provisions of Section 193 of the Companies Act (As Revised) and, subject to the provisions of the Companies Act (As Revised) and the Articles of Association, it shall have the power to register by way of continuation as a body corporate limited by shares under the laws of any jurisdiction outside the Cayman Islands and to be deregistered in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Capitalized terms that are not defined in this Amended and Restated Memorandum of Association bear the same meaning as those given in the Amended and Restated Articles of Association of the Company adopted by Special Resolution passed on 26 August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THE COMPANIES ACT (AS REVISED)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Company Limited by Shares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SIXTH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BAIDU, INC. </w:t>
      </w:r>
    </w:p>
    <w:p>
      <w:pPr>
        <w:pStyle w:val="TextBody"/>
        <w:bidi w:val="0"/>
        <w:spacing w:before="0" w:after="0"/>
        <w:jc w:val="center"/>
        <w:rPr>
          <w:rFonts w:eastAsia="Times New Roman"/>
          <w:b/>
          <w:sz w:val="20"/>
        </w:rPr>
      </w:pPr>
      <w:r>
        <w:rPr>
          <w:rFonts w:eastAsia="PMingLiU"/>
          <w:b/>
          <w:sz w:val="18"/>
        </w:rPr>
        <w:t>百度集團股份有限公司</w:t>
      </w:r>
      <w:r>
        <w:rPr>
          <w:rFonts w:eastAsia="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(adopted by special resolution passed on 26 August 2026 and effective on 1 September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these Articles, Table A in the First Schedule to the Statute does not apply and, unless there be something in the subject or context inconsistent therewith,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11"/>
        <w:gridCol w:w="123"/>
        <w:gridCol w:w="7571"/>
      </w:tblGrid>
      <w:tr>
        <w:trPr/>
        <w:tc>
          <w:tcPr>
            <w:tcW w:w="251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571" w:type="dxa"/>
            <w:tcBorders/>
            <w:vAlign w:val="center"/>
          </w:tcPr>
          <w:p>
            <w:pPr>
              <w:pStyle w:val="TableContents"/>
              <w:bidi w:val="0"/>
              <w:spacing w:before="0" w:after="283"/>
              <w:jc w:val="left"/>
              <w:rPr>
                <w:sz w:val="4"/>
                <w:szCs w:val="4"/>
              </w:rPr>
            </w:pPr>
            <w:r>
              <w:rPr>
                <w:sz w:val="4"/>
                <w:szCs w:val="4"/>
              </w:rPr>
            </w:r>
          </w:p>
        </w:tc>
      </w:tr>
      <w:tr>
        <w:trPr/>
        <w:tc>
          <w:tcPr>
            <w:tcW w:w="2511" w:type="dxa"/>
            <w:tcBorders/>
          </w:tcPr>
          <w:p>
            <w:pPr>
              <w:pStyle w:val="TableContents"/>
              <w:bidi w:val="0"/>
              <w:spacing w:before="0" w:after="283"/>
              <w:jc w:val="left"/>
              <w:rPr/>
            </w:pPr>
            <w:r>
              <w:rPr/>
              <w:t>“</w:t>
            </w:r>
            <w:r>
              <w:rPr/>
              <w:t>Affiliate”</w:t>
            </w:r>
          </w:p>
        </w:tc>
        <w:tc>
          <w:tcPr>
            <w:tcW w:w="123" w:type="dxa"/>
            <w:tcBorders/>
            <w:vAlign w:val="bottom"/>
          </w:tcPr>
          <w:p>
            <w:pPr>
              <w:pStyle w:val="TableContents"/>
              <w:bidi w:val="0"/>
              <w:spacing w:before="0" w:after="283"/>
              <w:jc w:val="left"/>
              <w:rPr/>
            </w:pPr>
            <w:r>
              <w:rPr/>
              <w:t>  </w:t>
            </w:r>
          </w:p>
        </w:tc>
        <w:tc>
          <w:tcPr>
            <w:tcW w:w="7571" w:type="dxa"/>
            <w:tcBorders/>
          </w:tcPr>
          <w:p>
            <w:pPr>
              <w:pStyle w:val="TableContents"/>
              <w:bidi w:val="0"/>
              <w:spacing w:before="0" w:after="283"/>
              <w:jc w:val="left"/>
              <w:rPr/>
            </w:pPr>
            <w:r>
              <w:rPr/>
              <w:t>means (i) in the case of a natural person, such person’s parents,</w:t>
            </w:r>
          </w:p>
        </w:tc>
      </w:tr>
      <w:tr>
        <w:trPr/>
        <w:tc>
          <w:tcPr>
            <w:tcW w:w="2511"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571" w:type="dxa"/>
            <w:tcBorders/>
          </w:tcPr>
          <w:p>
            <w:pPr>
              <w:pStyle w:val="TableContents"/>
              <w:bidi w:val="0"/>
              <w:spacing w:before="0" w:after="283"/>
              <w:jc w:val="left"/>
              <w:rPr/>
            </w:pPr>
            <w:r>
              <w:rPr/>
              <w:t>parents-in-law, spouse, children or grandchildren, a trust for the benefit of any of the foregoing, a company, partnership or any natural person or entity wholly or jointly owned by any of the foregoing, (ii) in the case of an entity, a partnership, a corporation or any natural person or entity which directly, or indirectly through one or more intermediaries, controls, is controlled by, or is under common control with, such entity. The term “control” shall mean the ownership, directly or indirectly, of shares possessing more than fifty percent (50%) of the voting power of the corporation, or the partnership or other entity (other than, in the case of corporation, share having such power only by reason of the happening of a contingency), or having the power to control the management or elect a majority of members to the board of directors or equivalent decision-making body of such corporation, partnership or other entity.</w:t>
            </w:r>
          </w:p>
        </w:tc>
      </w:tr>
      <w:tr>
        <w:trPr>
          <w:trHeight w:val="120" w:hRule="atLeast"/>
        </w:trPr>
        <w:tc>
          <w:tcPr>
            <w:tcW w:w="2511" w:type="dxa"/>
            <w:tcBorders/>
            <w:vAlign w:val="center"/>
          </w:tcPr>
          <w:p>
            <w:pPr>
              <w:pStyle w:val="TableContents"/>
              <w:bidi w:val="0"/>
              <w:spacing w:before="0" w:after="283"/>
              <w:jc w:val="left"/>
              <w:rPr>
                <w:sz w:val="4"/>
                <w:szCs w:val="4"/>
              </w:rPr>
            </w:pPr>
            <w:r>
              <w:rPr>
                <w:sz w:val="4"/>
                <w:szCs w:val="4"/>
              </w:rPr>
            </w:r>
          </w:p>
        </w:tc>
        <w:tc>
          <w:tcPr>
            <w:tcW w:w="7694" w:type="dxa"/>
            <w:gridSpan w:val="2"/>
            <w:tcBorders/>
            <w:vAlign w:val="center"/>
          </w:tcPr>
          <w:p>
            <w:pPr>
              <w:pStyle w:val="TableContents"/>
              <w:bidi w:val="0"/>
              <w:spacing w:before="0" w:after="283"/>
              <w:jc w:val="left"/>
              <w:rPr>
                <w:sz w:val="4"/>
                <w:szCs w:val="4"/>
              </w:rPr>
            </w:pPr>
            <w:r>
              <w:rPr>
                <w:sz w:val="4"/>
                <w:szCs w:val="4"/>
              </w:rPr>
            </w:r>
          </w:p>
        </w:tc>
      </w:tr>
      <w:tr>
        <w:trPr/>
        <w:tc>
          <w:tcPr>
            <w:tcW w:w="2511" w:type="dxa"/>
            <w:tcBorders/>
          </w:tcPr>
          <w:p>
            <w:pPr>
              <w:pStyle w:val="TableContents"/>
              <w:bidi w:val="0"/>
              <w:spacing w:before="0" w:after="283"/>
              <w:jc w:val="left"/>
              <w:rPr/>
            </w:pPr>
            <w:r>
              <w:rPr/>
              <w:t>“</w:t>
            </w:r>
            <w:r>
              <w:rPr/>
              <w:t>Articles”</w:t>
            </w:r>
          </w:p>
        </w:tc>
        <w:tc>
          <w:tcPr>
            <w:tcW w:w="123" w:type="dxa"/>
            <w:tcBorders/>
            <w:vAlign w:val="bottom"/>
          </w:tcPr>
          <w:p>
            <w:pPr>
              <w:pStyle w:val="TableContents"/>
              <w:bidi w:val="0"/>
              <w:spacing w:before="0" w:after="283"/>
              <w:jc w:val="left"/>
              <w:rPr/>
            </w:pPr>
            <w:r>
              <w:rPr/>
              <w:t>  </w:t>
            </w:r>
          </w:p>
        </w:tc>
        <w:tc>
          <w:tcPr>
            <w:tcW w:w="7571" w:type="dxa"/>
            <w:tcBorders/>
          </w:tcPr>
          <w:p>
            <w:pPr>
              <w:pStyle w:val="TableContents"/>
              <w:bidi w:val="0"/>
              <w:spacing w:before="0" w:after="283"/>
              <w:jc w:val="left"/>
              <w:rPr/>
            </w:pPr>
            <w:r>
              <w:rPr/>
              <w:t>means the Sixth Amended and Restated Articles of Association adopted by Special Resolution, as from time to time altered, added to and substituted in accordance with the Statutes and these Articles.</w:t>
            </w:r>
          </w:p>
        </w:tc>
      </w:tr>
      <w:tr>
        <w:trPr>
          <w:trHeight w:val="120" w:hRule="atLeast"/>
        </w:trPr>
        <w:tc>
          <w:tcPr>
            <w:tcW w:w="2511" w:type="dxa"/>
            <w:tcBorders/>
            <w:vAlign w:val="center"/>
          </w:tcPr>
          <w:p>
            <w:pPr>
              <w:pStyle w:val="TableContents"/>
              <w:bidi w:val="0"/>
              <w:spacing w:before="0" w:after="283"/>
              <w:jc w:val="left"/>
              <w:rPr>
                <w:sz w:val="4"/>
                <w:szCs w:val="4"/>
              </w:rPr>
            </w:pPr>
            <w:r>
              <w:rPr>
                <w:sz w:val="4"/>
                <w:szCs w:val="4"/>
              </w:rPr>
            </w:r>
          </w:p>
        </w:tc>
        <w:tc>
          <w:tcPr>
            <w:tcW w:w="7694" w:type="dxa"/>
            <w:gridSpan w:val="2"/>
            <w:tcBorders/>
            <w:vAlign w:val="center"/>
          </w:tcPr>
          <w:p>
            <w:pPr>
              <w:pStyle w:val="TableContents"/>
              <w:bidi w:val="0"/>
              <w:spacing w:before="0" w:after="283"/>
              <w:jc w:val="left"/>
              <w:rPr>
                <w:sz w:val="4"/>
                <w:szCs w:val="4"/>
              </w:rPr>
            </w:pPr>
            <w:r>
              <w:rPr>
                <w:sz w:val="4"/>
                <w:szCs w:val="4"/>
              </w:rPr>
            </w:r>
          </w:p>
        </w:tc>
      </w:tr>
      <w:tr>
        <w:trPr/>
        <w:tc>
          <w:tcPr>
            <w:tcW w:w="2511" w:type="dxa"/>
            <w:tcBorders/>
          </w:tcPr>
          <w:p>
            <w:pPr>
              <w:pStyle w:val="TableContents"/>
              <w:bidi w:val="0"/>
              <w:spacing w:before="0" w:after="283"/>
              <w:jc w:val="left"/>
              <w:rPr/>
            </w:pPr>
            <w:r>
              <w:rPr/>
              <w:t>“</w:t>
            </w:r>
            <w:r>
              <w:rPr/>
              <w:t>Auditor”</w:t>
            </w:r>
          </w:p>
        </w:tc>
        <w:tc>
          <w:tcPr>
            <w:tcW w:w="123" w:type="dxa"/>
            <w:tcBorders/>
            <w:vAlign w:val="bottom"/>
          </w:tcPr>
          <w:p>
            <w:pPr>
              <w:pStyle w:val="TableContents"/>
              <w:bidi w:val="0"/>
              <w:spacing w:before="0" w:after="283"/>
              <w:jc w:val="left"/>
              <w:rPr/>
            </w:pPr>
            <w:r>
              <w:rPr/>
              <w:t>  </w:t>
            </w:r>
          </w:p>
        </w:tc>
        <w:tc>
          <w:tcPr>
            <w:tcW w:w="7571" w:type="dxa"/>
            <w:tcBorders/>
          </w:tcPr>
          <w:p>
            <w:pPr>
              <w:pStyle w:val="TableContents"/>
              <w:bidi w:val="0"/>
              <w:spacing w:before="0" w:after="283"/>
              <w:jc w:val="left"/>
              <w:rPr/>
            </w:pPr>
            <w:r>
              <w:rPr/>
              <w:t>means the person or persons for the time being performing the duties of auditor of the Company.</w:t>
            </w:r>
          </w:p>
        </w:tc>
      </w:tr>
      <w:tr>
        <w:trPr>
          <w:trHeight w:val="120" w:hRule="atLeast"/>
        </w:trPr>
        <w:tc>
          <w:tcPr>
            <w:tcW w:w="2511" w:type="dxa"/>
            <w:tcBorders/>
            <w:vAlign w:val="center"/>
          </w:tcPr>
          <w:p>
            <w:pPr>
              <w:pStyle w:val="TableContents"/>
              <w:bidi w:val="0"/>
              <w:spacing w:before="0" w:after="283"/>
              <w:jc w:val="left"/>
              <w:rPr>
                <w:sz w:val="4"/>
                <w:szCs w:val="4"/>
              </w:rPr>
            </w:pPr>
            <w:r>
              <w:rPr>
                <w:sz w:val="4"/>
                <w:szCs w:val="4"/>
              </w:rPr>
            </w:r>
          </w:p>
        </w:tc>
        <w:tc>
          <w:tcPr>
            <w:tcW w:w="7694" w:type="dxa"/>
            <w:gridSpan w:val="2"/>
            <w:tcBorders/>
            <w:vAlign w:val="center"/>
          </w:tcPr>
          <w:p>
            <w:pPr>
              <w:pStyle w:val="TableContents"/>
              <w:bidi w:val="0"/>
              <w:spacing w:before="0" w:after="283"/>
              <w:jc w:val="left"/>
              <w:rPr>
                <w:sz w:val="4"/>
                <w:szCs w:val="4"/>
              </w:rPr>
            </w:pPr>
            <w:r>
              <w:rPr>
                <w:sz w:val="4"/>
                <w:szCs w:val="4"/>
              </w:rPr>
            </w:r>
          </w:p>
        </w:tc>
      </w:tr>
      <w:tr>
        <w:trPr/>
        <w:tc>
          <w:tcPr>
            <w:tcW w:w="2511" w:type="dxa"/>
            <w:tcBorders/>
          </w:tcPr>
          <w:p>
            <w:pPr>
              <w:pStyle w:val="TableContents"/>
              <w:bidi w:val="0"/>
              <w:spacing w:before="0" w:after="283"/>
              <w:jc w:val="left"/>
              <w:rPr/>
            </w:pPr>
            <w:r>
              <w:rPr/>
              <w:t>“</w:t>
            </w:r>
            <w:r>
              <w:rPr/>
              <w:t>Class A Ordinary Share”</w:t>
            </w:r>
          </w:p>
        </w:tc>
        <w:tc>
          <w:tcPr>
            <w:tcW w:w="123" w:type="dxa"/>
            <w:tcBorders/>
            <w:vAlign w:val="bottom"/>
          </w:tcPr>
          <w:p>
            <w:pPr>
              <w:pStyle w:val="TableContents"/>
              <w:bidi w:val="0"/>
              <w:spacing w:before="0" w:after="283"/>
              <w:jc w:val="left"/>
              <w:rPr/>
            </w:pPr>
            <w:r>
              <w:rPr/>
              <w:t>  </w:t>
            </w:r>
          </w:p>
        </w:tc>
        <w:tc>
          <w:tcPr>
            <w:tcW w:w="7571" w:type="dxa"/>
            <w:tcBorders/>
          </w:tcPr>
          <w:p>
            <w:pPr>
              <w:pStyle w:val="TableContents"/>
              <w:bidi w:val="0"/>
              <w:spacing w:before="0" w:after="283"/>
              <w:jc w:val="left"/>
              <w:rPr/>
            </w:pPr>
            <w:r>
              <w:rPr/>
              <w:t>means a Class A Ordinary Share in the capital of the Company.</w:t>
            </w:r>
          </w:p>
        </w:tc>
      </w:tr>
      <w:tr>
        <w:trPr>
          <w:trHeight w:val="120" w:hRule="atLeast"/>
        </w:trPr>
        <w:tc>
          <w:tcPr>
            <w:tcW w:w="2511" w:type="dxa"/>
            <w:tcBorders/>
            <w:vAlign w:val="center"/>
          </w:tcPr>
          <w:p>
            <w:pPr>
              <w:pStyle w:val="TableContents"/>
              <w:bidi w:val="0"/>
              <w:spacing w:before="0" w:after="283"/>
              <w:jc w:val="left"/>
              <w:rPr>
                <w:sz w:val="4"/>
                <w:szCs w:val="4"/>
              </w:rPr>
            </w:pPr>
            <w:r>
              <w:rPr>
                <w:sz w:val="4"/>
                <w:szCs w:val="4"/>
              </w:rPr>
            </w:r>
          </w:p>
        </w:tc>
        <w:tc>
          <w:tcPr>
            <w:tcW w:w="7694" w:type="dxa"/>
            <w:gridSpan w:val="2"/>
            <w:tcBorders/>
            <w:vAlign w:val="center"/>
          </w:tcPr>
          <w:p>
            <w:pPr>
              <w:pStyle w:val="TableContents"/>
              <w:bidi w:val="0"/>
              <w:spacing w:before="0" w:after="283"/>
              <w:jc w:val="left"/>
              <w:rPr>
                <w:sz w:val="4"/>
                <w:szCs w:val="4"/>
              </w:rPr>
            </w:pPr>
            <w:r>
              <w:rPr>
                <w:sz w:val="4"/>
                <w:szCs w:val="4"/>
              </w:rPr>
            </w:r>
          </w:p>
        </w:tc>
      </w:tr>
      <w:tr>
        <w:trPr/>
        <w:tc>
          <w:tcPr>
            <w:tcW w:w="2511" w:type="dxa"/>
            <w:tcBorders/>
          </w:tcPr>
          <w:p>
            <w:pPr>
              <w:pStyle w:val="TableContents"/>
              <w:bidi w:val="0"/>
              <w:spacing w:before="0" w:after="283"/>
              <w:jc w:val="left"/>
              <w:rPr/>
            </w:pPr>
            <w:r>
              <w:rPr/>
              <w:t>“</w:t>
            </w:r>
            <w:r>
              <w:rPr/>
              <w:t>Class B Ordinary Share”</w:t>
            </w:r>
          </w:p>
        </w:tc>
        <w:tc>
          <w:tcPr>
            <w:tcW w:w="123" w:type="dxa"/>
            <w:tcBorders/>
            <w:vAlign w:val="bottom"/>
          </w:tcPr>
          <w:p>
            <w:pPr>
              <w:pStyle w:val="TableContents"/>
              <w:bidi w:val="0"/>
              <w:spacing w:before="0" w:after="283"/>
              <w:jc w:val="left"/>
              <w:rPr/>
            </w:pPr>
            <w:r>
              <w:rPr/>
              <w:t>  </w:t>
            </w:r>
          </w:p>
        </w:tc>
        <w:tc>
          <w:tcPr>
            <w:tcW w:w="7571" w:type="dxa"/>
            <w:tcBorders/>
          </w:tcPr>
          <w:p>
            <w:pPr>
              <w:pStyle w:val="TableContents"/>
              <w:bidi w:val="0"/>
              <w:spacing w:before="0" w:after="283"/>
              <w:jc w:val="left"/>
              <w:rPr/>
            </w:pPr>
            <w:r>
              <w:rPr/>
              <w:t>means a Class B Ordinary Share in the capital of the Company.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615"/>
        <w:gridCol w:w="120"/>
        <w:gridCol w:w="7470"/>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470" w:type="dxa"/>
            <w:tcBorders/>
            <w:vAlign w:val="center"/>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283"/>
              <w:jc w:val="left"/>
              <w:rPr/>
            </w:pPr>
            <w:r>
              <w:rPr/>
              <w:t>“</w:t>
            </w:r>
            <w:r>
              <w:rPr/>
              <w:t>Communication Facilities”</w:t>
            </w:r>
          </w:p>
        </w:tc>
        <w:tc>
          <w:tcPr>
            <w:tcW w:w="120" w:type="dxa"/>
            <w:tcBorders/>
            <w:vAlign w:val="bottom"/>
          </w:tcPr>
          <w:p>
            <w:pPr>
              <w:pStyle w:val="TableContents"/>
              <w:bidi w:val="0"/>
              <w:spacing w:before="0" w:after="283"/>
              <w:jc w:val="left"/>
              <w:rPr/>
            </w:pPr>
            <w:r>
              <w:rPr/>
              <w:t>  </w:t>
            </w:r>
          </w:p>
        </w:tc>
        <w:tc>
          <w:tcPr>
            <w:tcW w:w="7470" w:type="dxa"/>
            <w:tcBorders/>
          </w:tcPr>
          <w:p>
            <w:pPr>
              <w:pStyle w:val="TableContents"/>
              <w:bidi w:val="0"/>
              <w:spacing w:before="0" w:after="283"/>
              <w:jc w:val="left"/>
              <w:rPr/>
            </w:pPr>
            <w:r>
              <w:rPr/>
              <w:t>means video, video-conferencing, internet or online conferencing applications, telephone or tele-conferencing and/or any other video-communication, internet or online conferencing application or telecommunications facilities by means of which all Persons participating in a meeting are capable of hearing and being heard by each other and all members’ rights to speak and vote at the meeting are maintained.</w:t>
            </w:r>
          </w:p>
        </w:tc>
      </w:tr>
      <w:tr>
        <w:trPr>
          <w:trHeight w:val="120" w:hRule="atLeast"/>
        </w:trPr>
        <w:tc>
          <w:tcPr>
            <w:tcW w:w="2615" w:type="dxa"/>
            <w:tcBorders/>
            <w:vAlign w:val="center"/>
          </w:tcPr>
          <w:p>
            <w:pPr>
              <w:pStyle w:val="TableContents"/>
              <w:bidi w:val="0"/>
              <w:spacing w:before="0" w:after="283"/>
              <w:jc w:val="left"/>
              <w:rPr>
                <w:sz w:val="4"/>
                <w:szCs w:val="4"/>
              </w:rPr>
            </w:pPr>
            <w:r>
              <w:rPr>
                <w:sz w:val="4"/>
                <w:szCs w:val="4"/>
              </w:rPr>
            </w:r>
          </w:p>
        </w:tc>
        <w:tc>
          <w:tcPr>
            <w:tcW w:w="7590"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283"/>
              <w:jc w:val="left"/>
              <w:rPr/>
            </w:pPr>
            <w:r>
              <w:rPr/>
              <w:t>“</w:t>
            </w:r>
            <w:r>
              <w:rPr/>
              <w:t>Company”</w:t>
            </w:r>
          </w:p>
        </w:tc>
        <w:tc>
          <w:tcPr>
            <w:tcW w:w="120" w:type="dxa"/>
            <w:tcBorders/>
            <w:vAlign w:val="bottom"/>
          </w:tcPr>
          <w:p>
            <w:pPr>
              <w:pStyle w:val="TableContents"/>
              <w:bidi w:val="0"/>
              <w:spacing w:before="0" w:after="283"/>
              <w:jc w:val="left"/>
              <w:rPr/>
            </w:pPr>
            <w:r>
              <w:rPr/>
              <w:t>  </w:t>
            </w:r>
          </w:p>
        </w:tc>
        <w:tc>
          <w:tcPr>
            <w:tcW w:w="7470" w:type="dxa"/>
            <w:tcBorders/>
          </w:tcPr>
          <w:p>
            <w:pPr>
              <w:pStyle w:val="TableContents"/>
              <w:bidi w:val="0"/>
              <w:spacing w:before="0" w:after="283"/>
              <w:jc w:val="left"/>
              <w:rPr/>
            </w:pPr>
            <w:r>
              <w:rPr/>
              <w:t xml:space="preserve">means Baidu, Inc. </w:t>
            </w:r>
            <w:r>
              <w:rPr>
                <w:rFonts w:eastAsia="PMingLiU"/>
                <w:sz w:val="18"/>
              </w:rPr>
              <w:t>百度集團股份有限公司</w:t>
            </w:r>
            <w:r>
              <w:rPr/>
              <w:t>.</w:t>
            </w:r>
          </w:p>
        </w:tc>
      </w:tr>
      <w:tr>
        <w:trPr>
          <w:trHeight w:val="120" w:hRule="atLeast"/>
        </w:trPr>
        <w:tc>
          <w:tcPr>
            <w:tcW w:w="2615" w:type="dxa"/>
            <w:tcBorders/>
            <w:vAlign w:val="center"/>
          </w:tcPr>
          <w:p>
            <w:pPr>
              <w:pStyle w:val="TableContents"/>
              <w:bidi w:val="0"/>
              <w:spacing w:before="0" w:after="283"/>
              <w:jc w:val="left"/>
              <w:rPr>
                <w:sz w:val="4"/>
                <w:szCs w:val="4"/>
              </w:rPr>
            </w:pPr>
            <w:r>
              <w:rPr>
                <w:sz w:val="4"/>
                <w:szCs w:val="4"/>
              </w:rPr>
            </w:r>
          </w:p>
        </w:tc>
        <w:tc>
          <w:tcPr>
            <w:tcW w:w="7590"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283"/>
              <w:jc w:val="left"/>
              <w:rPr/>
            </w:pPr>
            <w:r>
              <w:rPr/>
              <w:t>“</w:t>
            </w:r>
            <w:r>
              <w:rPr/>
              <w:t>Company’s Website”</w:t>
            </w:r>
          </w:p>
        </w:tc>
        <w:tc>
          <w:tcPr>
            <w:tcW w:w="120" w:type="dxa"/>
            <w:tcBorders/>
            <w:vAlign w:val="bottom"/>
          </w:tcPr>
          <w:p>
            <w:pPr>
              <w:pStyle w:val="TableContents"/>
              <w:bidi w:val="0"/>
              <w:spacing w:before="0" w:after="283"/>
              <w:jc w:val="left"/>
              <w:rPr/>
            </w:pPr>
            <w:r>
              <w:rPr/>
              <w:t>  </w:t>
            </w:r>
          </w:p>
        </w:tc>
        <w:tc>
          <w:tcPr>
            <w:tcW w:w="7470" w:type="dxa"/>
            <w:tcBorders/>
          </w:tcPr>
          <w:p>
            <w:pPr>
              <w:pStyle w:val="TableContents"/>
              <w:bidi w:val="0"/>
              <w:spacing w:before="0" w:after="283"/>
              <w:jc w:val="left"/>
              <w:rPr/>
            </w:pPr>
            <w:r>
              <w:rPr/>
              <w:t>means the website of the Company, the address or domain name of which has been notified to the Members.</w:t>
            </w:r>
          </w:p>
        </w:tc>
      </w:tr>
      <w:tr>
        <w:trPr>
          <w:trHeight w:val="120" w:hRule="atLeast"/>
        </w:trPr>
        <w:tc>
          <w:tcPr>
            <w:tcW w:w="2615" w:type="dxa"/>
            <w:tcBorders/>
            <w:vAlign w:val="center"/>
          </w:tcPr>
          <w:p>
            <w:pPr>
              <w:pStyle w:val="TableContents"/>
              <w:bidi w:val="0"/>
              <w:spacing w:before="0" w:after="283"/>
              <w:jc w:val="left"/>
              <w:rPr>
                <w:sz w:val="4"/>
                <w:szCs w:val="4"/>
              </w:rPr>
            </w:pPr>
            <w:r>
              <w:rPr>
                <w:sz w:val="4"/>
                <w:szCs w:val="4"/>
              </w:rPr>
            </w:r>
          </w:p>
        </w:tc>
        <w:tc>
          <w:tcPr>
            <w:tcW w:w="7590"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283"/>
              <w:jc w:val="left"/>
              <w:rPr/>
            </w:pPr>
            <w:r>
              <w:rPr/>
              <w:t>“</w:t>
            </w:r>
            <w:r>
              <w:rPr/>
              <w:t>Corporate Communication”</w:t>
            </w:r>
          </w:p>
        </w:tc>
        <w:tc>
          <w:tcPr>
            <w:tcW w:w="120" w:type="dxa"/>
            <w:tcBorders/>
            <w:vAlign w:val="bottom"/>
          </w:tcPr>
          <w:p>
            <w:pPr>
              <w:pStyle w:val="TableContents"/>
              <w:bidi w:val="0"/>
              <w:spacing w:before="0" w:after="283"/>
              <w:jc w:val="left"/>
              <w:rPr/>
            </w:pPr>
            <w:r>
              <w:rPr/>
              <w:t>  </w:t>
            </w:r>
          </w:p>
        </w:tc>
        <w:tc>
          <w:tcPr>
            <w:tcW w:w="7470" w:type="dxa"/>
            <w:tcBorders/>
          </w:tcPr>
          <w:p>
            <w:pPr>
              <w:pStyle w:val="TableContents"/>
              <w:bidi w:val="0"/>
              <w:spacing w:before="0" w:after="283"/>
              <w:jc w:val="left"/>
              <w:rPr/>
            </w:pPr>
            <w:r>
              <w:rPr/>
              <w:t>has the same meaning as in the Listing Rules.</w:t>
            </w:r>
          </w:p>
        </w:tc>
      </w:tr>
      <w:tr>
        <w:trPr>
          <w:trHeight w:val="120" w:hRule="atLeast"/>
        </w:trPr>
        <w:tc>
          <w:tcPr>
            <w:tcW w:w="2615" w:type="dxa"/>
            <w:tcBorders/>
            <w:vAlign w:val="center"/>
          </w:tcPr>
          <w:p>
            <w:pPr>
              <w:pStyle w:val="TableContents"/>
              <w:bidi w:val="0"/>
              <w:spacing w:before="0" w:after="283"/>
              <w:jc w:val="left"/>
              <w:rPr>
                <w:sz w:val="4"/>
                <w:szCs w:val="4"/>
              </w:rPr>
            </w:pPr>
            <w:r>
              <w:rPr>
                <w:sz w:val="4"/>
                <w:szCs w:val="4"/>
              </w:rPr>
            </w:r>
          </w:p>
        </w:tc>
        <w:tc>
          <w:tcPr>
            <w:tcW w:w="7590"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283"/>
              <w:jc w:val="left"/>
              <w:rPr/>
            </w:pPr>
            <w:r>
              <w:rPr/>
              <w:t>“</w:t>
            </w:r>
            <w:r>
              <w:rPr/>
              <w:t>debenture”</w:t>
            </w:r>
          </w:p>
        </w:tc>
        <w:tc>
          <w:tcPr>
            <w:tcW w:w="120" w:type="dxa"/>
            <w:tcBorders/>
            <w:vAlign w:val="bottom"/>
          </w:tcPr>
          <w:p>
            <w:pPr>
              <w:pStyle w:val="TableContents"/>
              <w:bidi w:val="0"/>
              <w:spacing w:before="0" w:after="283"/>
              <w:jc w:val="left"/>
              <w:rPr/>
            </w:pPr>
            <w:r>
              <w:rPr/>
              <w:t>  </w:t>
            </w:r>
          </w:p>
        </w:tc>
        <w:tc>
          <w:tcPr>
            <w:tcW w:w="7470" w:type="dxa"/>
            <w:tcBorders/>
          </w:tcPr>
          <w:p>
            <w:pPr>
              <w:pStyle w:val="TableContents"/>
              <w:bidi w:val="0"/>
              <w:spacing w:before="0" w:after="283"/>
              <w:jc w:val="left"/>
              <w:rPr/>
            </w:pPr>
            <w:r>
              <w:rPr/>
              <w:t>means debenture stock, mortgages, bonds and any other such securities of the Company whether constituting a charge on the assets of the Company or not.</w:t>
            </w:r>
          </w:p>
        </w:tc>
      </w:tr>
      <w:tr>
        <w:trPr>
          <w:trHeight w:val="120" w:hRule="atLeast"/>
        </w:trPr>
        <w:tc>
          <w:tcPr>
            <w:tcW w:w="2615" w:type="dxa"/>
            <w:tcBorders/>
            <w:vAlign w:val="center"/>
          </w:tcPr>
          <w:p>
            <w:pPr>
              <w:pStyle w:val="TableContents"/>
              <w:bidi w:val="0"/>
              <w:spacing w:before="0" w:after="283"/>
              <w:jc w:val="left"/>
              <w:rPr>
                <w:sz w:val="4"/>
                <w:szCs w:val="4"/>
              </w:rPr>
            </w:pPr>
            <w:r>
              <w:rPr>
                <w:sz w:val="4"/>
                <w:szCs w:val="4"/>
              </w:rPr>
            </w:r>
          </w:p>
        </w:tc>
        <w:tc>
          <w:tcPr>
            <w:tcW w:w="7590"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283"/>
              <w:jc w:val="left"/>
              <w:rPr/>
            </w:pPr>
            <w:r>
              <w:rPr/>
              <w:t>“</w:t>
            </w:r>
            <w:r>
              <w:rPr/>
              <w:t>Directors” and “Board of Directors”</w:t>
            </w:r>
          </w:p>
        </w:tc>
        <w:tc>
          <w:tcPr>
            <w:tcW w:w="120" w:type="dxa"/>
            <w:tcBorders/>
            <w:vAlign w:val="bottom"/>
          </w:tcPr>
          <w:p>
            <w:pPr>
              <w:pStyle w:val="TableContents"/>
              <w:bidi w:val="0"/>
              <w:spacing w:before="0" w:after="283"/>
              <w:jc w:val="left"/>
              <w:rPr/>
            </w:pPr>
            <w:r>
              <w:rPr/>
              <w:t>  </w:t>
            </w:r>
          </w:p>
        </w:tc>
        <w:tc>
          <w:tcPr>
            <w:tcW w:w="7470" w:type="dxa"/>
            <w:tcBorders/>
          </w:tcPr>
          <w:p>
            <w:pPr>
              <w:pStyle w:val="TableContents"/>
              <w:bidi w:val="0"/>
              <w:spacing w:before="0" w:after="283"/>
              <w:jc w:val="left"/>
              <w:rPr/>
            </w:pPr>
            <w:r>
              <w:rPr/>
              <w:t>means the current directors of the board of the Company.</w:t>
            </w:r>
          </w:p>
        </w:tc>
      </w:tr>
      <w:tr>
        <w:trPr>
          <w:trHeight w:val="120" w:hRule="atLeast"/>
        </w:trPr>
        <w:tc>
          <w:tcPr>
            <w:tcW w:w="2615" w:type="dxa"/>
            <w:tcBorders/>
            <w:vAlign w:val="center"/>
          </w:tcPr>
          <w:p>
            <w:pPr>
              <w:pStyle w:val="TableContents"/>
              <w:bidi w:val="0"/>
              <w:spacing w:before="0" w:after="283"/>
              <w:jc w:val="left"/>
              <w:rPr>
                <w:sz w:val="4"/>
                <w:szCs w:val="4"/>
              </w:rPr>
            </w:pPr>
            <w:r>
              <w:rPr>
                <w:sz w:val="4"/>
                <w:szCs w:val="4"/>
              </w:rPr>
            </w:r>
          </w:p>
        </w:tc>
        <w:tc>
          <w:tcPr>
            <w:tcW w:w="7590"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283"/>
              <w:jc w:val="left"/>
              <w:rPr/>
            </w:pPr>
            <w:r>
              <w:rPr/>
              <w:t>“</w:t>
            </w:r>
            <w:r>
              <w:rPr/>
              <w:t>dividend”</w:t>
            </w:r>
          </w:p>
        </w:tc>
        <w:tc>
          <w:tcPr>
            <w:tcW w:w="120" w:type="dxa"/>
            <w:tcBorders/>
            <w:vAlign w:val="bottom"/>
          </w:tcPr>
          <w:p>
            <w:pPr>
              <w:pStyle w:val="TableContents"/>
              <w:bidi w:val="0"/>
              <w:spacing w:before="0" w:after="283"/>
              <w:jc w:val="left"/>
              <w:rPr/>
            </w:pPr>
            <w:r>
              <w:rPr/>
              <w:t>  </w:t>
            </w:r>
          </w:p>
        </w:tc>
        <w:tc>
          <w:tcPr>
            <w:tcW w:w="7470" w:type="dxa"/>
            <w:tcBorders/>
          </w:tcPr>
          <w:p>
            <w:pPr>
              <w:pStyle w:val="TableContents"/>
              <w:bidi w:val="0"/>
              <w:spacing w:before="0" w:after="283"/>
              <w:jc w:val="left"/>
              <w:rPr/>
            </w:pPr>
            <w:r>
              <w:rPr/>
              <w:t>includes bonus dividends.</w:t>
            </w:r>
          </w:p>
        </w:tc>
      </w:tr>
      <w:tr>
        <w:trPr>
          <w:trHeight w:val="120" w:hRule="atLeast"/>
        </w:trPr>
        <w:tc>
          <w:tcPr>
            <w:tcW w:w="2615" w:type="dxa"/>
            <w:tcBorders/>
            <w:vAlign w:val="center"/>
          </w:tcPr>
          <w:p>
            <w:pPr>
              <w:pStyle w:val="TableContents"/>
              <w:bidi w:val="0"/>
              <w:spacing w:before="0" w:after="283"/>
              <w:jc w:val="left"/>
              <w:rPr>
                <w:sz w:val="4"/>
                <w:szCs w:val="4"/>
              </w:rPr>
            </w:pPr>
            <w:r>
              <w:rPr>
                <w:sz w:val="4"/>
                <w:szCs w:val="4"/>
              </w:rPr>
            </w:r>
          </w:p>
        </w:tc>
        <w:tc>
          <w:tcPr>
            <w:tcW w:w="7590"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283"/>
              <w:jc w:val="left"/>
              <w:rPr/>
            </w:pPr>
            <w:r>
              <w:rPr/>
              <w:t>“</w:t>
            </w:r>
            <w:r>
              <w:rPr/>
              <w:t>Electronic”</w:t>
            </w:r>
          </w:p>
        </w:tc>
        <w:tc>
          <w:tcPr>
            <w:tcW w:w="120" w:type="dxa"/>
            <w:tcBorders/>
            <w:vAlign w:val="bottom"/>
          </w:tcPr>
          <w:p>
            <w:pPr>
              <w:pStyle w:val="TableContents"/>
              <w:bidi w:val="0"/>
              <w:spacing w:before="0" w:after="283"/>
              <w:jc w:val="left"/>
              <w:rPr/>
            </w:pPr>
            <w:r>
              <w:rPr/>
              <w:t>  </w:t>
            </w:r>
          </w:p>
        </w:tc>
        <w:tc>
          <w:tcPr>
            <w:tcW w:w="7470" w:type="dxa"/>
            <w:tcBorders/>
          </w:tcPr>
          <w:p>
            <w:pPr>
              <w:pStyle w:val="TableContents"/>
              <w:bidi w:val="0"/>
              <w:spacing w:before="0" w:after="283"/>
              <w:jc w:val="left"/>
              <w:rPr/>
            </w:pPr>
            <w:r>
              <w:rPr/>
              <w:t>has the meaning given to it in the Electronic Transactions Act.</w:t>
            </w:r>
          </w:p>
        </w:tc>
      </w:tr>
      <w:tr>
        <w:trPr>
          <w:trHeight w:val="120" w:hRule="atLeast"/>
        </w:trPr>
        <w:tc>
          <w:tcPr>
            <w:tcW w:w="2615" w:type="dxa"/>
            <w:tcBorders/>
            <w:vAlign w:val="center"/>
          </w:tcPr>
          <w:p>
            <w:pPr>
              <w:pStyle w:val="TableContents"/>
              <w:bidi w:val="0"/>
              <w:spacing w:before="0" w:after="283"/>
              <w:jc w:val="left"/>
              <w:rPr>
                <w:sz w:val="4"/>
                <w:szCs w:val="4"/>
              </w:rPr>
            </w:pPr>
            <w:r>
              <w:rPr>
                <w:sz w:val="4"/>
                <w:szCs w:val="4"/>
              </w:rPr>
            </w:r>
          </w:p>
        </w:tc>
        <w:tc>
          <w:tcPr>
            <w:tcW w:w="7590"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283"/>
              <w:jc w:val="left"/>
              <w:rPr/>
            </w:pPr>
            <w:r>
              <w:rPr/>
              <w:t>“</w:t>
            </w:r>
            <w:r>
              <w:rPr/>
              <w:t>Electronic Record”</w:t>
            </w:r>
          </w:p>
        </w:tc>
        <w:tc>
          <w:tcPr>
            <w:tcW w:w="120" w:type="dxa"/>
            <w:tcBorders/>
            <w:vAlign w:val="bottom"/>
          </w:tcPr>
          <w:p>
            <w:pPr>
              <w:pStyle w:val="TableContents"/>
              <w:bidi w:val="0"/>
              <w:spacing w:before="0" w:after="283"/>
              <w:jc w:val="left"/>
              <w:rPr/>
            </w:pPr>
            <w:r>
              <w:rPr/>
              <w:t>  </w:t>
            </w:r>
          </w:p>
        </w:tc>
        <w:tc>
          <w:tcPr>
            <w:tcW w:w="7470" w:type="dxa"/>
            <w:tcBorders/>
          </w:tcPr>
          <w:p>
            <w:pPr>
              <w:pStyle w:val="TableContents"/>
              <w:bidi w:val="0"/>
              <w:spacing w:before="0" w:after="283"/>
              <w:jc w:val="left"/>
              <w:rPr/>
            </w:pPr>
            <w:r>
              <w:rPr/>
              <w:t>has the meaning given to it in the Electronic Transactions Act.</w:t>
            </w:r>
          </w:p>
        </w:tc>
      </w:tr>
      <w:tr>
        <w:trPr>
          <w:trHeight w:val="120" w:hRule="atLeast"/>
        </w:trPr>
        <w:tc>
          <w:tcPr>
            <w:tcW w:w="2615" w:type="dxa"/>
            <w:tcBorders/>
            <w:vAlign w:val="center"/>
          </w:tcPr>
          <w:p>
            <w:pPr>
              <w:pStyle w:val="TableContents"/>
              <w:bidi w:val="0"/>
              <w:spacing w:before="0" w:after="283"/>
              <w:jc w:val="left"/>
              <w:rPr>
                <w:sz w:val="4"/>
                <w:szCs w:val="4"/>
              </w:rPr>
            </w:pPr>
            <w:r>
              <w:rPr>
                <w:sz w:val="4"/>
                <w:szCs w:val="4"/>
              </w:rPr>
            </w:r>
          </w:p>
        </w:tc>
        <w:tc>
          <w:tcPr>
            <w:tcW w:w="7590"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283"/>
              <w:jc w:val="left"/>
              <w:rPr/>
            </w:pPr>
            <w:r>
              <w:rPr/>
              <w:t>“</w:t>
            </w:r>
            <w:r>
              <w:rPr/>
              <w:t>Electronic Transactions Act”</w:t>
            </w:r>
          </w:p>
        </w:tc>
        <w:tc>
          <w:tcPr>
            <w:tcW w:w="120" w:type="dxa"/>
            <w:tcBorders/>
            <w:vAlign w:val="bottom"/>
          </w:tcPr>
          <w:p>
            <w:pPr>
              <w:pStyle w:val="TableContents"/>
              <w:bidi w:val="0"/>
              <w:spacing w:before="0" w:after="283"/>
              <w:jc w:val="left"/>
              <w:rPr/>
            </w:pPr>
            <w:r>
              <w:rPr/>
              <w:t>  </w:t>
            </w:r>
          </w:p>
        </w:tc>
        <w:tc>
          <w:tcPr>
            <w:tcW w:w="7470" w:type="dxa"/>
            <w:tcBorders/>
          </w:tcPr>
          <w:p>
            <w:pPr>
              <w:pStyle w:val="TableContents"/>
              <w:bidi w:val="0"/>
              <w:spacing w:before="0" w:after="283"/>
              <w:jc w:val="left"/>
              <w:rPr/>
            </w:pPr>
            <w:r>
              <w:rPr/>
              <w:t>means the Electronic Transactions Act (As Revised) of the Cayman Islands and any amendment thereto or re-enactments thereof for the time being in force and includes every other law incorporated therewith or substituted therefor.</w:t>
            </w:r>
          </w:p>
        </w:tc>
      </w:tr>
      <w:tr>
        <w:trPr>
          <w:trHeight w:val="120" w:hRule="atLeast"/>
        </w:trPr>
        <w:tc>
          <w:tcPr>
            <w:tcW w:w="2615" w:type="dxa"/>
            <w:tcBorders/>
            <w:vAlign w:val="center"/>
          </w:tcPr>
          <w:p>
            <w:pPr>
              <w:pStyle w:val="TableContents"/>
              <w:bidi w:val="0"/>
              <w:spacing w:before="0" w:after="283"/>
              <w:jc w:val="left"/>
              <w:rPr>
                <w:sz w:val="4"/>
                <w:szCs w:val="4"/>
              </w:rPr>
            </w:pPr>
            <w:r>
              <w:rPr>
                <w:sz w:val="4"/>
                <w:szCs w:val="4"/>
              </w:rPr>
            </w:r>
          </w:p>
        </w:tc>
        <w:tc>
          <w:tcPr>
            <w:tcW w:w="7590"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283"/>
              <w:jc w:val="left"/>
              <w:rPr/>
            </w:pPr>
            <w:r>
              <w:rPr/>
              <w:t>“</w:t>
            </w:r>
            <w:r>
              <w:rPr/>
              <w:t>Listing Rules”</w:t>
            </w:r>
          </w:p>
        </w:tc>
        <w:tc>
          <w:tcPr>
            <w:tcW w:w="120" w:type="dxa"/>
            <w:tcBorders/>
            <w:vAlign w:val="bottom"/>
          </w:tcPr>
          <w:p>
            <w:pPr>
              <w:pStyle w:val="TableContents"/>
              <w:bidi w:val="0"/>
              <w:spacing w:before="0" w:after="283"/>
              <w:jc w:val="left"/>
              <w:rPr/>
            </w:pPr>
            <w:r>
              <w:rPr/>
              <w:t>  </w:t>
            </w:r>
          </w:p>
        </w:tc>
        <w:tc>
          <w:tcPr>
            <w:tcW w:w="7470" w:type="dxa"/>
            <w:tcBorders/>
          </w:tcPr>
          <w:p>
            <w:pPr>
              <w:pStyle w:val="TableContents"/>
              <w:bidi w:val="0"/>
              <w:spacing w:before="0" w:after="283"/>
              <w:jc w:val="left"/>
              <w:rPr/>
            </w:pPr>
            <w:r>
              <w:rPr/>
              <w:t>means the Rules Governing the Listing of Securities on the The Stock Exchange of Hong Kong Limited as amended from time to time.</w:t>
            </w:r>
          </w:p>
        </w:tc>
      </w:tr>
      <w:tr>
        <w:trPr>
          <w:trHeight w:val="120" w:hRule="atLeast"/>
        </w:trPr>
        <w:tc>
          <w:tcPr>
            <w:tcW w:w="2615" w:type="dxa"/>
            <w:tcBorders/>
            <w:vAlign w:val="center"/>
          </w:tcPr>
          <w:p>
            <w:pPr>
              <w:pStyle w:val="TableContents"/>
              <w:bidi w:val="0"/>
              <w:spacing w:before="0" w:after="283"/>
              <w:jc w:val="left"/>
              <w:rPr>
                <w:sz w:val="4"/>
                <w:szCs w:val="4"/>
              </w:rPr>
            </w:pPr>
            <w:r>
              <w:rPr>
                <w:sz w:val="4"/>
                <w:szCs w:val="4"/>
              </w:rPr>
            </w:r>
          </w:p>
        </w:tc>
        <w:tc>
          <w:tcPr>
            <w:tcW w:w="7590"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283"/>
              <w:jc w:val="left"/>
              <w:rPr/>
            </w:pPr>
            <w:r>
              <w:rPr/>
              <w:t>“</w:t>
            </w:r>
            <w:r>
              <w:rPr/>
              <w:t>Member”</w:t>
            </w:r>
          </w:p>
        </w:tc>
        <w:tc>
          <w:tcPr>
            <w:tcW w:w="120" w:type="dxa"/>
            <w:tcBorders/>
            <w:vAlign w:val="bottom"/>
          </w:tcPr>
          <w:p>
            <w:pPr>
              <w:pStyle w:val="TableContents"/>
              <w:bidi w:val="0"/>
              <w:spacing w:before="0" w:after="283"/>
              <w:jc w:val="left"/>
              <w:rPr/>
            </w:pPr>
            <w:r>
              <w:rPr/>
              <w:t>  </w:t>
            </w:r>
          </w:p>
        </w:tc>
        <w:tc>
          <w:tcPr>
            <w:tcW w:w="7470" w:type="dxa"/>
            <w:tcBorders/>
          </w:tcPr>
          <w:p>
            <w:pPr>
              <w:pStyle w:val="TableContents"/>
              <w:bidi w:val="0"/>
              <w:spacing w:before="0" w:after="283"/>
              <w:jc w:val="left"/>
              <w:rPr/>
            </w:pPr>
            <w:r>
              <w:rPr/>
              <w:t>has the meaning as ascribed to it in the Statute.</w:t>
            </w:r>
          </w:p>
        </w:tc>
      </w:tr>
      <w:tr>
        <w:trPr>
          <w:trHeight w:val="120" w:hRule="atLeast"/>
        </w:trPr>
        <w:tc>
          <w:tcPr>
            <w:tcW w:w="2615" w:type="dxa"/>
            <w:tcBorders/>
            <w:vAlign w:val="center"/>
          </w:tcPr>
          <w:p>
            <w:pPr>
              <w:pStyle w:val="TableContents"/>
              <w:bidi w:val="0"/>
              <w:spacing w:before="0" w:after="283"/>
              <w:jc w:val="left"/>
              <w:rPr>
                <w:sz w:val="4"/>
                <w:szCs w:val="4"/>
              </w:rPr>
            </w:pPr>
            <w:r>
              <w:rPr>
                <w:sz w:val="4"/>
                <w:szCs w:val="4"/>
              </w:rPr>
            </w:r>
          </w:p>
        </w:tc>
        <w:tc>
          <w:tcPr>
            <w:tcW w:w="7590"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283"/>
              <w:jc w:val="left"/>
              <w:rPr/>
            </w:pPr>
            <w:r>
              <w:rPr/>
              <w:t>“</w:t>
            </w:r>
            <w:r>
              <w:rPr/>
              <w:t>month”</w:t>
            </w:r>
          </w:p>
        </w:tc>
        <w:tc>
          <w:tcPr>
            <w:tcW w:w="120" w:type="dxa"/>
            <w:tcBorders/>
            <w:vAlign w:val="bottom"/>
          </w:tcPr>
          <w:p>
            <w:pPr>
              <w:pStyle w:val="TableContents"/>
              <w:bidi w:val="0"/>
              <w:spacing w:before="0" w:after="283"/>
              <w:jc w:val="left"/>
              <w:rPr/>
            </w:pPr>
            <w:r>
              <w:rPr/>
              <w:t>  </w:t>
            </w:r>
          </w:p>
        </w:tc>
        <w:tc>
          <w:tcPr>
            <w:tcW w:w="7470" w:type="dxa"/>
            <w:tcBorders/>
          </w:tcPr>
          <w:p>
            <w:pPr>
              <w:pStyle w:val="TableContents"/>
              <w:bidi w:val="0"/>
              <w:spacing w:before="0" w:after="283"/>
              <w:jc w:val="left"/>
              <w:rPr/>
            </w:pPr>
            <w:r>
              <w:rPr/>
              <w:t>means calendar month.</w:t>
            </w:r>
          </w:p>
        </w:tc>
      </w:tr>
      <w:tr>
        <w:trPr>
          <w:trHeight w:val="120" w:hRule="atLeast"/>
        </w:trPr>
        <w:tc>
          <w:tcPr>
            <w:tcW w:w="2615" w:type="dxa"/>
            <w:tcBorders/>
            <w:vAlign w:val="center"/>
          </w:tcPr>
          <w:p>
            <w:pPr>
              <w:pStyle w:val="TableContents"/>
              <w:bidi w:val="0"/>
              <w:spacing w:before="0" w:after="283"/>
              <w:jc w:val="left"/>
              <w:rPr>
                <w:sz w:val="4"/>
                <w:szCs w:val="4"/>
              </w:rPr>
            </w:pPr>
            <w:r>
              <w:rPr>
                <w:sz w:val="4"/>
                <w:szCs w:val="4"/>
              </w:rPr>
            </w:r>
          </w:p>
        </w:tc>
        <w:tc>
          <w:tcPr>
            <w:tcW w:w="7590"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283"/>
              <w:jc w:val="left"/>
              <w:rPr/>
            </w:pPr>
            <w:r>
              <w:rPr/>
              <w:t>“</w:t>
            </w:r>
            <w:r>
              <w:rPr/>
              <w:t>Ordinary Shares”</w:t>
            </w:r>
          </w:p>
        </w:tc>
        <w:tc>
          <w:tcPr>
            <w:tcW w:w="120" w:type="dxa"/>
            <w:tcBorders/>
            <w:vAlign w:val="bottom"/>
          </w:tcPr>
          <w:p>
            <w:pPr>
              <w:pStyle w:val="TableContents"/>
              <w:bidi w:val="0"/>
              <w:spacing w:before="0" w:after="283"/>
              <w:jc w:val="left"/>
              <w:rPr/>
            </w:pPr>
            <w:r>
              <w:rPr/>
              <w:t>  </w:t>
            </w:r>
          </w:p>
        </w:tc>
        <w:tc>
          <w:tcPr>
            <w:tcW w:w="7470" w:type="dxa"/>
            <w:tcBorders/>
          </w:tcPr>
          <w:p>
            <w:pPr>
              <w:pStyle w:val="TableContents"/>
              <w:bidi w:val="0"/>
              <w:spacing w:before="0" w:after="283"/>
              <w:jc w:val="left"/>
              <w:rPr/>
            </w:pPr>
            <w:r>
              <w:rPr/>
              <w:t>means collectively the Class A Ordinary Shares and the Class B Ordinary Shares.</w:t>
            </w:r>
          </w:p>
        </w:tc>
      </w:tr>
      <w:tr>
        <w:trPr>
          <w:trHeight w:val="120" w:hRule="atLeast"/>
        </w:trPr>
        <w:tc>
          <w:tcPr>
            <w:tcW w:w="2615" w:type="dxa"/>
            <w:tcBorders/>
            <w:vAlign w:val="center"/>
          </w:tcPr>
          <w:p>
            <w:pPr>
              <w:pStyle w:val="TableContents"/>
              <w:bidi w:val="0"/>
              <w:spacing w:before="0" w:after="283"/>
              <w:jc w:val="left"/>
              <w:rPr>
                <w:sz w:val="4"/>
                <w:szCs w:val="4"/>
              </w:rPr>
            </w:pPr>
            <w:r>
              <w:rPr>
                <w:sz w:val="4"/>
                <w:szCs w:val="4"/>
              </w:rPr>
            </w:r>
          </w:p>
        </w:tc>
        <w:tc>
          <w:tcPr>
            <w:tcW w:w="7590" w:type="dxa"/>
            <w:gridSpan w:val="2"/>
            <w:tcBorders/>
            <w:vAlign w:val="center"/>
          </w:tcPr>
          <w:p>
            <w:pPr>
              <w:pStyle w:val="TableContents"/>
              <w:bidi w:val="0"/>
              <w:spacing w:before="0" w:after="283"/>
              <w:jc w:val="left"/>
              <w:rPr>
                <w:sz w:val="4"/>
                <w:szCs w:val="4"/>
              </w:rPr>
            </w:pPr>
            <w:r>
              <w:rPr>
                <w:sz w:val="4"/>
                <w:szCs w:val="4"/>
              </w:rPr>
            </w:r>
          </w:p>
        </w:tc>
      </w:tr>
      <w:tr>
        <w:trPr/>
        <w:tc>
          <w:tcPr>
            <w:tcW w:w="2615" w:type="dxa"/>
            <w:tcBorders/>
          </w:tcPr>
          <w:p>
            <w:pPr>
              <w:pStyle w:val="TableContents"/>
              <w:bidi w:val="0"/>
              <w:spacing w:before="0" w:after="283"/>
              <w:jc w:val="left"/>
              <w:rPr/>
            </w:pPr>
            <w:r>
              <w:rPr/>
              <w:t>“</w:t>
            </w:r>
            <w:r>
              <w:rPr/>
              <w:t>paid up”</w:t>
            </w:r>
          </w:p>
        </w:tc>
        <w:tc>
          <w:tcPr>
            <w:tcW w:w="120" w:type="dxa"/>
            <w:tcBorders/>
            <w:vAlign w:val="bottom"/>
          </w:tcPr>
          <w:p>
            <w:pPr>
              <w:pStyle w:val="TableContents"/>
              <w:bidi w:val="0"/>
              <w:spacing w:before="0" w:after="283"/>
              <w:jc w:val="left"/>
              <w:rPr/>
            </w:pPr>
            <w:r>
              <w:rPr/>
              <w:t>  </w:t>
            </w:r>
          </w:p>
        </w:tc>
        <w:tc>
          <w:tcPr>
            <w:tcW w:w="7470" w:type="dxa"/>
            <w:tcBorders/>
          </w:tcPr>
          <w:p>
            <w:pPr>
              <w:pStyle w:val="TableContents"/>
              <w:bidi w:val="0"/>
              <w:spacing w:before="0" w:after="283"/>
              <w:jc w:val="left"/>
              <w:rPr/>
            </w:pPr>
            <w:r>
              <w:rPr/>
              <w:t>means paid up and/or credited as paid up.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571"/>
        <w:gridCol w:w="122"/>
        <w:gridCol w:w="7512"/>
      </w:tblGrid>
      <w:tr>
        <w:trPr/>
        <w:tc>
          <w:tcPr>
            <w:tcW w:w="257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512" w:type="dxa"/>
            <w:tcBorders/>
            <w:vAlign w:val="center"/>
          </w:tcPr>
          <w:p>
            <w:pPr>
              <w:pStyle w:val="TableContents"/>
              <w:bidi w:val="0"/>
              <w:spacing w:before="0" w:after="283"/>
              <w:jc w:val="left"/>
              <w:rPr>
                <w:sz w:val="4"/>
                <w:szCs w:val="4"/>
              </w:rPr>
            </w:pPr>
            <w:r>
              <w:rPr>
                <w:sz w:val="4"/>
                <w:szCs w:val="4"/>
              </w:rPr>
            </w:r>
          </w:p>
        </w:tc>
      </w:tr>
      <w:tr>
        <w:trPr/>
        <w:tc>
          <w:tcPr>
            <w:tcW w:w="2571" w:type="dxa"/>
            <w:tcBorders/>
          </w:tcPr>
          <w:p>
            <w:pPr>
              <w:pStyle w:val="TableContents"/>
              <w:bidi w:val="0"/>
              <w:spacing w:before="0" w:after="283"/>
              <w:jc w:val="left"/>
              <w:rPr/>
            </w:pPr>
            <w:r>
              <w:rPr/>
              <w:t>“</w:t>
            </w:r>
            <w:r>
              <w:rPr/>
              <w:t>Person”</w:t>
            </w:r>
          </w:p>
        </w:tc>
        <w:tc>
          <w:tcPr>
            <w:tcW w:w="122" w:type="dxa"/>
            <w:tcBorders/>
            <w:vAlign w:val="bottom"/>
          </w:tcPr>
          <w:p>
            <w:pPr>
              <w:pStyle w:val="TableContents"/>
              <w:bidi w:val="0"/>
              <w:spacing w:before="0" w:after="283"/>
              <w:jc w:val="left"/>
              <w:rPr/>
            </w:pPr>
            <w:r>
              <w:rPr/>
              <w:t>  </w:t>
            </w:r>
          </w:p>
        </w:tc>
        <w:tc>
          <w:tcPr>
            <w:tcW w:w="7512" w:type="dxa"/>
            <w:tcBorders/>
          </w:tcPr>
          <w:p>
            <w:pPr>
              <w:pStyle w:val="TableContents"/>
              <w:bidi w:val="0"/>
              <w:spacing w:before="0" w:after="283"/>
              <w:jc w:val="left"/>
              <w:rPr/>
            </w:pPr>
            <w:r>
              <w:rPr/>
              <w:t>means any natural person, firm, company, joint venture, partnership, corporation, association or other entity (whether or not having a separate legal personality) or any of them as the context so requires.</w:t>
            </w:r>
          </w:p>
        </w:tc>
      </w:tr>
      <w:tr>
        <w:trPr>
          <w:trHeight w:val="120" w:hRule="atLeast"/>
        </w:trPr>
        <w:tc>
          <w:tcPr>
            <w:tcW w:w="2571" w:type="dxa"/>
            <w:tcBorders/>
            <w:vAlign w:val="center"/>
          </w:tcPr>
          <w:p>
            <w:pPr>
              <w:pStyle w:val="TableContents"/>
              <w:bidi w:val="0"/>
              <w:spacing w:before="0" w:after="283"/>
              <w:jc w:val="left"/>
              <w:rPr>
                <w:sz w:val="4"/>
                <w:szCs w:val="4"/>
              </w:rPr>
            </w:pPr>
            <w:r>
              <w:rPr>
                <w:sz w:val="4"/>
                <w:szCs w:val="4"/>
              </w:rPr>
            </w:r>
          </w:p>
        </w:tc>
        <w:tc>
          <w:tcPr>
            <w:tcW w:w="7634" w:type="dxa"/>
            <w:gridSpan w:val="2"/>
            <w:tcBorders/>
            <w:vAlign w:val="center"/>
          </w:tcPr>
          <w:p>
            <w:pPr>
              <w:pStyle w:val="TableContents"/>
              <w:bidi w:val="0"/>
              <w:spacing w:before="0" w:after="283"/>
              <w:jc w:val="left"/>
              <w:rPr>
                <w:sz w:val="4"/>
                <w:szCs w:val="4"/>
              </w:rPr>
            </w:pPr>
            <w:r>
              <w:rPr>
                <w:sz w:val="4"/>
                <w:szCs w:val="4"/>
              </w:rPr>
            </w:r>
          </w:p>
        </w:tc>
      </w:tr>
      <w:tr>
        <w:trPr/>
        <w:tc>
          <w:tcPr>
            <w:tcW w:w="2571" w:type="dxa"/>
            <w:tcBorders/>
          </w:tcPr>
          <w:p>
            <w:pPr>
              <w:pStyle w:val="TableContents"/>
              <w:bidi w:val="0"/>
              <w:spacing w:before="0" w:after="283"/>
              <w:jc w:val="left"/>
              <w:rPr/>
            </w:pPr>
            <w:r>
              <w:rPr/>
              <w:t>“</w:t>
            </w:r>
            <w:r>
              <w:rPr/>
              <w:t>Present”</w:t>
            </w:r>
          </w:p>
        </w:tc>
        <w:tc>
          <w:tcPr>
            <w:tcW w:w="122" w:type="dxa"/>
            <w:tcBorders/>
            <w:vAlign w:val="bottom"/>
          </w:tcPr>
          <w:p>
            <w:pPr>
              <w:pStyle w:val="TableContents"/>
              <w:bidi w:val="0"/>
              <w:spacing w:before="0" w:after="283"/>
              <w:jc w:val="left"/>
              <w:rPr/>
            </w:pPr>
            <w:r>
              <w:rPr/>
              <w:t>  </w:t>
            </w:r>
          </w:p>
        </w:tc>
        <w:tc>
          <w:tcPr>
            <w:tcW w:w="7512" w:type="dxa"/>
            <w:tcBorders/>
          </w:tcPr>
          <w:p>
            <w:pPr>
              <w:pStyle w:val="TableContents"/>
              <w:bidi w:val="0"/>
              <w:spacing w:before="0" w:after="0"/>
              <w:jc w:val="left"/>
              <w:rPr>
                <w:rFonts w:ascii="Times New Roman" w:hAnsi="Times New Roman"/>
                <w:sz w:val="20"/>
              </w:rPr>
            </w:pPr>
            <w:r>
              <w:rPr>
                <w:rFonts w:ascii="Times New Roman" w:hAnsi="Times New Roman"/>
                <w:sz w:val="20"/>
              </w:rPr>
              <w:t>means, in respect of any Person, such Person’s presence at a general meeting of members, which may be satisfied by means of such Person or, if a corporation or other non-natural Person, its duly authorised representative (or, in the case of any member, a proxy which has been validly appointed by such member in accordance with these Articles), being: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 physically present at the meeting; 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(b)   in the case of any meeting at which Communication Facilities are permitted, in accordance with these Articles, including any Virtual Meeting, connected by means of the use of such Communication Facilities.</w:t>
            </w:r>
          </w:p>
        </w:tc>
      </w:tr>
      <w:tr>
        <w:trPr>
          <w:trHeight w:val="120" w:hRule="atLeast"/>
        </w:trPr>
        <w:tc>
          <w:tcPr>
            <w:tcW w:w="2571" w:type="dxa"/>
            <w:tcBorders/>
            <w:vAlign w:val="center"/>
          </w:tcPr>
          <w:p>
            <w:pPr>
              <w:pStyle w:val="TableContents"/>
              <w:bidi w:val="0"/>
              <w:spacing w:before="0" w:after="283"/>
              <w:jc w:val="left"/>
              <w:rPr>
                <w:sz w:val="4"/>
                <w:szCs w:val="4"/>
              </w:rPr>
            </w:pPr>
            <w:r>
              <w:rPr>
                <w:sz w:val="4"/>
                <w:szCs w:val="4"/>
              </w:rPr>
            </w:r>
          </w:p>
        </w:tc>
        <w:tc>
          <w:tcPr>
            <w:tcW w:w="7634" w:type="dxa"/>
            <w:gridSpan w:val="2"/>
            <w:tcBorders/>
            <w:vAlign w:val="center"/>
          </w:tcPr>
          <w:p>
            <w:pPr>
              <w:pStyle w:val="TableContents"/>
              <w:bidi w:val="0"/>
              <w:spacing w:before="0" w:after="283"/>
              <w:jc w:val="left"/>
              <w:rPr>
                <w:sz w:val="4"/>
                <w:szCs w:val="4"/>
              </w:rPr>
            </w:pPr>
            <w:r>
              <w:rPr>
                <w:sz w:val="4"/>
                <w:szCs w:val="4"/>
              </w:rPr>
            </w:r>
          </w:p>
        </w:tc>
      </w:tr>
      <w:tr>
        <w:trPr/>
        <w:tc>
          <w:tcPr>
            <w:tcW w:w="2571" w:type="dxa"/>
            <w:tcBorders/>
          </w:tcPr>
          <w:p>
            <w:pPr>
              <w:pStyle w:val="TableContents"/>
              <w:bidi w:val="0"/>
              <w:spacing w:before="0" w:after="283"/>
              <w:jc w:val="left"/>
              <w:rPr/>
            </w:pPr>
            <w:r>
              <w:rPr/>
              <w:t>“</w:t>
            </w:r>
            <w:r>
              <w:rPr/>
              <w:t>Recognised Clearing House”</w:t>
            </w:r>
          </w:p>
        </w:tc>
        <w:tc>
          <w:tcPr>
            <w:tcW w:w="122" w:type="dxa"/>
            <w:tcBorders/>
            <w:vAlign w:val="bottom"/>
          </w:tcPr>
          <w:p>
            <w:pPr>
              <w:pStyle w:val="TableContents"/>
              <w:bidi w:val="0"/>
              <w:spacing w:before="0" w:after="283"/>
              <w:jc w:val="left"/>
              <w:rPr/>
            </w:pPr>
            <w:r>
              <w:rPr/>
              <w:t>  </w:t>
            </w:r>
          </w:p>
        </w:tc>
        <w:tc>
          <w:tcPr>
            <w:tcW w:w="7512" w:type="dxa"/>
            <w:tcBorders/>
          </w:tcPr>
          <w:p>
            <w:pPr>
              <w:pStyle w:val="TableContents"/>
              <w:bidi w:val="0"/>
              <w:spacing w:before="0" w:after="283"/>
              <w:jc w:val="left"/>
              <w:rPr/>
            </w:pPr>
            <w:r>
              <w:rPr/>
              <w:t>has the same meaning as in Part I of Schedule 1 of the Securities and Futures Ordinance (Cap. 571 of the Laws of Hong Kong).</w:t>
            </w:r>
          </w:p>
        </w:tc>
      </w:tr>
      <w:tr>
        <w:trPr>
          <w:trHeight w:val="120" w:hRule="atLeast"/>
        </w:trPr>
        <w:tc>
          <w:tcPr>
            <w:tcW w:w="2571" w:type="dxa"/>
            <w:tcBorders/>
            <w:vAlign w:val="center"/>
          </w:tcPr>
          <w:p>
            <w:pPr>
              <w:pStyle w:val="TableContents"/>
              <w:bidi w:val="0"/>
              <w:spacing w:before="0" w:after="283"/>
              <w:jc w:val="left"/>
              <w:rPr>
                <w:sz w:val="4"/>
                <w:szCs w:val="4"/>
              </w:rPr>
            </w:pPr>
            <w:r>
              <w:rPr>
                <w:sz w:val="4"/>
                <w:szCs w:val="4"/>
              </w:rPr>
            </w:r>
          </w:p>
        </w:tc>
        <w:tc>
          <w:tcPr>
            <w:tcW w:w="7634" w:type="dxa"/>
            <w:gridSpan w:val="2"/>
            <w:tcBorders/>
            <w:vAlign w:val="center"/>
          </w:tcPr>
          <w:p>
            <w:pPr>
              <w:pStyle w:val="TableContents"/>
              <w:bidi w:val="0"/>
              <w:spacing w:before="0" w:after="283"/>
              <w:jc w:val="left"/>
              <w:rPr>
                <w:sz w:val="4"/>
                <w:szCs w:val="4"/>
              </w:rPr>
            </w:pPr>
            <w:r>
              <w:rPr>
                <w:sz w:val="4"/>
                <w:szCs w:val="4"/>
              </w:rPr>
            </w:r>
          </w:p>
        </w:tc>
      </w:tr>
      <w:tr>
        <w:trPr/>
        <w:tc>
          <w:tcPr>
            <w:tcW w:w="2571" w:type="dxa"/>
            <w:tcBorders/>
          </w:tcPr>
          <w:p>
            <w:pPr>
              <w:pStyle w:val="TableContents"/>
              <w:bidi w:val="0"/>
              <w:spacing w:before="0" w:after="283"/>
              <w:jc w:val="left"/>
              <w:rPr/>
            </w:pPr>
            <w:r>
              <w:rPr/>
              <w:t>“</w:t>
            </w:r>
            <w:r>
              <w:rPr/>
              <w:t>registered office”</w:t>
            </w:r>
          </w:p>
        </w:tc>
        <w:tc>
          <w:tcPr>
            <w:tcW w:w="122" w:type="dxa"/>
            <w:tcBorders/>
            <w:vAlign w:val="bottom"/>
          </w:tcPr>
          <w:p>
            <w:pPr>
              <w:pStyle w:val="TableContents"/>
              <w:bidi w:val="0"/>
              <w:spacing w:before="0" w:after="283"/>
              <w:jc w:val="left"/>
              <w:rPr/>
            </w:pPr>
            <w:r>
              <w:rPr/>
              <w:t>  </w:t>
            </w:r>
          </w:p>
        </w:tc>
        <w:tc>
          <w:tcPr>
            <w:tcW w:w="7512" w:type="dxa"/>
            <w:tcBorders/>
          </w:tcPr>
          <w:p>
            <w:pPr>
              <w:pStyle w:val="TableContents"/>
              <w:bidi w:val="0"/>
              <w:spacing w:before="0" w:after="283"/>
              <w:jc w:val="left"/>
              <w:rPr/>
            </w:pPr>
            <w:r>
              <w:rPr/>
              <w:t>means the current registered office of the Company in the Cayman Islands.</w:t>
            </w:r>
          </w:p>
        </w:tc>
      </w:tr>
      <w:tr>
        <w:trPr>
          <w:trHeight w:val="120" w:hRule="atLeast"/>
        </w:trPr>
        <w:tc>
          <w:tcPr>
            <w:tcW w:w="2571" w:type="dxa"/>
            <w:tcBorders/>
            <w:vAlign w:val="center"/>
          </w:tcPr>
          <w:p>
            <w:pPr>
              <w:pStyle w:val="TableContents"/>
              <w:bidi w:val="0"/>
              <w:spacing w:before="0" w:after="283"/>
              <w:jc w:val="left"/>
              <w:rPr>
                <w:sz w:val="4"/>
                <w:szCs w:val="4"/>
              </w:rPr>
            </w:pPr>
            <w:r>
              <w:rPr>
                <w:sz w:val="4"/>
                <w:szCs w:val="4"/>
              </w:rPr>
            </w:r>
          </w:p>
        </w:tc>
        <w:tc>
          <w:tcPr>
            <w:tcW w:w="7634" w:type="dxa"/>
            <w:gridSpan w:val="2"/>
            <w:tcBorders/>
            <w:vAlign w:val="center"/>
          </w:tcPr>
          <w:p>
            <w:pPr>
              <w:pStyle w:val="TableContents"/>
              <w:bidi w:val="0"/>
              <w:spacing w:before="0" w:after="283"/>
              <w:jc w:val="left"/>
              <w:rPr>
                <w:sz w:val="4"/>
                <w:szCs w:val="4"/>
              </w:rPr>
            </w:pPr>
            <w:r>
              <w:rPr>
                <w:sz w:val="4"/>
                <w:szCs w:val="4"/>
              </w:rPr>
            </w:r>
          </w:p>
        </w:tc>
      </w:tr>
      <w:tr>
        <w:trPr/>
        <w:tc>
          <w:tcPr>
            <w:tcW w:w="2571" w:type="dxa"/>
            <w:tcBorders/>
          </w:tcPr>
          <w:p>
            <w:pPr>
              <w:pStyle w:val="TableContents"/>
              <w:bidi w:val="0"/>
              <w:spacing w:before="0" w:after="283"/>
              <w:jc w:val="left"/>
              <w:rPr/>
            </w:pPr>
            <w:r>
              <w:rPr/>
              <w:t>“</w:t>
            </w:r>
            <w:r>
              <w:rPr/>
              <w:t>Seal”</w:t>
            </w:r>
          </w:p>
        </w:tc>
        <w:tc>
          <w:tcPr>
            <w:tcW w:w="122" w:type="dxa"/>
            <w:tcBorders/>
            <w:vAlign w:val="bottom"/>
          </w:tcPr>
          <w:p>
            <w:pPr>
              <w:pStyle w:val="TableContents"/>
              <w:bidi w:val="0"/>
              <w:spacing w:before="0" w:after="283"/>
              <w:jc w:val="left"/>
              <w:rPr/>
            </w:pPr>
            <w:r>
              <w:rPr/>
              <w:t>  </w:t>
            </w:r>
          </w:p>
        </w:tc>
        <w:tc>
          <w:tcPr>
            <w:tcW w:w="7512" w:type="dxa"/>
            <w:tcBorders/>
          </w:tcPr>
          <w:p>
            <w:pPr>
              <w:pStyle w:val="TableContents"/>
              <w:bidi w:val="0"/>
              <w:spacing w:before="0" w:after="283"/>
              <w:jc w:val="left"/>
              <w:rPr/>
            </w:pPr>
            <w:r>
              <w:rPr/>
              <w:t>means the common seal of the Company and includes every duplicate seal.</w:t>
            </w:r>
          </w:p>
        </w:tc>
      </w:tr>
      <w:tr>
        <w:trPr>
          <w:trHeight w:val="120" w:hRule="atLeast"/>
        </w:trPr>
        <w:tc>
          <w:tcPr>
            <w:tcW w:w="2571" w:type="dxa"/>
            <w:tcBorders/>
            <w:vAlign w:val="center"/>
          </w:tcPr>
          <w:p>
            <w:pPr>
              <w:pStyle w:val="TableContents"/>
              <w:bidi w:val="0"/>
              <w:spacing w:before="0" w:after="283"/>
              <w:jc w:val="left"/>
              <w:rPr>
                <w:sz w:val="4"/>
                <w:szCs w:val="4"/>
              </w:rPr>
            </w:pPr>
            <w:r>
              <w:rPr>
                <w:sz w:val="4"/>
                <w:szCs w:val="4"/>
              </w:rPr>
            </w:r>
          </w:p>
        </w:tc>
        <w:tc>
          <w:tcPr>
            <w:tcW w:w="7634" w:type="dxa"/>
            <w:gridSpan w:val="2"/>
            <w:tcBorders/>
            <w:vAlign w:val="center"/>
          </w:tcPr>
          <w:p>
            <w:pPr>
              <w:pStyle w:val="TableContents"/>
              <w:bidi w:val="0"/>
              <w:spacing w:before="0" w:after="283"/>
              <w:jc w:val="left"/>
              <w:rPr>
                <w:sz w:val="4"/>
                <w:szCs w:val="4"/>
              </w:rPr>
            </w:pPr>
            <w:r>
              <w:rPr>
                <w:sz w:val="4"/>
                <w:szCs w:val="4"/>
              </w:rPr>
            </w:r>
          </w:p>
        </w:tc>
      </w:tr>
      <w:tr>
        <w:trPr/>
        <w:tc>
          <w:tcPr>
            <w:tcW w:w="2571" w:type="dxa"/>
            <w:tcBorders/>
          </w:tcPr>
          <w:p>
            <w:pPr>
              <w:pStyle w:val="TableContents"/>
              <w:bidi w:val="0"/>
              <w:spacing w:before="0" w:after="283"/>
              <w:jc w:val="left"/>
              <w:rPr/>
            </w:pPr>
            <w:r>
              <w:rPr/>
              <w:t>“</w:t>
            </w:r>
            <w:r>
              <w:rPr/>
              <w:t>Secretary”</w:t>
            </w:r>
          </w:p>
        </w:tc>
        <w:tc>
          <w:tcPr>
            <w:tcW w:w="122" w:type="dxa"/>
            <w:tcBorders/>
            <w:vAlign w:val="bottom"/>
          </w:tcPr>
          <w:p>
            <w:pPr>
              <w:pStyle w:val="TableContents"/>
              <w:bidi w:val="0"/>
              <w:spacing w:before="0" w:after="283"/>
              <w:jc w:val="left"/>
              <w:rPr/>
            </w:pPr>
            <w:r>
              <w:rPr/>
              <w:t>  </w:t>
            </w:r>
          </w:p>
        </w:tc>
        <w:tc>
          <w:tcPr>
            <w:tcW w:w="7512" w:type="dxa"/>
            <w:tcBorders/>
          </w:tcPr>
          <w:p>
            <w:pPr>
              <w:pStyle w:val="TableContents"/>
              <w:bidi w:val="0"/>
              <w:spacing w:before="0" w:after="283"/>
              <w:jc w:val="left"/>
              <w:rPr/>
            </w:pPr>
            <w:r>
              <w:rPr/>
              <w:t>includes an Assistant Secretary and any person appointed to perform the duties of Secretary of the Company.</w:t>
            </w:r>
          </w:p>
        </w:tc>
      </w:tr>
      <w:tr>
        <w:trPr>
          <w:trHeight w:val="120" w:hRule="atLeast"/>
        </w:trPr>
        <w:tc>
          <w:tcPr>
            <w:tcW w:w="2571" w:type="dxa"/>
            <w:tcBorders/>
            <w:vAlign w:val="center"/>
          </w:tcPr>
          <w:p>
            <w:pPr>
              <w:pStyle w:val="TableContents"/>
              <w:bidi w:val="0"/>
              <w:spacing w:before="0" w:after="283"/>
              <w:jc w:val="left"/>
              <w:rPr>
                <w:sz w:val="4"/>
                <w:szCs w:val="4"/>
              </w:rPr>
            </w:pPr>
            <w:r>
              <w:rPr>
                <w:sz w:val="4"/>
                <w:szCs w:val="4"/>
              </w:rPr>
            </w:r>
          </w:p>
        </w:tc>
        <w:tc>
          <w:tcPr>
            <w:tcW w:w="7634" w:type="dxa"/>
            <w:gridSpan w:val="2"/>
            <w:tcBorders/>
            <w:vAlign w:val="center"/>
          </w:tcPr>
          <w:p>
            <w:pPr>
              <w:pStyle w:val="TableContents"/>
              <w:bidi w:val="0"/>
              <w:spacing w:before="0" w:after="283"/>
              <w:jc w:val="left"/>
              <w:rPr>
                <w:sz w:val="4"/>
                <w:szCs w:val="4"/>
              </w:rPr>
            </w:pPr>
            <w:r>
              <w:rPr>
                <w:sz w:val="4"/>
                <w:szCs w:val="4"/>
              </w:rPr>
            </w:r>
          </w:p>
        </w:tc>
      </w:tr>
      <w:tr>
        <w:trPr/>
        <w:tc>
          <w:tcPr>
            <w:tcW w:w="2571" w:type="dxa"/>
            <w:tcBorders/>
          </w:tcPr>
          <w:p>
            <w:pPr>
              <w:pStyle w:val="TableContents"/>
              <w:bidi w:val="0"/>
              <w:spacing w:before="0" w:after="283"/>
              <w:jc w:val="left"/>
              <w:rPr/>
            </w:pPr>
            <w:r>
              <w:rPr/>
              <w:t>“</w:t>
            </w:r>
            <w:r>
              <w:rPr/>
              <w:t>share”</w:t>
            </w:r>
          </w:p>
        </w:tc>
        <w:tc>
          <w:tcPr>
            <w:tcW w:w="122" w:type="dxa"/>
            <w:tcBorders/>
            <w:vAlign w:val="bottom"/>
          </w:tcPr>
          <w:p>
            <w:pPr>
              <w:pStyle w:val="TableContents"/>
              <w:bidi w:val="0"/>
              <w:spacing w:before="0" w:after="283"/>
              <w:jc w:val="left"/>
              <w:rPr/>
            </w:pPr>
            <w:r>
              <w:rPr/>
              <w:t>  </w:t>
            </w:r>
          </w:p>
        </w:tc>
        <w:tc>
          <w:tcPr>
            <w:tcW w:w="7512" w:type="dxa"/>
            <w:tcBorders/>
          </w:tcPr>
          <w:p>
            <w:pPr>
              <w:pStyle w:val="TableContents"/>
              <w:bidi w:val="0"/>
              <w:spacing w:before="0" w:after="283"/>
              <w:jc w:val="left"/>
              <w:rPr/>
            </w:pPr>
            <w:r>
              <w:rPr/>
              <w:t>includes a fraction of a share.</w:t>
            </w:r>
          </w:p>
        </w:tc>
      </w:tr>
      <w:tr>
        <w:trPr>
          <w:trHeight w:val="120" w:hRule="atLeast"/>
        </w:trPr>
        <w:tc>
          <w:tcPr>
            <w:tcW w:w="2571" w:type="dxa"/>
            <w:tcBorders/>
            <w:vAlign w:val="center"/>
          </w:tcPr>
          <w:p>
            <w:pPr>
              <w:pStyle w:val="TableContents"/>
              <w:bidi w:val="0"/>
              <w:spacing w:before="0" w:after="283"/>
              <w:jc w:val="left"/>
              <w:rPr>
                <w:sz w:val="4"/>
                <w:szCs w:val="4"/>
              </w:rPr>
            </w:pPr>
            <w:r>
              <w:rPr>
                <w:sz w:val="4"/>
                <w:szCs w:val="4"/>
              </w:rPr>
            </w:r>
          </w:p>
        </w:tc>
        <w:tc>
          <w:tcPr>
            <w:tcW w:w="7634" w:type="dxa"/>
            <w:gridSpan w:val="2"/>
            <w:tcBorders/>
            <w:vAlign w:val="center"/>
          </w:tcPr>
          <w:p>
            <w:pPr>
              <w:pStyle w:val="TableContents"/>
              <w:bidi w:val="0"/>
              <w:spacing w:before="0" w:after="283"/>
              <w:jc w:val="left"/>
              <w:rPr>
                <w:sz w:val="4"/>
                <w:szCs w:val="4"/>
              </w:rPr>
            </w:pPr>
            <w:r>
              <w:rPr>
                <w:sz w:val="4"/>
                <w:szCs w:val="4"/>
              </w:rPr>
            </w:r>
          </w:p>
        </w:tc>
      </w:tr>
      <w:tr>
        <w:trPr/>
        <w:tc>
          <w:tcPr>
            <w:tcW w:w="2571" w:type="dxa"/>
            <w:tcBorders/>
          </w:tcPr>
          <w:p>
            <w:pPr>
              <w:pStyle w:val="TableContents"/>
              <w:bidi w:val="0"/>
              <w:spacing w:before="0" w:after="283"/>
              <w:jc w:val="left"/>
              <w:rPr/>
            </w:pPr>
            <w:r>
              <w:rPr/>
              <w:t>“</w:t>
            </w:r>
            <w:r>
              <w:rPr/>
              <w:t>Special Resolution”</w:t>
            </w:r>
          </w:p>
        </w:tc>
        <w:tc>
          <w:tcPr>
            <w:tcW w:w="122" w:type="dxa"/>
            <w:tcBorders/>
            <w:vAlign w:val="bottom"/>
          </w:tcPr>
          <w:p>
            <w:pPr>
              <w:pStyle w:val="TableContents"/>
              <w:bidi w:val="0"/>
              <w:spacing w:before="0" w:after="283"/>
              <w:jc w:val="left"/>
              <w:rPr/>
            </w:pPr>
            <w:r>
              <w:rPr/>
              <w:t>  </w:t>
            </w:r>
          </w:p>
        </w:tc>
        <w:tc>
          <w:tcPr>
            <w:tcW w:w="7512" w:type="dxa"/>
            <w:tcBorders/>
          </w:tcPr>
          <w:p>
            <w:pPr>
              <w:pStyle w:val="TableContents"/>
              <w:bidi w:val="0"/>
              <w:spacing w:before="0" w:after="283"/>
              <w:jc w:val="left"/>
              <w:rPr/>
            </w:pPr>
            <w:r>
              <w:rPr/>
              <w:t>has the same meaning as in the Statute and includes a resolution approved in writing as described therein and for the purpose of these Articles, the requisite majority shall be super-majority vote, being not less than three-fourths of the votes of such Members as, being entitled to do so, vote in person or, where proxies are allowed, by proxy or, in the case of corporations, by their duly authorized representatives, at a general meeting of the Company of which notice specifying the intention to propose the resolution as a special resolution has been duly given. In computing the majority on a poll regard shall be had to the number of votes to which each Member is entitled by the Articles.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503"/>
        <w:gridCol w:w="120"/>
        <w:gridCol w:w="7582"/>
      </w:tblGrid>
      <w:tr>
        <w:trPr/>
        <w:tc>
          <w:tcPr>
            <w:tcW w:w="25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82" w:type="dxa"/>
            <w:tcBorders/>
            <w:vAlign w:val="center"/>
          </w:tcPr>
          <w:p>
            <w:pPr>
              <w:pStyle w:val="TableContents"/>
              <w:bidi w:val="0"/>
              <w:spacing w:before="0" w:after="283"/>
              <w:jc w:val="left"/>
              <w:rPr>
                <w:sz w:val="4"/>
                <w:szCs w:val="4"/>
              </w:rPr>
            </w:pPr>
            <w:r>
              <w:rPr>
                <w:sz w:val="4"/>
                <w:szCs w:val="4"/>
              </w:rPr>
            </w:r>
          </w:p>
        </w:tc>
      </w:tr>
      <w:tr>
        <w:trPr/>
        <w:tc>
          <w:tcPr>
            <w:tcW w:w="2503" w:type="dxa"/>
            <w:tcBorders/>
          </w:tcPr>
          <w:p>
            <w:pPr>
              <w:pStyle w:val="TableContents"/>
              <w:bidi w:val="0"/>
              <w:spacing w:before="0" w:after="283"/>
              <w:jc w:val="left"/>
              <w:rPr/>
            </w:pPr>
            <w:r>
              <w:rPr/>
              <w:t>“</w:t>
            </w:r>
            <w:r>
              <w:rPr/>
              <w:t>Statute”</w:t>
            </w:r>
          </w:p>
        </w:tc>
        <w:tc>
          <w:tcPr>
            <w:tcW w:w="120" w:type="dxa"/>
            <w:tcBorders/>
            <w:vAlign w:val="bottom"/>
          </w:tcPr>
          <w:p>
            <w:pPr>
              <w:pStyle w:val="TableContents"/>
              <w:bidi w:val="0"/>
              <w:spacing w:before="0" w:after="283"/>
              <w:jc w:val="left"/>
              <w:rPr/>
            </w:pPr>
            <w:r>
              <w:rPr/>
              <w:t>  </w:t>
            </w:r>
          </w:p>
        </w:tc>
        <w:tc>
          <w:tcPr>
            <w:tcW w:w="7582" w:type="dxa"/>
            <w:tcBorders/>
          </w:tcPr>
          <w:p>
            <w:pPr>
              <w:pStyle w:val="TableContents"/>
              <w:bidi w:val="0"/>
              <w:spacing w:before="0" w:after="283"/>
              <w:jc w:val="left"/>
              <w:rPr/>
            </w:pPr>
            <w:r>
              <w:rPr/>
              <w:t>means the Companies Act of the Cayman Islands (As Revised) and every statutory modification or re-enactment thereof currently in force.</w:t>
            </w:r>
          </w:p>
        </w:tc>
      </w:tr>
      <w:tr>
        <w:trPr>
          <w:trHeight w:val="120" w:hRule="atLeast"/>
        </w:trPr>
        <w:tc>
          <w:tcPr>
            <w:tcW w:w="2503" w:type="dxa"/>
            <w:tcBorders/>
            <w:vAlign w:val="center"/>
          </w:tcPr>
          <w:p>
            <w:pPr>
              <w:pStyle w:val="TableContents"/>
              <w:bidi w:val="0"/>
              <w:spacing w:before="0" w:after="283"/>
              <w:jc w:val="left"/>
              <w:rPr>
                <w:sz w:val="4"/>
                <w:szCs w:val="4"/>
              </w:rPr>
            </w:pPr>
            <w:r>
              <w:rPr>
                <w:sz w:val="4"/>
                <w:szCs w:val="4"/>
              </w:rPr>
            </w:r>
          </w:p>
        </w:tc>
        <w:tc>
          <w:tcPr>
            <w:tcW w:w="7702" w:type="dxa"/>
            <w:gridSpan w:val="2"/>
            <w:tcBorders/>
            <w:vAlign w:val="center"/>
          </w:tcPr>
          <w:p>
            <w:pPr>
              <w:pStyle w:val="TableContents"/>
              <w:bidi w:val="0"/>
              <w:spacing w:before="0" w:after="283"/>
              <w:jc w:val="left"/>
              <w:rPr>
                <w:sz w:val="4"/>
                <w:szCs w:val="4"/>
              </w:rPr>
            </w:pPr>
            <w:r>
              <w:rPr>
                <w:sz w:val="4"/>
                <w:szCs w:val="4"/>
              </w:rPr>
            </w:r>
          </w:p>
        </w:tc>
      </w:tr>
      <w:tr>
        <w:trPr/>
        <w:tc>
          <w:tcPr>
            <w:tcW w:w="2503" w:type="dxa"/>
            <w:tcBorders/>
          </w:tcPr>
          <w:p>
            <w:pPr>
              <w:pStyle w:val="TableContents"/>
              <w:bidi w:val="0"/>
              <w:spacing w:before="0" w:after="283"/>
              <w:jc w:val="left"/>
              <w:rPr/>
            </w:pPr>
            <w:r>
              <w:rPr/>
              <w:t>“</w:t>
            </w:r>
            <w:r>
              <w:rPr/>
              <w:t>Virtual Meeting”</w:t>
            </w:r>
          </w:p>
        </w:tc>
        <w:tc>
          <w:tcPr>
            <w:tcW w:w="120" w:type="dxa"/>
            <w:tcBorders/>
            <w:vAlign w:val="bottom"/>
          </w:tcPr>
          <w:p>
            <w:pPr>
              <w:pStyle w:val="TableContents"/>
              <w:bidi w:val="0"/>
              <w:spacing w:before="0" w:after="283"/>
              <w:jc w:val="left"/>
              <w:rPr/>
            </w:pPr>
            <w:r>
              <w:rPr/>
              <w:t>  </w:t>
            </w:r>
          </w:p>
        </w:tc>
        <w:tc>
          <w:tcPr>
            <w:tcW w:w="7582" w:type="dxa"/>
            <w:tcBorders/>
          </w:tcPr>
          <w:p>
            <w:pPr>
              <w:pStyle w:val="TableContents"/>
              <w:bidi w:val="0"/>
              <w:spacing w:before="0" w:after="283"/>
              <w:jc w:val="left"/>
              <w:rPr/>
            </w:pPr>
            <w:r>
              <w:rPr/>
              <w:t>means any general meeting of members at which the members and any other permitted participants of such meeting (including, without limitation, the chairman of such meeting and any Directors) are permitted to attend and participate solely by means of Communication Facilities.</w:t>
            </w:r>
          </w:p>
        </w:tc>
      </w:tr>
      <w:tr>
        <w:trPr>
          <w:trHeight w:val="120" w:hRule="atLeast"/>
        </w:trPr>
        <w:tc>
          <w:tcPr>
            <w:tcW w:w="2503" w:type="dxa"/>
            <w:tcBorders/>
            <w:vAlign w:val="center"/>
          </w:tcPr>
          <w:p>
            <w:pPr>
              <w:pStyle w:val="TableContents"/>
              <w:bidi w:val="0"/>
              <w:spacing w:before="0" w:after="283"/>
              <w:jc w:val="left"/>
              <w:rPr>
                <w:sz w:val="4"/>
                <w:szCs w:val="4"/>
              </w:rPr>
            </w:pPr>
            <w:r>
              <w:rPr>
                <w:sz w:val="4"/>
                <w:szCs w:val="4"/>
              </w:rPr>
            </w:r>
          </w:p>
        </w:tc>
        <w:tc>
          <w:tcPr>
            <w:tcW w:w="7702" w:type="dxa"/>
            <w:gridSpan w:val="2"/>
            <w:tcBorders/>
            <w:vAlign w:val="center"/>
          </w:tcPr>
          <w:p>
            <w:pPr>
              <w:pStyle w:val="TableContents"/>
              <w:bidi w:val="0"/>
              <w:spacing w:before="0" w:after="283"/>
              <w:jc w:val="left"/>
              <w:rPr>
                <w:sz w:val="4"/>
                <w:szCs w:val="4"/>
              </w:rPr>
            </w:pPr>
            <w:r>
              <w:rPr>
                <w:sz w:val="4"/>
                <w:szCs w:val="4"/>
              </w:rPr>
            </w:r>
          </w:p>
        </w:tc>
      </w:tr>
      <w:tr>
        <w:trPr/>
        <w:tc>
          <w:tcPr>
            <w:tcW w:w="2503" w:type="dxa"/>
            <w:tcBorders/>
          </w:tcPr>
          <w:p>
            <w:pPr>
              <w:pStyle w:val="TableContents"/>
              <w:bidi w:val="0"/>
              <w:spacing w:before="0" w:after="283"/>
              <w:jc w:val="left"/>
              <w:rPr/>
            </w:pPr>
            <w:r>
              <w:rPr/>
              <w:t>“</w:t>
            </w:r>
            <w:r>
              <w:rPr/>
              <w:t>written” and “in writing”</w:t>
            </w:r>
          </w:p>
        </w:tc>
        <w:tc>
          <w:tcPr>
            <w:tcW w:w="120" w:type="dxa"/>
            <w:tcBorders/>
            <w:vAlign w:val="bottom"/>
          </w:tcPr>
          <w:p>
            <w:pPr>
              <w:pStyle w:val="TableContents"/>
              <w:bidi w:val="0"/>
              <w:spacing w:before="0" w:after="283"/>
              <w:jc w:val="left"/>
              <w:rPr/>
            </w:pPr>
            <w:r>
              <w:rPr/>
              <w:t>  </w:t>
            </w:r>
          </w:p>
        </w:tc>
        <w:tc>
          <w:tcPr>
            <w:tcW w:w="7582" w:type="dxa"/>
            <w:tcBorders/>
          </w:tcPr>
          <w:p>
            <w:pPr>
              <w:pStyle w:val="TableContents"/>
              <w:bidi w:val="0"/>
              <w:spacing w:before="0" w:after="283"/>
              <w:jc w:val="left"/>
              <w:rPr/>
            </w:pPr>
            <w:r>
              <w:rPr/>
              <w:t>include all modes of representing or reproducing words in visible form, including in the form of an Electronic Record.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these Articles, save where the context requires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words importing the singular number shall include the plural number and vice versa;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words importing the masculine gender only shall include the feminine gender;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words importing persons only shall include companies or associations or bodies of persons, whether corporate or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pPr>
            <w:r>
              <w:rPr/>
              <w:t>“</w:t>
            </w:r>
            <w:r>
              <w:rPr>
                <w:rFonts w:ascii="Times New Roman" w:hAnsi="Times New Roman"/>
                <w:b/>
                <w:sz w:val="20"/>
              </w:rPr>
              <w:t xml:space="preserve">may” </w:t>
            </w:r>
            <w:r>
              <w:rPr>
                <w:rFonts w:ascii="Times New Roman" w:hAnsi="Times New Roman"/>
                <w:sz w:val="20"/>
              </w:rPr>
              <w:t>shall be construed as permissive and “</w:t>
            </w:r>
            <w:r>
              <w:rPr>
                <w:rFonts w:ascii="Times New Roman" w:hAnsi="Times New Roman"/>
                <w:b/>
                <w:sz w:val="20"/>
              </w:rPr>
              <w:t xml:space="preserve">shall” </w:t>
            </w:r>
            <w:r>
              <w:rPr>
                <w:rFonts w:ascii="Times New Roman" w:hAnsi="Times New Roman"/>
                <w:sz w:val="20"/>
              </w:rPr>
              <w:t xml:space="preserve">shall be construed as imperative;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reference to a dollar or dollars (or $) is a reference to dollars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references to a statutory enactment shall include reference to any amendment or re-enactment thereof for the time being in force;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 “clear days” in relation to the period of a notice means that period excluding the day when the notice is received or deemed to be received and the day for which it is given or on which it is to take effect;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phrase introduced by the terms “including”, “include”, “in particular” or any similar expression shall be construed as illustrative and shall not limit the sense of the words preceding those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last two preceding Articles, any words defined in the Statute shall, if not inconsistent with the subject or context, bear the same meaning in these Articles.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CERTIFICATES FOR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Certificates representing shares of the Company shall be in such form as shall be determined by the Directors. Such certificates may be under Seal. All certificates for shares shall be consecutively numbered or otherwise identified and shall specify the shares to which they relate. The name and address of the person to whom the shares represented thereby are issued, with the number of shares and date of issue, shall be entered in the register of Members of the Company. All certificates surrendered to the Company for transfer shall be cancelled and no new certificate shall be issued until the former certificate for a like number of shares shall have been surrendered and cancelled. The Directors may authorize certificates to be issued with the Seal and authorized signature(s) affixed by some method or system of mechanical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Article 4 of these Articles, if a share certificate be defaced, lost or destroyed, it may be renewed on payment of a fee of one dollar (US$1.00) or such less sum and on such terms (if any) as to evidence and indemnity and the payment of the expenses incurred by the Company in investigating evidence, as the Directors may prescribe.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SHARE CAPITAL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authorized share capital of the Company is US$43,520 divided into 66,000,000,000 Class A ordinary shares of a nominal or par value of US$0.000000625 each, 2,832,000,000 Class B ordinary shares of a nominal or par value of US$0.000000625 each and 800,000,000 preferred shares of a nominal or par value of US$0.000000625 each, with the power for the Company, insofar as is permitted by law, to redeem or purchase any of its shares and to increase or reduce the said capital subject to the provisions of the Statute and the Articles of Association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compliance with the Listing Rules, the Directors from time to time may cause the Company to issue such amounts of preferred shares or other similar securities in one or more series as they deem necessary and appropriate and determine designations, powers, preferences, privileges and other rights, including dividend rights, conversion rights, terms of redemption and liquidation preferences, any or all of which may be greater than the powers and rights associated with the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RIGHTS AND RESTRICTIONS ATTACHING TO ORDINARY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restrictions attaching to the Ordinary Shares are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Holders of Ordinary Shares shall be entitled to such dividends as the Directors may in their absolute discretion lawfully declare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Holders of Ordinary Shares shall be entitled to a return of capital on liquidation, dissolution or winding-up of the Company (other than on a conversion, redemption or purchase of shares, or an equity financing or series of financings that do not constitute the sale of all or substantially all of the shares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Attendance at General Meetings and Voting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Holders of Ordinary Shares have the right to receive notice of, attend, speak and vote at general meetings of the Company. Holders of shares of Class A Ordinary Shares and Class B Ordinary Shares shall at all time vote together as one class on all matters submitted to a vote for Members’ consent. Each share of Class A Ordinary Share shall be entitled to one vote on all matters subject to the vote at general meetings of the Company, and each share of Class B Ordinary Share shall be entitled to ten (10) votes on all matters subject to the vote at general meetings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Class B Ordinary Share is convertible into one (1) share of Class A Ordinary Share at any time by the holder thereof. In no event shall Class A Ordinary Shares be convertible into Class B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Yanhong (Robin) Li and his Affiliates collectively own less than 5% of the total number of the issued and outstanding Class B Ordinary Shares of the Company, each issued and outstanding share of Class B Ordinary Share shall be automatically and immediately converted into one share of Class A Ordinary Share, and no Class B Ordinary Shares shall be issued by the Company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any sale, pledge, transfer, assignment or disposition of Class B Ordinary Shares by a holder thereof to any person or entity which is not an Affiliate of such holder, such Class B Ordinary Shares shall be automatically and immediately converted into an equal number of Class A Ordinary Shares; provided that, except as set forth in Article 8(d)(iv) below, a change in the beneficial ownership of Class B Ordinary Shares shall not cause a conversion under this Article 8(d)(iii).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six months after a transfer by a holder of Class B Ordinary Shares to an Affiliate of such holder, if there is a change of the beneficial ownership of the Class B Ordinary Shares held by the Affiliate, such Class B Ordinary Shares shall be automatically and immediately converted into an equal number of Class A Ordinary Shares. For purposes of this Article 8(d)(iv), a transfer shall be deemed to be effective upon the Company’s registration of such transfer in its register of Members. For purposes of Article 8(d)(iii) and this Article 8(d)(iv), “beneficial ownership” shall have the meaning defined in Rule 13d-3 under the U.S. Securities Exchange Act of 1934,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maintain a register of its Members and a Member shall only be entitled to a share certificate if the Board of Directors resolves that share certificates be issued, provided that, in respect of a share or shares held jointly by several persons, the Company shall not be bound to issue more than one certificate and delivery of a certificate for a share to one of the several joint holders shall be sufficient delivery to all such holders.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TRANSFER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of transfer of any share shall be in writing and shall be executed by or on behalf of the transferor and the transferor shall be deemed to remain the holder of a share until the name of the transferee is entered in the register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in their absolute discretion (except with respect to a transfer from a Member to its Affiliate(s)), decline to register any transfer of shares without assigning any reason therefor. If the Directors refuse to register a transfer they shall notify the transferee within two months of such refusal. Notwithstanding the foregoing, if a transfer complies with the holder’s transfer obligations and restrictions set forth under applicable law (including but not limited to U.S. securities law provisions related to insider trading) and these Articles, Directors shall promptly register such transfer. Further, any Director is authorized to confirm in writing addressed to the registered office to authorize a share transfer and to instruct that the register of members be updated accordingly, provided that the transfer complies with the holder’s transfer obligations and restrictions set forth under applicable law and these Articles and such holder is not the Director who authorizes the transfer or an entity affiliated with such Director. Any Director is authorized to execute a share certificate in respect of such shares for and on behalf of the Company subject to the Board of Directors resolving to issue share certificates pursuant to Article 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of transfers may be suspended at such time and for such periods as the Directors may from time to time determine, provided always that such registration shall not be suspended for more than thirty days in any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REDEMPTION AND PURCHASE OF OWN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9"/>
        <w:gridCol w:w="9706"/>
      </w:tblGrid>
      <w:tr>
        <w:trPr/>
        <w:tc>
          <w:tcPr>
            <w:tcW w:w="499" w:type="dxa"/>
            <w:tcBorders/>
          </w:tcPr>
          <w:p>
            <w:pPr>
              <w:pStyle w:val="TableContents"/>
              <w:bidi w:val="0"/>
              <w:spacing w:before="0" w:after="283"/>
              <w:jc w:val="left"/>
              <w:rPr/>
            </w:pPr>
            <w:r>
              <w:rPr/>
              <w:t>13A.</w:t>
            </w:r>
          </w:p>
        </w:tc>
        <w:tc>
          <w:tcPr>
            <w:tcW w:w="970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provisions of the Statute, the Listing Rules and these Articles, the Company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shares on terms that they are to be redeemed or are liable to be redeemed at the option of the Member or the Company on such terms and in such manner as the Directors may, before the issue of the shares,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its own shares (including any redeemable shares) provided that the Members shall have approved the manner of purchase by ordinary resolution or the manner of purchase shall be in accordance with the following Articles (this authorisation is in accordance with section 37(2) of the Statute or any modification or re-enactment thereof for the time being in force);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 payment in respect of the redemption or purchase of its own shares in any manner permitted by the Statute, including out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8"/>
        <w:gridCol w:w="9717"/>
      </w:tblGrid>
      <w:tr>
        <w:trPr/>
        <w:tc>
          <w:tcPr>
            <w:tcW w:w="488" w:type="dxa"/>
            <w:tcBorders/>
          </w:tcPr>
          <w:p>
            <w:pPr>
              <w:pStyle w:val="TableContents"/>
              <w:bidi w:val="0"/>
              <w:spacing w:before="0" w:after="283"/>
              <w:jc w:val="left"/>
              <w:rPr/>
            </w:pPr>
            <w:r>
              <w:rPr/>
              <w:t>13B.</w:t>
            </w:r>
          </w:p>
        </w:tc>
        <w:tc>
          <w:tcPr>
            <w:tcW w:w="9717"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shares listed on an internationally recognized stock exchange where the Company’s securities are traded (a “</w:t>
            </w:r>
            <w:r>
              <w:rPr>
                <w:rFonts w:ascii="Times New Roman" w:hAnsi="Times New Roman"/>
                <w:b/>
                <w:sz w:val="20"/>
              </w:rPr>
              <w:t>Designated Stock Exchange</w:t>
            </w:r>
            <w:r>
              <w:rPr>
                <w:rFonts w:ascii="Times New Roman" w:hAnsi="Times New Roman"/>
                <w:sz w:val="20"/>
              </w:rPr>
              <w:t xml:space="preserve">”): the Company is authorised to purchase any share listed on a Designated Stock Exchange in accordance with the following manner of purchase: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shares that may be repurchased shall be equal to the number of issued and outstanding shares less one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repurchase shall be at such time, at such price and on such other terms as determined and agreed by the Directors in their sole discretion provided however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repurchase transactions shall be in accordance with the relevant code, rules and regulations applicable to the listing of the shares on the Designated Stock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the repurchase, the Company is able to pay its debts as they fall due in the ordinary course of its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1"/>
        <w:gridCol w:w="9694"/>
      </w:tblGrid>
      <w:tr>
        <w:trPr/>
        <w:tc>
          <w:tcPr>
            <w:tcW w:w="511" w:type="dxa"/>
            <w:tcBorders/>
          </w:tcPr>
          <w:p>
            <w:pPr>
              <w:pStyle w:val="TableContents"/>
              <w:bidi w:val="0"/>
              <w:spacing w:before="0" w:after="283"/>
              <w:jc w:val="left"/>
              <w:rPr/>
            </w:pPr>
            <w:r>
              <w:rPr/>
              <w:t>13C.</w:t>
            </w:r>
          </w:p>
        </w:tc>
        <w:tc>
          <w:tcPr>
            <w:tcW w:w="96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of any share shall not oblige the Company to purchase any other share other than as may be required pursuant to applicable law and any other contractual obligations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9"/>
        <w:gridCol w:w="9706"/>
      </w:tblGrid>
      <w:tr>
        <w:trPr/>
        <w:tc>
          <w:tcPr>
            <w:tcW w:w="499" w:type="dxa"/>
            <w:tcBorders/>
          </w:tcPr>
          <w:p>
            <w:pPr>
              <w:pStyle w:val="TableContents"/>
              <w:bidi w:val="0"/>
              <w:spacing w:before="0" w:after="283"/>
              <w:jc w:val="left"/>
              <w:rPr/>
            </w:pPr>
            <w:r>
              <w:rPr/>
              <w:t>13D.</w:t>
            </w:r>
          </w:p>
        </w:tc>
        <w:tc>
          <w:tcPr>
            <w:tcW w:w="970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of the shares being purchased shall be bound to deliver to the Company at its registered office or such other place as the Directors shall specify, the certificate(s) (if any) thereof for cancellation and thereupon the Company shall pay to him the purchase or redemption monies or consideration in respect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VARIATION OF RIGHTS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provided in these Articles, if at any time the share capital of the Company is divided into different classes of shares, the rights attached to any class (unless otherwise provided by the terms of issue of the shares of that class and as set forth in the Articles) may, whether or not the Company is being wound up, liquidated or dissolved, be varied with the consent in writing of the holders of at least a majority of the issued shares of that class, or with the sanction of a Special Resolution passed at a general meeting of the holders of the shares of that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provisions of these Articles relating to general meetings shall apply to every such general meeting of the holders of one class of shares except that the necessary quorum shall be one person holding or representing by proxy at least one third of the issued shares of the class and that any holder of shares of the class Present may demand a poll. </w:t>
      </w:r>
    </w:p>
    <w:p>
      <w:pPr>
        <w:pStyle w:val="TextBody"/>
        <w:bidi w:val="0"/>
        <w:spacing w:before="120" w:after="0"/>
        <w:jc w:val="left"/>
        <w:rPr>
          <w:rFonts w:ascii="Times New Roman" w:hAnsi="Times New Roman"/>
          <w:sz w:val="20"/>
        </w:rPr>
      </w:pPr>
      <w:r>
        <w:rPr>
          <w:rFonts w:ascii="Times New Roman" w:hAnsi="Times New Roman"/>
          <w:sz w:val="20"/>
        </w:rPr>
        <w:t xml:space="preserve">The rights conferred upon the holders of the shares of any class issued with preferred or other rights shall not, subject to any rights or restrictions for the time being attached to the shares of that class, be deemed to be materially adversely varied by, inter alia, the creation, allotment or issue of further shares ranking pari passu with or subsequent to them or the redemption or purchase of any shares of any class by the Company. The rights of the holders of shares shall not be deemed to be materially adversely varied by the creation or issue of shares with preferred or other rights including, without limitation, the creation of shares with enhanced or weighted voting rights. </w:t>
      </w:r>
    </w:p>
    <w:p>
      <w:pPr>
        <w:pStyle w:val="TextBody"/>
        <w:bidi w:val="0"/>
        <w:spacing w:before="480" w:after="0"/>
        <w:jc w:val="center"/>
        <w:rPr>
          <w:rFonts w:ascii="Times New Roman" w:hAnsi="Times New Roman"/>
          <w:b/>
          <w:sz w:val="20"/>
        </w:rPr>
      </w:pPr>
      <w:r>
        <w:rPr>
          <w:rFonts w:ascii="Times New Roman" w:hAnsi="Times New Roman"/>
          <w:b/>
          <w:sz w:val="20"/>
        </w:rPr>
        <w:t xml:space="preserve">COMMISSION ON SALE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in so far as the Statute from time to time permits, pay a commission to any person in consideration of his subscribing or agreeing to subscribe, whether absolutely or conditionally, for any shares of the Company. Such commissions may be satisfied by the payment of cash or the lodgment of fully or partly paid-up shares or partly in one way and partly in the other. The Company may also on any issue of shares pay such brokerage as may be lawful.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NON-RECOGNITION OF TRUSTS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person shall be recognized by the Company as holding any share upon any trust and the Company shall not be bound by or be compelled in any way to recognize (even when having notice thereof) any equitable, contingent, future, or partial interest in any share, or any interest in any fractional part of a share, or (except only as is otherwise provided by these Articles or the Statute) any other rights in respect of any share except an absolute right to the entirety thereof in the registered 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CALL ON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tcPr>
          <w:p>
            <w:pPr>
              <w:pStyle w:val="TableContents"/>
              <w:bidi w:val="0"/>
              <w:spacing w:before="0" w:after="283"/>
              <w:jc w:val="left"/>
              <w:rPr/>
            </w:pPr>
            <w:r>
              <w:rPr/>
              <w:t>17. (a) 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make calls upon the Members in respect of any monies unpaid on their shares (whether on account of the nominal value of the shares or by way of premium or otherwise) and not by the conditions of allotment thereof made payable at fixed terms, provided that no call shall be payable at less than one month from the date fixed for the payment of the last preceding call, and each Member shall (subject to receiving at least fourteen days notice specifying the time or times of payment) pay to the Company, at the time or times so specified, the amount called on the shares. A call may be revoked or postponed as the Directors may determine. A call may be made payable by installments.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call shall be deemed to have been made at the time when the resolution of the Directors authorizing such call was passed.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joint holders of a share shall be jointly and severally liable to pay all calls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sum called in respect of a share is not paid before or on a day appointed for payment thereof, the persons from whom the sum is due shall pay interest on the sum from the day appointed for payment thereof to the time of actual payment at such rate not exceeding, ten percent (10%) per annum as the Directors may determine, but the Directors shall be at liberty to waive payment of such interest either wholly or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sum which by the terms of issue of a share becomes payable on allotment or at any fixed date, whether on account of the nominal value of the share or by way of premium or otherwise, shall, for the purposes of these Articles, be deemed to be a call duly made, notified and payable on the date on which by the terms of issue the same becomes payable, and in the case of non-payment all the relevant provisions of these Articles as to payment of interest, forfeiture or otherwise shall apply as if such sum had become payable by virtue of a call duly made and notified.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on the issue of shares, differentiate between the holders as to the amount of calls or interest to be paid and the times of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tcPr>
          <w:p>
            <w:pPr>
              <w:pStyle w:val="TableContents"/>
              <w:bidi w:val="0"/>
              <w:spacing w:before="0" w:after="283"/>
              <w:jc w:val="left"/>
              <w:rPr/>
            </w:pPr>
            <w:r>
              <w:rPr/>
              <w:t>21. (a) 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if they think fit, receive from any Member willing to advance the same, all or any part of the monies uncalled and unpaid upon any shares held by him, and upon all or any of the monies so advanced may (until the same would but for such advances, become payable) pay interest at such rate not exceeding (unless the Company in general meeting shall otherwise direct) seven percent (7%) per annum, as may be agreed upon between the Directors and the Member paying such sum in advance.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such sum paid in advance of calls shall entitle the Member paying such sum to any portion of a dividend declared in respect of any period prior to the date upon which such sum would, but for such payment, become presently payable.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FORFEITURE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22. (a) 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Member fails to pay any call or installment of a call or to make any payment required by the terms of issue on the day appointed for payment thereof, the Directors may, at any time thereafter during such time as any part of the call, installment or payment remains unpaid, give notice requiring payment of so much of the call, installment or payment as is unpaid, together with any interest which may have accrued and all expenses that have been incurred by the Company by reason of such non-payment. Such notice shall name a day (not earlier than the expiration of fourteen days from the date of giving of the notice) on or before which the payment required by the notice is to be made, and shall state that, in the event of non-payment at or before the time appointed, the shares in respect of which such notice was given will be liable to be forfeited.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requirements of any such notice as aforesaid are not complied with, any share in respect of which the notice has been given may at any time thereafter, before the payment required by the notice has been made, be forfeited by a resolution of the Directors to that effect. Such forfeiture shall include all dividends declared in respect of the forfeited share and not actually paid before the forfeiture.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forfeited share may be sold or otherwise disposed of on such terms and in such manner as the Directors think fit and at any time before a sale or disposition the forfeiture may be cancelled on such terms as the Directors think 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whose shares have been forfeited shall cease to be a Member in respect of the forfeited shares, but shall, notwithstanding, remain liable to pay to the Company all monies which, at the date of forfeiture were payable by him to the Company in respect of the shares together with interest thereon, but his liability shall cease if and when the Company shall have received payment in full of all monies whenever payable in respect of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in writing under the hand of one Director or the Secretary of the Company that a share in the Company has been duly forfeited on a date stated in the declaration shall be conclusive evidence of the fact therein stated as against all persons claiming to be entitled to the share. The Company may receive the consideration given for the share on any sale or disposition thereof and may execute a transfer of the share in favor of the person to whom the share is sold or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or disposal of the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OF EMPOWERING INSTRUMENTS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be entitled to charge a fee not exceeding one dollar (US$1.00) on the registration of every probate, letters of administration certificate of death or marriage, power of attorney, notice in lieu of distringas, or other instrument.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TRANSMISSION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case of the death of a Member, the survivor or survivors where the deceased was a joint holder, and the legal personal representatives of the deceased where he was a sole holder, shall be the only persons recognized by the Company as having any title to his interest in the shares, but nothing herein contained shall release the estate of any such deceased holder from any liability in respect of any shares which had been held by him solely or jointly with other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tcPr>
          <w:p>
            <w:pPr>
              <w:pStyle w:val="TableContents"/>
              <w:bidi w:val="0"/>
              <w:spacing w:before="0" w:after="283"/>
              <w:jc w:val="left"/>
              <w:rPr/>
            </w:pPr>
            <w:r>
              <w:rPr/>
              <w:t>28. (a) 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becoming entitled to a share in consequence of the death or bankruptcy or liquidation or dissolution of a Member (or in any other way than by transfer) may, upon such evidence being produced as may from time to time be required by the Directors and subject as hereinafter provided, elect either to be registered himself as holder of the share or to make such transfer of the share to such other person nominated by him as the deceased or bankrupt person could have made and to have such person registered as the transferee thereof, but the Directors shall, in either case, have the same right to decline or suspend registration as they would have had in the case of a transfer of the share by that Member before his death or bankruptcy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person so becoming entitled shall elect to be registered himself as holder, he shall deliver or send to the Company a notice in writing signed by him stating that he so elects.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becoming entitled to a share by reason of the death or bankruptcy or liquidation or dissolution of the holder (or in any other case than by transfer) shall be entitled to the same dividends and other advantages to which he would be entitled if he were the registered holder of the share, except that he shall not, before being registered as a Member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days, the Directors may thereafter withhold payment of all dividends, bonuses or other monies payable in respect of the share until the requirements of the notice have been complied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AMENDMENT OF MEMORANDUM OF </w:t>
      </w:r>
    </w:p>
    <w:p>
      <w:pPr>
        <w:pStyle w:val="TextBody"/>
        <w:bidi w:val="0"/>
        <w:spacing w:before="0" w:after="0"/>
        <w:jc w:val="center"/>
        <w:rPr>
          <w:rFonts w:ascii="Times New Roman" w:hAnsi="Times New Roman"/>
          <w:b/>
          <w:sz w:val="20"/>
        </w:rPr>
      </w:pPr>
      <w:r>
        <w:rPr>
          <w:rFonts w:ascii="Times New Roman" w:hAnsi="Times New Roman"/>
          <w:b/>
          <w:sz w:val="20"/>
        </w:rPr>
        <w:t xml:space="preserve">ASSOCIATION, CHANGE OF </w:t>
      </w:r>
    </w:p>
    <w:p>
      <w:pPr>
        <w:pStyle w:val="TextBody"/>
        <w:bidi w:val="0"/>
        <w:spacing w:before="0" w:after="0"/>
        <w:jc w:val="center"/>
        <w:rPr>
          <w:rFonts w:ascii="Times New Roman" w:hAnsi="Times New Roman"/>
          <w:b/>
          <w:sz w:val="20"/>
        </w:rPr>
      </w:pPr>
      <w:r>
        <w:rPr>
          <w:rFonts w:ascii="Times New Roman" w:hAnsi="Times New Roman"/>
          <w:b/>
          <w:sz w:val="20"/>
        </w:rPr>
        <w:t xml:space="preserve">LOCATION OF REGISTERED OFFICE &amp; </w:t>
      </w:r>
    </w:p>
    <w:p>
      <w:pPr>
        <w:pStyle w:val="TextBody"/>
        <w:bidi w:val="0"/>
        <w:spacing w:before="0" w:after="0"/>
        <w:jc w:val="center"/>
        <w:rPr>
          <w:rFonts w:ascii="Times New Roman" w:hAnsi="Times New Roman"/>
          <w:b/>
          <w:sz w:val="20"/>
        </w:rPr>
      </w:pPr>
      <w:r>
        <w:rPr>
          <w:rFonts w:ascii="Times New Roman" w:hAnsi="Times New Roman"/>
          <w:b/>
          <w:sz w:val="20"/>
        </w:rPr>
        <w:t xml:space="preserve">ALTERATION OF CAPITAL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tcPr>
          <w:p>
            <w:pPr>
              <w:pStyle w:val="TableContents"/>
              <w:bidi w:val="0"/>
              <w:spacing w:before="0" w:after="283"/>
              <w:jc w:val="left"/>
              <w:rPr/>
            </w:pPr>
            <w:r>
              <w:rPr/>
              <w:t>30. (a) 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and in so far as permitted by the provisions of the Statute, the Company may from time to time by special resolution alter or amend its Memorandum of Association otherwise than with respect to its name and objects and may by ordinary resolution, without restricting the generality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and divide all or any of its share capital into shares of larger amount than its existing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subdivision of its existing shares or any of them divide the whole or any part of its share capital into shares of smaller amount than is fixed by the Memorandum of Association or into shares without nominal or par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 any shares which at the date of the passing of the resolution have not been taken or agreed to be taken by any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new shares created hereunder shall be subject to the same provisions with reference to the payment of calls, liens, transfer, transmission, forfeiture and otherwise as the shares in the original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provisions of the Statute, the Company may by resolution of the Directors change the location of its registered office.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CLOSING REGISTER OF MEMBERS OR FIXING RECORD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Members entitled to notice of or to vote at any meeting of Members or any adjournment thereof, or Members entitled to receive payment of any dividend, or in order to make a determination of Members for any other proper purpose, the Directors of the Company may, by announcement published on the Designated Stock Exchange’s website or, subject to the Listing Rules, in the manner in which notices may be served by the Company by Electronic means as provided in the Articles or by advertisement published in the newspaper, provide that the register of Members shall be closed for transfers for a stated period but not to exceed in any case thirty days in any year. If the register of Members shall be so closed for the purpose of determining Members entitled to notice of or to vote at a meeting of Members such register shall be so closed for at least ten days immediately preceding such meeting and the record date for such determination shall be the date of the closure of the register of Members.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lieu of or apart from closing the register of Members, the Directors may fix in advance a date as the record date for any such determination of Members entitled to notice of or to vote at a meeting of the Members and for the purpose of determining the Members entitled to receive payment of any dividend the Directors may, at or within 90 days prior to the date of declaration of such dividend, fix a subsequent date as the record date for such determination.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register of Members is not so closed and no record date is fixed for the determination of Members entitled to notice of or to vote at a meeting of Members or Members entitled to receive payment of a dividend, the date on which notice of the meeting is sent or the date on which the resolution of the Directors declaring such dividend is adopted, as the case may be, shall be the record date for such determination of Members. When a determination of Members entitled to vote at any meeting of Members has been made as provided in this section, such determination shall apply to any adjournment thereof.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GENERAL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general meetings of Members other than annual general meetings shall be called extraordinary general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in each financial year hold a general meeting of Members as its annual general meeting and shall specify the meeting as such in the notices calling it. The annual general meeting shall be held within six months (or such other period as may be permitted by the Listing Rules) after the end of such financial year at such time and place (which, in the case of a Virtual Meeting, includes a virtual place) as may be determined by the Directors. At these meetings the report of the Directors (if any) shall be presented.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7"/>
        <w:gridCol w:w="9688"/>
      </w:tblGrid>
      <w:tr>
        <w:trPr/>
        <w:tc>
          <w:tcPr>
            <w:tcW w:w="517" w:type="dxa"/>
            <w:tcBorders/>
          </w:tcPr>
          <w:p>
            <w:pPr>
              <w:pStyle w:val="TableContents"/>
              <w:bidi w:val="0"/>
              <w:spacing w:before="0" w:after="283"/>
              <w:jc w:val="left"/>
              <w:rPr/>
            </w:pPr>
            <w:r>
              <w:rPr/>
              <w:t>35A.</w:t>
            </w:r>
          </w:p>
        </w:tc>
        <w:tc>
          <w:tcPr>
            <w:tcW w:w="96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make Communication Facilities available for a specific general meeting or all general meetings of the Company so that Members and other participants may attend and participate at such general meeting by means of such Communication Facilities. Without limiting the generality of the foregoing, the Directors may determine that any general meeting may be held as a Virtual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tcPr>
          <w:p>
            <w:pPr>
              <w:pStyle w:val="TableContents"/>
              <w:bidi w:val="0"/>
              <w:spacing w:before="0" w:after="283"/>
              <w:jc w:val="left"/>
              <w:rPr/>
            </w:pPr>
            <w:r>
              <w:rPr/>
              <w:t>36.  (a)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call extraordinary general meetings, and they shall on a Members requisition forthwith proceed to convene an extraordinary general meeting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Members requisition to convene an extraordinary general meeting and add resolutions to a meeting agenda is a requisition of Members of the Company holding at the date of deposit of the requisition not less than ten percent (10%) the voting power represented by the issued shares of the Company as at that date carries the right of voting at general meetings of the Company, on a one vote per share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requisition must state the objects of the meeting and must be signed by the requisitionists and deposited at the Registered Office, and may consist of several documents in like form each signed by one or more requisitionists.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Directors do not within 21 days from the date of the deposit of the requisition duly proceed to convene a general meeting to be held within the next 60 days, the requisitionists may themselves convene a general meeting, but any meeting so convened shall not be held after the expiration of 120 days after the deposit of the requisition.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general meeting convened as aforesaid by requisitionists shall be convened in the same manner as nearly as possible as that in which general meetings are to be convened by Directors.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NOTICE OF GENERAL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21 days’ notice shall be given of any annual general meeting, and at least 14 days’ notice shall be given of any extraordinary general meeting. Every notice shall specify the place (which, in the case of a Virtual Meeting, includes a virtual place), the day and the hour of the meeting and the general nature of the business and shall be given in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annual general meeting, by all of the Members entitled to attend and vote at the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extraordinary general meeting, by a majority in number of the Members having a right to attend and vote at the meeting, together holding not less than 95% in par value of the shares giving that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notice of any general meeting at which Communication Facilities will be utilised (including any Virtual Meeting) shall specify the Communication Facilities that will be utilised, including the procedures to be followed by any Member or other participant of the general meeting who wishes to utilise such Communication Facilities for the purpose of attending, participating and voting at such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accidental omission to give notice of a general meeting to, or the non-receipt of notice of a meeting by any person entitled to receive notice shall not invalidate the proceedings of that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Notices, or documents including any Corporate Communication, except as otherwise provided in the Articles, and to the extent permitted by, and in compliance with the requirements of, the Listing Rules, shall be in writing and may be given by the Company to any Member either personally or by sending it by post, cable, telex, telecopy or e-mail to him or to his address as shown in the register of Members or e-mail address last known to the Company, such notice, if mailed, to be forwarded airmail if the address be outside the Cayman Islands, or by placing it on the Company’s Website and the Designated Stock Exchange’s website, or by advertisement published in the manner prescribed in the Listing Rules.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41.  (a)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notice or document, including any Corporate Communication, is sent by post, service of the notice shall be deemed to be effected by properly addressing, pre-paying and posting a letter containing the notice, and to have been effected at the expiration of sixty hours after the letter containing the same is posted as aforesaid.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notice or document, including any Corporate Communication, is sent by cable, telex, telecopy or e-mail, service of the notice shall be deemed to be effected by properly addressing, and sending such notice through a transmitting organization and to have been effected on the day the same is sent as aforesaid or at such later time as may be prescribed by the Listing Rules or any applicable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notice, or document, including any Corporate Communication, is delivered or left at the address otherwise than by post shall be deemed to have been served or delivered on the day it was so delivered or left.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notice, or document, including any Corporate Communication, is served by being placed on the Company’s Website and the Designated Stock Exchange’s website, shall be deemed to be served at the time the notice or document first appears on the Company’s Website and the Designated Stock Exchange’s website, or at such later time as may be prescribed by the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notice, or document, including any Corporate Communication, is served by advertisement shall be deemed to have been served on the date of issue of the official publication and/or newspaper(s) in which the advertisement is published (or on the last day of issue if the publication and/or newspaper(s) are published on different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notice may be given by the Company to the joint holders of record of a share by giving the notice to the joint holder first named on the register of Members in respect of the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notice may be given by the Company to the person or persons which the Company has been advised are entitled to a share or shares in consequence of the death or bankruptcy of a Member by sending it through the post as aforesaid in a pre-paid letter addressed to them by name, or by the title of representatives of the deceased, or trustee of the bankrupt, or by any like description at the address supplied for that purpose by the persons claiming to be so entitled, or (until such an address has been so supplied) at the option of the Company by giving the notice in any manner in which the same might have been given if the death or bankruptcy had not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every general meeting shall be given in any manner hereinbefore authorized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every person shown as a Member in the register of Members as of the record date for such meeting except that in the case of joint holders the notice shall be sufficient if given to the joint holder first named in the register of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every person upon whom the ownership of a share devolves by reason of his being a legal personal representative or a trustee in bankruptcy of a Member of record where the Member of record but for his death or bankruptcy would be entitled to receive notice of the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Director and alternate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Designated Stock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person to whom such notice is required to be given in accordance with the Listing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other person shall be entitled to receive notices of general meetings. </w:t>
      </w:r>
    </w:p>
    <w:p>
      <w:pPr>
        <w:pStyle w:val="TextBody"/>
        <w:bidi w:val="0"/>
        <w:spacing w:before="480" w:after="0"/>
        <w:jc w:val="center"/>
        <w:rPr>
          <w:rFonts w:ascii="Times New Roman" w:hAnsi="Times New Roman"/>
          <w:b/>
          <w:sz w:val="20"/>
        </w:rPr>
      </w:pPr>
      <w:r>
        <w:rPr>
          <w:rFonts w:ascii="Times New Roman" w:hAnsi="Times New Roman"/>
          <w:b/>
          <w:sz w:val="20"/>
        </w:rPr>
        <w:t xml:space="preserve">PROCEEDINGS AT GENERAL MEETINGS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business shall be transacted at any general meeting unless a quorum of Members is Present at the time when the meeting proceeds to business. Save as otherwise provided by these Articles, one or more Members holding at least one third of the voting rights of the issued shares of the Company Present shall be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resolution (including a Special Resolution) in writing (in one or more counterparts) signed by all Members for the time being entitled to receive notice of and to attend and vote at general meetings (or being corporations by their duly authorized representatives) shall be as valid and effective as if the same had been passed at a general meeting of the Company duly convened and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within half an hour from the time appointed for the meeting a quorum is not Present, the meeting, if convened upon the requisition of Members, shall be dissolved and in any other case it shall stand adjourned to the same day in the next week at the same time and place (whether physical or virtual) or to such other time or such other place (whether physical or virtual) as the Directors may determine and if at the adjourned meeting a quorum is not Present within half an hour from the time appointed for the meeting the Members Present shall be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Chairman of the Board of Directors shall preside as Chairman at every general meeting of the Company, or if there is no such Chairman, or if he shall not be Present within fifteen minutes after the time appointed for the holding of the meeting, or is unwilling to act, the Directors Present shall elect one of their number to be Chairman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general meeting no Director is willing to act as Chairman or if no Director is Present within fifteen minutes after the time appointed for holding the meeting, the Members Present shall choose one of their members to be Chairman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7"/>
        <w:gridCol w:w="9688"/>
      </w:tblGrid>
      <w:tr>
        <w:trPr/>
        <w:tc>
          <w:tcPr>
            <w:tcW w:w="517" w:type="dxa"/>
            <w:tcBorders/>
          </w:tcPr>
          <w:p>
            <w:pPr>
              <w:pStyle w:val="TableContents"/>
              <w:bidi w:val="0"/>
              <w:spacing w:before="0" w:after="283"/>
              <w:jc w:val="left"/>
              <w:rPr/>
            </w:pPr>
            <w:r>
              <w:rPr/>
              <w:t>49A.</w:t>
            </w:r>
          </w:p>
        </w:tc>
        <w:tc>
          <w:tcPr>
            <w:tcW w:w="96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Chairman of any general meeting shall be entitled to attend and participate at such general meeting by means of Communication Facilities, and to act as the Chairman of the general meeting, in which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Chairman shall be deemed to be Present at the meeting;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Communication Facilities are interrupted or fail for any reason to enable the Chairman to hear and be heard by all other Persons attending and participating at the meeting, then the Directors Present at the meeting shall choose another Director Present to act as Chairman of the meeting for the remainder of the meeting; provided that if (i) no other Director is Present at the meeting, or (ii) all the Directors Present decline to take the chair, the meeting shall be automatically adjourned to the same day in the next week and at such time and place (whether physical or virtual) as shall be decided by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Chairman may, with the consent of any general meeting duly constituted hereunder, and shall if so directed by the meeting, adjourn the meeting from time to time and from place to place (whether physical or virtual), but no business shall be transacted at any adjourned meeting other than the business left unfinished at the meeting from which the adjournment took place. When a general meeting is adjourned for thirty days or more, notice of the adjourned meeting shall be given as in the case of an original meeting; save as aforesaid it shall not be necessary to give any notice of an adjournment or of the business to be transacted at an adjourned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general meeting, a resolution put to the vote of the meeting shall be decided on a poll conducted by the Chairman save that Chairman of the general meeting may, in good faith, allow a resolution which relates purely to a procedural or administrative matter as prescribed under the Listing Rules to be voted on by a show of hands. A poll shall (subject as provided in Article 53) be taken in such manner (including the use of ballot or voting papers or tickets or by Electronic means) and at such time and place as the Chairman directs.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[Intentionally deleted.]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poll demanded on the election of a Chairman or on a question of adjournment shall be taken forthwith. A poll demanded on any other question shall be taken at such time as the Chairman of the general meeting directs and any business other than that upon which a poll has been demanded or is contingent thereon may be proceeded with pending the taking of the poll.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VOTES OF MEMBERS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Member’s right to vote is subject to the requirements under the Listing Rules regarding circumstances requiring a member to abstain from voting to approve a matter under consideration, and any votes in contravention of such abstention shall not be counted.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joint holders of record, the vote of the senior who tenders a vote, whether in person or by proxy, shall be accepted to the exclusion of the votes of the other joint holders, and for this purpose seniority shall be determined by the order in which the names stand in the register of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unsound mind, or in respect of whom an order has been made by any court, having jurisdiction in lunacy, may vote, on a poll, by his committee, receiver, curator bonis, or other person in the nature of a committee, receiver or curator bonis appointed by that court, and any such committee, receiver, curator bonis or other persons may vote by proxy.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Member shall be entitled to vote at any general meeting unless he is registered as a shareholder of the Company on the record date for such meeting nor unless all calls or other sums presently payable by him in respect of shares in the Company have been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objection shall be raised to the qualification of any voter except at the general meeting or adjourned general meeting at which the vote objected to is given or tendered and every vote not disallowed at such general meeting shall be valid for all purposes. Any such objection made in due time shall be referred to the Chairman of the general meeting whose decision shall be final and conclusive.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poll votes may be given either personally or by proxy.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PROXIES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appointing a proxy shall be in writing and shall be executed under the hand of the appointor or of his attorney duly authorized in writing, or, if the appointor is a corporation under the hand of an officer or attorney duly authorized in that behalf. A proxy need not be a Member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appointing a proxy shall be deposited at the registered office of the Company or at such other place or in such other manner (including by Electronic means) as is specified for that purpose in the notice convening the meeting no later than the time for holding the meeting, or adjourned meeting provided that the Chairman of the Meeting may at his discretion direct that an instrument of proxy shall be deemed to have been duly deposited.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appointing a proxy may be in any usual or common form and may be expressed to be for a particular meeting or any adjournment thereof or generally until revoked. An instrument appointing a proxy shall be deemed to include the power to demand or join or concur in demanding a poll.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vote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provided that no intimation in writing of such death, insanity, revocation or transfer as aforesaid shall have been received by the Company at the registered office before the commencement of the general meeting, or adjourned meeting at which it is sought to use the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which is a Member of record of the Company may in accordance with its constitutional documents or in the absence of such provision by resolution of its Directors or other governing body authorize such person as it thinks fit to act as its representative at any meeting of the Company or of any class of Members of the Company, and the person so authorized shall be entitled to exercise the same powers on behalf of the corporation which he represents as the corporation could exercise if it were an individual Member of record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20"/>
        <w:gridCol w:w="9685"/>
      </w:tblGrid>
      <w:tr>
        <w:trPr/>
        <w:tc>
          <w:tcPr>
            <w:tcW w:w="520" w:type="dxa"/>
            <w:tcBorders/>
          </w:tcPr>
          <w:p>
            <w:pPr>
              <w:pStyle w:val="TableContents"/>
              <w:bidi w:val="0"/>
              <w:spacing w:before="0" w:after="283"/>
              <w:jc w:val="left"/>
              <w:rPr/>
            </w:pPr>
            <w:r>
              <w:rPr/>
              <w:t>64A.</w:t>
            </w:r>
          </w:p>
        </w:tc>
        <w:tc>
          <w:tcPr>
            <w:tcW w:w="96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Recognised Clearing House (or its nominee(s)) is a Member of record of the Company it may authorise such person or persons as it thinks fit to act as its representative(s) at any meeting of the Company or of any class of Members, provided that, if more than one person is so authorised, the authorisation shall specify the number and class of Shares in respect of which each such person is so authorised. The person so authorised will be deemed to have been duly authorised without the need to produce any documents of title, notarised authorisation and/or further evidence to substantiate that person is so authorised. A person so authorised pursuant to this Article shall be entitled to exercise the same rights and powers on behalf of the Recognised Clearing House (or its nominee(s)) which that person represents as that Recognised Clearing House (or its nominee(s)) could exercise as if such person were an individual Member of record of the Company holding the number and class of Shares specified in such authorisation.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its own capital belonging to the Company or held by it in a fiduciary capacity shall not be voted, directly or indirectly, at any meeting and shall not be counted in determining the total number of outstanding shares at any given time.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shall be a Board of Directors consisting of no more than nine persons (exclusive of alternate Directors) PROVIDED HOWEVER that the Company may from time to time by ordinary resolution increase or reduce the limits in the number of Directors. The Directors shall be elected or appointed in the first place by subscribers to the Memorandum of Association or by a majority of them and thereafter by the Members at the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Director shall hold office until the expiration of his term and until his successor shall have been elected and qualified.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remuneration to be paid to the Directors shall be such remuneration as the Directors shall determine. Such remuneration shall be deemed to accrue from day to day. The Directors shall also be entitled to be paid their reasonable traveling, hotel and other expenses properly incurred by them in going to, attending and returning from meetings of the Directors, or any committee of the Directors, or general meetings of the Company, or otherwise in connection with the business of the Company, or to receive a fixed allowance in respect thereof as may be determined by the Directors from time to time, or a combination partly of one such method and partly the other.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by resolution award special remuneration to any Director of the Company undertaking any special work or services for, or undertaking any special mission on behalf of, the Company other than his ordinary routine work as a Director. Any fees paid to a Director who is also counsel or solicitor to the Company, or otherwise serves it in a professional capacity shall be in addition to his remuneration as a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or alternate Director may hold any other office or place of profit under the Company (other than the office of Auditor) in conjunction with his office of Director for such period and on such terms as to remuneration and otherwise as the Directors may determine.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or alternate Director may act by himself or his firm in a professional capacity for the Company and he or his firm shall be entitled to remuneration for professional services as if he were not a Director or alternate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shareholding qualification for Directors may be fixed by the Company in general meeting, but unless and until so fixed no qualification shall be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or alternate Director of the Company may be or become a director or other officer of or otherwise interested in any company promoted by the Company or in which the Company may be interested as shareholder or otherwise and no such Director or alternate Director shall be accountable to the Company for any remuneration or other benefits received by him as a director or officer of, or from his interest in, such other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person shall be disqualified from the office of Director or alternate Director or prevented by such office from contracting with the Company, either as vendor, purchaser or otherwise, nor shall any such contract or any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realized by any such contract or transaction by reason of such Director holding office or of the fiduciary relation thereby established. Subject to compliance with the Listing Rules, a Director (or his alternate Director in his absence) shall be at liberty to vote in respect of any contract or transaction in which he is so interested as aforesaid PROVIDED HOWEVER that the nature of the interest of any Director or alternate Director in any such contract or transaction shall be disclosed by him or the alternate Director appointed by him at or prior to its consideration and any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general notice that a Director or alternate Director is a shareholder of any specified firm or company and is to be regarded as interested in any transaction with such firm or company shall be sufficient disclosure under Article 74 and after such general notice it shall not be necessary to give special notice relating to any particular transaction.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APPOINTMENT AND REMOVAL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by ordinary resolution appoint any person to be a Director and may in like manner remove any Director and may in like manner appoint another person in his stead notwithstanding anything in these Articles or in any agreement between the Company and such Director. A vacancy on the Board created by the removal of a Director under this Article may be filled by the election or appointment by ordinary resolution at the meeting at which such Director is removed or pursuant to Article 77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by the affirmative vote of a simple majority of the remaining Directors present and voting at a Board meeting, shall have power at any time and from time to time to appoint any person to be a Director, either to fill a casual vacancy or as an addition to the existing Directors but so that the total amount of Directors (exclusive of alternate Directors) shall not at any time exceed the number fixed in accordance with these Articles. Any Director so appointed shall hold office only until the first annual general meeting of the Company after such Director’s appointment and shall then be eligible for re-election at that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1"/>
        <w:gridCol w:w="9704"/>
      </w:tblGrid>
      <w:tr>
        <w:trPr/>
        <w:tc>
          <w:tcPr>
            <w:tcW w:w="501" w:type="dxa"/>
            <w:tcBorders/>
          </w:tcPr>
          <w:p>
            <w:pPr>
              <w:pStyle w:val="TableContents"/>
              <w:bidi w:val="0"/>
              <w:spacing w:before="0" w:after="283"/>
              <w:jc w:val="left"/>
              <w:rPr/>
            </w:pPr>
            <w:r>
              <w:rPr/>
              <w:t>77A.</w:t>
            </w:r>
          </w:p>
        </w:tc>
        <w:tc>
          <w:tcPr>
            <w:tcW w:w="970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every annual general meeting of the Company one-third of the Directors for the time being (or, if their number is not three or multiple of three, then the number nearest to, but not less than, one-third) shall retire from office by rotation provided that every Director (including those appointed for a specific term) shall be subject to retirement by rotation at least once every three years. Any Director required to stand for re-election pursuant to Article 77 shall not be taken into account in determining the number of Directors and which Directors are to retire by rotation. A retiring Director shall retain office until the close of the meeting at which such Director retires and shall be eligible for re-election at such meeting. The Company at any annual general meeting at which any Directors retire may fill the vacated office by electing a like number of persons to be Directors.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VACATION OF OFFICE OF DIRECTOR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office of a Director shall be vacated: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he gives notice in writing to the Company that he resigns the office of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he dies, becomes bankrupt or makes any arrangement or composition with his creditors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he is found a lunatic or becomes of unsound mind.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ALTERNATE DIRECTORS AND VISITATION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who expects to be unable to attend Directors’ Meetings because of absence, illness or otherwise may appoint any person to be an alternate Director to act in his stead and such appointee whilst he holds office as an alternate Director shall, in the event of absence therefrom of his appointor, be entitled to attend meetings of the Directors and to vote thereat and to do, in the place and stead of his appointor, any other act or thing which his appointor is permitted or required to do by virtue of his being a Director as if the alternate Director were the appointor, other than appointment of an alternate to himself, and he shall ipso facto vacate office if and when his appointor ceases to be a Director or removes the appointee from office— Any appointment or removal under this Article shall be effected by notice in writing under the hand of the Director making the same.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POWERS AND DUTIES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of the Company shall be managed by the Directors (or a sole Director if only one is appointed) who may pay all expenses incurred in promoting, registering and setting up the Company, and may exercise all such powers of the Company as are not, from time to time by the Statute, or by these Articles, or such regulations, being not inconsistent with the aforesaid, as may be prescribed by the Company in general meeting required to be exercised by the Company in general meeting PROVIDED HOWEVER that no regulations made by the Company in general meeting shall invalidate any prior act of the Directors which would have been valid if that regulation had not been made.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and at any time by powers of attorney appoint any company, firm, person or body of persons, whether nominated directly or indirectly by the Directors, to be the attorney or attorneys of the Company for such purpose and with such powers, authorities and discretions (not exceeding those vested in or exercisable by the Directors under these Articles) and for such period and subject to such conditions as they may think fit, and any such powers of attorney may contain such provisions for the protection and convenience of persons dealing with any such attorneys as the Directors may think fit and may also authorize any such attorney to delegate all or any of the powers, authorities and discretions vested in him.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cheques, promissory notes, drafts, bills of exchange and other negotiable instruments and all receipts for monies paid to the Company shall be signed, drawn, accepted, endorsed or otherwise executed as the case may be in such manner as the Directors shall from time to time by resolution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cause minutes to be made in books provided for the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all appointments of officers made by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names of the Directors (including those represented thereat by an alternate or by proxy) present at each meeting of the Directors and of any committee of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all resolutions and proceedings at all meetings of the Company and of the Directors and of committees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exercise all the powers of the Company to borrow money and to mortgage or charge its undertaking, property and uncalled capital or any part thereof and to issue debentures, debenture stock and other securities whether outright or as security for any debt, liability or obligation of the Company or of any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and except as required by applicable law or the listing rules of the recognized stock exchange or automated quotation system where the Company’s securities are traded, adopt, institute, amend, modify or revoke the corporate governance policies or initiatives, which shall be intended to set forth the policies of the Company and the Board of Directors on various corporate governance related matters as the Directors shall determine by resolution from time to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PROCEEDINGS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provided by these Articles, the Directors shall meet together for the dispatch of business, convening, adjourning and otherwise regulating their meetings as they think fit. Questions arising at any meeting shall be decided by a majority of votes of the Directors and alternate Directors present at a meeting at which there is a quorum, the vote of an alternate Director not being counted if his appointor be present at such meeting. In case of an equality of votes, the Chairman of the Board of Directors shall have a second or casting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or alternate Director may, and the Secretary on the requisition of a Director or alternate Director shall, at any time summon a meeting of the Directors by at least three days’ notice in writing to every Director and alternate Director which notice shall set forth the general nature of the business to be considered unless notice is waived by all the Directors (or their alternates) either at, before or after the meeting is held and PROVIDED FURTHER if notice is given in person, by cable, telex, telecopy or email the same shall be deemed to have been given on the day it is delivered to the Directors or transmitting organization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quorum necessary for the transaction of the business of the Directors may be fixed by the Directors and unless so fixed shall be a majority of the then existing Directors and shall include Robin Yanhong Li, provided that a Director and his appointed alternate Director shall be considered only one person for this purpose. If at any time there is only a sole Director the quorum shall be one. For the purposes of this Article, an alternate Director or proxy appointed by a Director shall be counted in a quorum at a meeting at which the Director appointing him is not present. A meeting of the Directors at which a quorum is present when the meeting proceeds to business shall be competent to exercise all powers and discretions for the time being exercisable by the Directors. A meeting of the Directors may be held by means of telephone or teleconferencing or any other telecommunications facility provided that all participants are thereby able to communicate immediately by voice with all other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continuing Directors may act notwithstanding any vacancy in their body, but if and so long as their number is reduced below the number fixed by or pursuant to these Articles as the necessary quorum of Directors the continuing Directors or Director may act for the purpose of increasing the number of Directors to that number, or of summoning a general meeting of the Company, but for no other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elect a Chairman of the Board and determine the period for which he is to hold office; but if no such Chairman is elected, or if at any meeting the Chairman is not present within fifteen minutes after the time appointed for holding the same, the Directors present may choose one of their numbers to be Chairman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delegate any of their powers to committees consisting of such member or members of the Board of Directors (including Alternate Directors in the absence of their appointors) as they think fit; any committee so formed shall in the exercise of the powers so delegated conform to any regulations that may be imposed on it by the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committee may meet and adjourn as it thinks proper. Questions arising at any meeting shall be determined by a majority of votes of the members present, and in the case of an equality of votes the Chairman shall have a second or casting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acts done by any meeting of the Directors or of a committee of Directors (including any person acting as an alternate Director) shall, notwithstanding that it be afterwards discovered that there was some defect in the appointment of any Director or alternate Director, or that they or any of them were disqualified, be as valid as if every such person had been duly appointed and qualified to be a Director or alternate Director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Members of the Board of Directors or of any committee thereof may participate in a meeting of the Board or of such committee by means of conference telephone or similar communications equipment by means of which all persons participating in the meeting can hear each other and participation in a meeting pursuant to this provision shall constitute presence in person at such meeting. A resolution in writing (in one or more counterparts), signed by all the Directors for the time being or all the members of a committee of Directors (an alternate Director being entitled to sign such resolution on behalf of his appointor) shall be as valid and effectual as if it had been passed at a meeting of the Directors or committee as the case may be duly convened and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may be represented at any meetings of the Board of Directors by a proxy appointed by him in which event the presence or vote of the proxy shall for all purposes be deemed to be that of the Director.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PRESUMPTION OF ASSENT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of the Company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Secretary of the meeting before the adjournment thereof or shall forward such dissent by registered mail to such person immediately after the adjournment of the meeting. Such right to dissent shall not apply to a Director who voted in favor of such action.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MANAGEMENT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tcPr>
          <w:p>
            <w:pPr>
              <w:pStyle w:val="TableContents"/>
              <w:bidi w:val="0"/>
              <w:spacing w:before="0" w:after="283"/>
              <w:jc w:val="left"/>
              <w:rPr/>
            </w:pPr>
            <w:r>
              <w:rPr/>
              <w:t>98.  (a)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provide for the management of the affairs of the Company in such manner as they shall think fit and the provisions contained in the three next following paragraphs shall be without prejudice to the general powers conferred by this paragraph.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from time to time and at any time may establish any committees, local bonds or agencies for managing any of the affairs of the Company and may appoint any persons to be members of such committees or local bonds or any managers or agents and may fix their remuneration.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from time to time and at any time may delegate to any such committee, local board, manager or agent any of tire powers, authorities and discretions for the time being vested in the Directors and may authorize the members for the time being of any such local board, or any of them to fill up any vacancies therein and to act notwithstanding vacancies and any such appointment or delegation may be made on such terms and subject to such conditions as the Directors may think fit and the Directors may at any time remove any person so appointed and may annul or vary any such delegation, but no person dealing in good faith and without notice of any such annulment or variation shall be affected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delegates as aforesaid may be authorized by the Directors to sub-delegate all or any of the powers, authorities, and discretions for the time being vested in them.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OFFICERS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these Articles, the Directors may from time to time appoint any person, whether or not a director of the Company to hold such office in the Company as the Directors may think necessary for the administration of the Company, including without prejudice to the foregoing generality, the office of the Chief Executive Officer, Chief Financial Officer, Chief Operating Officer and/or one or more Vice Presidents, and for such term and at such remuneration (whether by way of salary or commission or participation in profits or partly in one way and partly in another), and with such powers and duties as the Directors may think fit.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SEAL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100.  (a)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if the Directors so determine, have a Seal which shall, subject to paragraph (c) hereof, only be used by the authority of the Directors or of a committee of the Directors authorized by the Directors in that behalf and every instrument to which the Seal has been affixed shall be signed by one person who shall be either a Director or the Secretary or Secretary-Treasurer or some person appointed by the Directors for the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Director, Secretary or other officer or representative or attorney may without further authority of the Directors affix the Seal of the Company over his signature alone to any document of the Company required to be authenticated by him under Seal or to be filed with the Registrar of Companies in the Cayman Islands or elsewhere.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DIVIDENDS, DISTRIBUTIONS AND 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Statute, the Directors may from time to time declare dividends (including interim dividends) and distributions on shares of the Company outstanding and authorize payment of the same out of the funds of the Company lawfully available therefore.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before declaring any dividends or distributions, set aside such sums as they think proper as a reserve or reserves which shall at the discretion of the Directors, be applicable for any purpose of the Company and pending such application may, at the like discretion, be employed in the business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dividend or distribution shall be payable except out of the profits of the Company, realized or unrealized, or out of the share premium account or as otherwise permitted by the Statute.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rights of persons, if any, entitled to shares with special rights as to dividends or distributions, if dividends or distributions are to be declared on a class of shares they shall be declared and paid according to the amounts paid or credited as paid on the shares of such class outstanding on the record date for such dividend or distribution as determined in accordance with these Articles but no amount paid or credited as paid on a share in advance of calls shall be treated for the purpose of this Article as paid on the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deduct from any dividend or distribution payable to any Member all sums of money (if any) presently payable by him to the Company on account of calls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declare that any dividend or distribution be paid wholly or partly by the distribution of specific assets and in particular of paid up shares, debentures, or debenture stock of any other company or in any one or more of such ways and where any difficulty arises in regard to such distribution, the Directors may settle the same as they think expedient and in particular may issue fractional certificates and fix the value for distribution of such specific assets or any part thereof and may determine that cash payments shall be made to any Members upon the footing of the value so fixed in order to adjust the rights of all Members and may vest any such specific assets in trustees as may seem expedient to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dividend, distribution, interest or other monies payable in cash in respect of shares may be Paid by wire transfer to the holder or by cheque or warrant sent through the post directed to the registered address of the holder or, in the case of joint holders, to the holder who is first named on the register of Members or to such person and to such address as such holder or joint holders may in writing direct. Every such wire transfer, cheque or warrant shall be made payable to the order of the person to whom it is sent. Any one of two or more joint holders may give effectual receipts for any dividends, bonuses, or other monies payable in respect of the share held by them as joint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dividend or distribution shall bear interest against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CAPITALIZATION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upon the recommendation of the Directors by ordinary resolution authorize the Directors to capitalize any sum standing to the credit of any of the Company’s reserve accounts (including share premium account and capital redemption reserve fund) or any sum standing to the credit of profit and loss account or otherwise available for distribution and to appropriate such sum to Members in the proportions in, which such sum would have been divisible amongst them had the same been a distribution of profits by way of dividend and to apply such sum on their behalf in paying up in full unissued shares for allotment and distribution credited as fully paid up to and amongst them in the proportion aforesaid. In such event the Directors shall do all acts and things required to give effect to such capitalization, with full power to the Directors to make such provisions as they think fit for the case of shares becoming distributable in fractions (including provisions whereby the benefit of fractional entitlements accrue to the Company rather than to the Members concerned). The Directors may authorize any person to enter on behalf of all of the Members interested into an agreement with the Company providing for such capitalization and matters incidental thereto and any agreement made under such authority shall be effective and binding on all concerned.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BOOKS OF ACCOUNT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0"/>
        <w:gridCol w:w="9795"/>
      </w:tblGrid>
      <w:tr>
        <w:trPr/>
        <w:tc>
          <w:tcPr>
            <w:tcW w:w="410" w:type="dxa"/>
            <w:tcBorders/>
          </w:tcPr>
          <w:p>
            <w:pPr>
              <w:pStyle w:val="TableContents"/>
              <w:bidi w:val="0"/>
              <w:spacing w:before="0" w:after="283"/>
              <w:jc w:val="left"/>
              <w:rPr/>
            </w:pPr>
            <w:r>
              <w:rPr/>
              <w:t>110.</w:t>
            </w:r>
          </w:p>
        </w:tc>
        <w:tc>
          <w:tcPr>
            <w:tcW w:w="97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cause proper books of account to be kept with respect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sums of money received and expended by the Company and the matters in respect of which the receipt or expenditure takes 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sales and purchases of goods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assets and liabilities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 books shall not be deemed to be kept if there are not kept such books of account as are necessary to give a true and fair view of the state of the Company’s affairs and to explain its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from time to time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authorized by the Directors or by the Company in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may from time to time cause to be prepared and to be laid before the Company in general meeting profit and loss accounts, balance sheets, group accounts (if any) and such other reports and accounts as may be required by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AUDIT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at every annual general meeting by an ordinary resolution appoint an Auditor or Auditors of the Company who shall hold office until the next annual general meeting of the Company. The Company may by an ordinary resolution remove an Auditor before the expiration of such Auditor’s term of office. No person may be appointed as an Auditor unless such person is independent of the Company. The remuneration of the Auditors shall be fixed by the Company at the annual general meeting at which they are appointed by an ordinary resolution, or in the manner specified in such 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office of Auditor becomes vacant by the resignation or death of the Auditor, or by the Auditor becoming incapable of acting by reason of illness or other disability, the Directors may fill the casual vacancy in the office of Auditor but while any such vacancy continues the surviving or continuing Auditor or Auditors, if any, may act. The Auditor or Auditors of the Company so appointed shall hold office until the next annual general meeting unless previously removed by an ordinary resolution of the Members in general meeting in which case the Members at that meeting may appoint Auditors. The remuneration of any Auditor appointed by the Directors under this Article may be fixed by the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Auditors shall at the next annual general meeting following their appointment and at any other time during their term of office, upon request of the Directors or any general meeting of the Members, make a report on the accounts of the Company in general meeting during their tenure of office.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Directors would not be in the interests of the members of the Company to communicate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shall be entitled to release or disclose any information in its possession, custody or control regarding the Company or its affairs to any of its Members. Except when a register is closed and, if applicable, subject to the additional provisions of Article 31, the branch register of members in Hong Kong shall during business hours be kept open for inspection by any Member without charge. The reference to business hours in this Article is subject to such reasonable restrictions as the Company in general meeting may impose, but so that not less than two hours in each business day is to be allowed for inspections.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WINDING 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Statute, the Company may by Special Resolution resolve that the Company be wound up voluntarily.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shall be wound up the liquidator may, with the sanction of a Special Resolution of the Company and any other sanction required by the Statute, divide amongst the Members in specie or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trustees upon such trusts for the benefit of the contributories as the liquidator, with the like sanction, shall think fit, but so that no Member shall be compelled to accept any shares or other securities whereon there is any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shall be wound up, and the assets available for distribution amongst the Members as such shall be insufficient to repay the whole of the paid-up capital, such assets shall be distributed so that, as nearly as may be, the losses shall be borne by the Members in proportion to the capital paid up, or which ought to have been paid up, at the commencement of the winding up on the shares held by them respectively. And if in a winding up the assets available for distribution amongst the Members shall be more than sufficient to repay the whole of the capital paid up at the commencement of the winding up, the excess shall be distributed amongst the Members in proportion to the capital paid up at the commencement of the winding up on the shares held by them respectively. This Article is to be without prejudice to the rights of the holders of shares issued upon special terms and conditions.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INDEMNITY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and officers for the time being of the Company and any trustee for the time being acting in relation to any of the affairs of the Company and their heirs, executors, administrators and personal representatives respectively shall be indemnified out of the assets of the Company from and against all actions, proceedings, costs, charges, losses, damages and expenses which they or any of them shall or may incur or sustain by reason of any act done or omitted in or about the execution of their duty in their respective offices or trusts, except such (if any) as they shall incur or sustain by or through their own willful neglect or default respectively and no such Director, officer or trustee shall be answerable for the acts, receipts, neglects or defaults of any other Director, officer or trustee or for joining in any receipt for the sake of conformity or for the solvency or honesty of any banker or other persons with whom any monies or effects belonging to the Company may be lodged or deposited for safe custody or for any insufficiency of any security upon which any monies of the Company may be invested or for any other loss or damage due to any such cause as aforesaid or which may happen in or about the execution of his office or trust unless the same shall happen through the willful neglect or default of such Director, Officer or trustee. Each Member agrees to waive any claim or right of action he might have, whether individually or by or in the right of the Company, against any Director or officer on account of any action taken by such Director, or the failure of such Director to take any action in the performance of his duties with or for the Company; PROVIDED THAT such waiver shall not extend to any matter in respect of any fraud or dishonesty which may attach to such Director.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FINANCIAL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the Directors otherwise prescribe, the financial year of the Company shall end on 31st December in each year and, following the year of incorporation, shall begin on 1st January in each year.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AMENDMENTS OF ARTICLES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Statute, the Company may at any time and from time to time by Special Resolution alter or amend these Articles in whole or in part.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REGISTRATION BY WAY OF CONTINUATION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p>
    <w:p>
      <w:pPr>
        <w:pStyle w:val="TextBody"/>
        <w:bidi w:val="0"/>
        <w:spacing w:before="0" w:after="0"/>
        <w:jc w:val="right"/>
        <w:rPr>
          <w:rFonts w:ascii="Times New Roman" w:hAnsi="Times New Roman"/>
          <w:b/>
          <w:sz w:val="20"/>
        </w:rPr>
      </w:pPr>
      <w:bookmarkStart w:id="4" w:name="d117226dex991.htm"/>
      <w:bookmarkStart w:id="5" w:name="ksd117226dex991"/>
      <w:bookmarkEnd w:id="4"/>
      <w:bookmarkEnd w:id="5"/>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Baidu Provides Update on Voluntary Conversion to Dual-Primary Listing on the Main Board of the Hong Kong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BEIJING, China, August 26, 2026 – Baidu, Inc. (“Baidu” or the “Company”) (Nasdaq: BIDU; HKEX: 9888 (HKD Counter) and 89888 (RMB Counter)), a leading AI company with strong Internet foundation, today announced that the Company’s voluntary conversion of its secondary listing status to primary listing on the Main Board of The Stock Exchange of Hong Kong Limited (the “Hong Kong Stock Exchange”) will become effective on September 1, 2026 (the “Effective Date”). </w:t>
      </w:r>
    </w:p>
    <w:p>
      <w:pPr>
        <w:pStyle w:val="TextBody"/>
        <w:bidi w:val="0"/>
        <w:spacing w:before="240" w:after="0"/>
        <w:jc w:val="left"/>
        <w:rPr>
          <w:rFonts w:ascii="Times New Roman" w:hAnsi="Times New Roman"/>
          <w:sz w:val="20"/>
        </w:rPr>
      </w:pPr>
      <w:r>
        <w:rPr>
          <w:rFonts w:ascii="Times New Roman" w:hAnsi="Times New Roman"/>
          <w:sz w:val="20"/>
        </w:rPr>
        <w:t>Upon the Effective Date, Baidu will become a dual-primary listed company on the Hong Kong Stock Exchange in Hong Kong SAR and the Nasdaq Global Select Market in the United States. The conversion does not involve any issuance of new shares or fundraising activities by the Company. The stock marker “S” will be removed from the Company’s stock short names for both the HKD and RMB counters on the Hong Kong Stock Exchange with effect from September 1, 2026 following the conversion. The Company’s corresponding announcement on the Hong Kong Stock Exchange is available on the Company’s website at </w:t>
      </w:r>
      <w:r>
        <w:rPr>
          <w:rFonts w:ascii="Times New Roman" w:hAnsi="Times New Roman"/>
          <w:sz w:val="20"/>
          <w:u w:val="single"/>
        </w:rPr>
        <w:t>https://ir.baidu.com/.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Effective Date, the Company will be required to comply with all the relevant Rules Governing the Listing of Securities on The Stock Exchange of Hong Kong Limited (the “Hong Kong Listing Rules”) applicable to a dual-primary listed issuer. The Company has taken the necessary measures to comply with the Hong Kong Listing Rules applicable to a dual-primary listed issuer upon the Effective Date, including changing the composition of its Audit Committee and Nominating and Corporate Governance Committee and obtaining the necessary shareholder approvals for the conversion at the extraordinary general meeting of the Company held on August 26, 2026. </w:t>
      </w:r>
    </w:p>
    <w:p>
      <w:pPr>
        <w:pStyle w:val="TextBody"/>
        <w:bidi w:val="0"/>
        <w:spacing w:before="360" w:after="0"/>
        <w:jc w:val="left"/>
        <w:rPr>
          <w:rFonts w:ascii="Times New Roman" w:hAnsi="Times New Roman"/>
          <w:b/>
          <w:sz w:val="20"/>
        </w:rPr>
      </w:pPr>
      <w:r>
        <w:rPr>
          <w:rFonts w:ascii="Times New Roman" w:hAnsi="Times New Roman"/>
          <w:b/>
          <w:sz w:val="20"/>
        </w:rPr>
        <w:t xml:space="preserve">About Baidu </w:t>
      </w:r>
    </w:p>
    <w:p>
      <w:pPr>
        <w:pStyle w:val="TextBody"/>
        <w:bidi w:val="0"/>
        <w:spacing w:before="120" w:after="0"/>
        <w:jc w:val="left"/>
        <w:rPr>
          <w:rFonts w:ascii="Times New Roman" w:hAnsi="Times New Roman"/>
          <w:sz w:val="20"/>
        </w:rPr>
      </w:pPr>
      <w:r>
        <w:rPr>
          <w:rFonts w:ascii="Times New Roman" w:hAnsi="Times New Roman"/>
          <w:sz w:val="20"/>
        </w:rPr>
        <w:t xml:space="preserve">Founded in 2000, Baidu’s mission is to make the complicated world simpler through technology. Baidu is a leading AI company with strong Internet foundation, trading on Nasdaq under “BIDU” and HKEX under “9888”. One Baidu ADS represents eight Class A ordinary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Baidu’s and other parties’ strategic and operational plans, contain forward-looking statements. Baidu may also make written or oral forward-looking statements in its periodic reports to the U.S. Securities and Exchange Commission, in announcements made on the website of the Hong Kong Stock Exchange, in its annual report to shareholders, in press releases and other written materials and in oral statements made by its officers, directors or employees to third parties. Statements that are not historical facts, including but not limited to statements about Baidu’s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Baidu’s growth strategies; its future business development, including development of new products and services; its ability to attract and retain users and customers; competition in the Chinese Internet search and newsfeed market; competition for online marketing customers; changes in the Company’s revenues and certain cost or expense items as a percentage of its revenues; the outcome of ongoing, or any future, litigation or arbitration, including those relating to intellectual property rights; the expected growth of the Chinese-language Internet search and newsfeed market and the number of Internet and broadband users in China; Chinese governmental policies relating to the Internet and Internet search providers, and general economic conditions in China and elsewhere. Further information regarding these and other risks is included in the Company’s annual report on Form 20-F and other documents filed with the Securities and Exchange Commission, and announcements on the website of the Hong Kong Stock Exchange. Baidu does not undertake any obligation to update any forward-looking statement, except as required under applicable law. All information provided in this press release and in the attachments is as of the date of the press release, and Baidu undertakes no duty to update such information, except as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SOURCE Baidu, Inc. </w:t>
      </w:r>
    </w:p>
    <w:p>
      <w:pPr>
        <w:pStyle w:val="TextBody"/>
        <w:bidi w:val="0"/>
        <w:spacing w:before="240" w:after="0"/>
        <w:jc w:val="left"/>
        <w:rPr>
          <w:rFonts w:ascii="Times New Roman" w:hAnsi="Times New Roman"/>
          <w:sz w:val="20"/>
        </w:rPr>
      </w:pPr>
      <w:r>
        <w:rPr>
          <w:rFonts w:ascii="Times New Roman" w:hAnsi="Times New Roman"/>
          <w:sz w:val="20"/>
        </w:rPr>
        <w:t xml:space="preserve">Investor Relations, Baidu, Inc., Tel: +86-10-5992-8888, Email: ir@baidu.com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6" w:name="d117226dex992.htm"/>
      <w:bookmarkStart w:id="7" w:name="ksd117226dex992"/>
      <w:bookmarkEnd w:id="6"/>
      <w:bookmarkEnd w:id="7"/>
      <w:r>
        <w:rPr>
          <w:rFonts w:ascii="Times New Roman" w:hAnsi="Times New Roman"/>
          <w:b/>
          <w:sz w:val="20"/>
        </w:rPr>
        <w:t xml:space="preserve">Exhibit 99.2 </w:t>
      </w:r>
      <w:r>
        <w:br w:type="page"/>
      </w:r>
    </w:p>
    <w:p>
      <w:pPr>
        <w:pStyle w:val="TextBody"/>
        <w:bidi w:val="0"/>
        <w:spacing w:before="240" w:after="0"/>
        <w:jc w:val="left"/>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240" w:after="0"/>
        <w:jc w:val="left"/>
        <w:rPr>
          <w:rFonts w:ascii="Times New Roman" w:hAnsi="Times New Roman"/>
          <w:i/>
          <w:sz w:val="20"/>
        </w:rPr>
      </w:pPr>
      <w:r>
        <w:rPr>
          <w:rFonts w:ascii="Times New Roman" w:hAnsi="Times New Roman"/>
          <w:i/>
          <w:sz w:val="20"/>
        </w:rPr>
        <w:t xml:space="preserve">Under our weighted voting rights structure, our share capital comprises Class A ordinary shares and Class B ordinary shares. Each Class A ordinary share entitles the holder to exercise one vote, and each Class B ordinary share entitles the holder to exercise 10 votes, respectively, on all matters subject to the vote at general meetings of the Company. Shareholders and prospective investors should be aware of the potential risks of investing in a company with a weighted voting rights structure. Our American depositary shares, each representing eight of our Class A ordinary shares, are listed on Nasdaq in the United States under the symbol BIDU. </w:t>
      </w:r>
    </w:p>
    <w:p>
      <w:pPr>
        <w:pStyle w:val="TextBody"/>
        <w:bidi w:val="0"/>
        <w:spacing w:before="0" w:after="0"/>
        <w:jc w:val="left"/>
        <w:rPr/>
      </w:pPr>
      <w:r>
        <w:rPr/>
        <w:t> </w:t>
      </w:r>
    </w:p>
    <w:p>
      <w:pPr>
        <w:pStyle w:val="TextBody"/>
        <w:bidi w:val="0"/>
        <w:spacing w:before="0" w:after="0"/>
        <w:jc w:val="center"/>
        <w:rPr/>
      </w:pPr>
      <w:r>
        <w:rPr/>
        <w:drawing>
          <wp:inline distT="0" distB="0" distL="0" distR="0">
            <wp:extent cx="20288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628650"/>
                    </a:xfrm>
                    <a:prstGeom prst="rect">
                      <a:avLst/>
                    </a:prstGeom>
                  </pic:spPr>
                </pic:pic>
              </a:graphicData>
            </a:graphic>
          </wp:inline>
        </w:drawing>
      </w: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Baidu, Inc. </w:t>
      </w:r>
    </w:p>
    <w:p>
      <w:pPr>
        <w:pStyle w:val="TextBody"/>
        <w:bidi w:val="0"/>
        <w:spacing w:before="0" w:after="0"/>
        <w:jc w:val="center"/>
        <w:rPr>
          <w:rFonts w:eastAsia="Times New Roman"/>
          <w:sz w:val="20"/>
        </w:rPr>
      </w:pPr>
      <w:r>
        <w:rPr>
          <w:rFonts w:eastAsia="PMingLiU"/>
          <w:sz w:val="18"/>
        </w:rPr>
        <w:t>百度集團股份有限公司</w:t>
      </w:r>
      <w:r>
        <w:rPr>
          <w:rFonts w:eastAsia="Times New Roman"/>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Codes: 9888 (HKD counter) and 89888 (RMB counter)) </w:t>
      </w:r>
    </w:p>
    <w:p>
      <w:pPr>
        <w:pStyle w:val="TextBody"/>
        <w:bidi w:val="0"/>
        <w:spacing w:before="240" w:after="0"/>
        <w:jc w:val="center"/>
        <w:rPr>
          <w:rFonts w:ascii="Times New Roman" w:hAnsi="Times New Roman"/>
          <w:b/>
          <w:sz w:val="20"/>
        </w:rPr>
      </w:pPr>
      <w:r>
        <w:rPr>
          <w:rFonts w:ascii="Times New Roman" w:hAnsi="Times New Roman"/>
          <w:b/>
          <w:sz w:val="20"/>
        </w:rPr>
        <w:t xml:space="preserve">VOLUNTARY CONVERSION TO DUAL PRIMARY LISTING ON THE HONG KONG STOCK EXCHANGE </w:t>
      </w:r>
    </w:p>
    <w:p>
      <w:pPr>
        <w:pStyle w:val="TextBody"/>
        <w:bidi w:val="0"/>
        <w:spacing w:before="240" w:after="0"/>
        <w:jc w:val="left"/>
        <w:rPr>
          <w:rFonts w:ascii="Times New Roman" w:hAnsi="Times New Roman"/>
          <w:sz w:val="20"/>
        </w:rPr>
      </w:pPr>
      <w:r>
        <w:rPr>
          <w:rFonts w:ascii="Times New Roman" w:hAnsi="Times New Roman"/>
          <w:sz w:val="20"/>
        </w:rPr>
        <w:t>Reference is made to the announcements of the Company dated July 16, 2026 and July 22, 2026 (the “</w:t>
      </w:r>
      <w:r>
        <w:rPr>
          <w:rFonts w:ascii="Times New Roman" w:hAnsi="Times New Roman"/>
          <w:b/>
          <w:sz w:val="20"/>
        </w:rPr>
        <w:t>First Conversion Announcement</w:t>
      </w:r>
      <w:r>
        <w:rPr>
          <w:rFonts w:ascii="Times New Roman" w:hAnsi="Times New Roman"/>
          <w:sz w:val="20"/>
        </w:rPr>
        <w:t xml:space="preserve">”) and the circular of the Company dated July 27, 2026 in relation to, among other things, the Primary Conversion and the announcement of the Company dated August 26, 2026 in relation to the poll results of the extraordinary general meeting held by the Company on August 26, 2026. </w:t>
      </w:r>
    </w:p>
    <w:p>
      <w:pPr>
        <w:pStyle w:val="TextBody"/>
        <w:bidi w:val="0"/>
        <w:spacing w:before="240" w:after="0"/>
        <w:jc w:val="left"/>
        <w:rPr>
          <w:rFonts w:ascii="Times New Roman" w:hAnsi="Times New Roman"/>
          <w:sz w:val="20"/>
        </w:rPr>
      </w:pPr>
      <w:r>
        <w:rPr>
          <w:rFonts w:ascii="Times New Roman" w:hAnsi="Times New Roman"/>
          <w:sz w:val="20"/>
        </w:rPr>
        <w:t xml:space="preserve">This announcement is made pursuant to paragraph 22(c) of Guidance Letter HKEX-GL112-22. Unless otherwise defined herein, capitalized terms in this announcement shall have the same meanings as defined in the First Conversion Announcement.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CONVERSION TO DUAL PRIMARY LISTING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is pleased to announce that the Company’s voluntary conversion of its secondary listing status to primary listing on the Hong Kong Stock Exchange will become effective on September 1, 2026. The Company will become dual primary listed on the Hong Kong Stock Exchange and Nasdaq on the Effective Date. The stock marker “S” will be removed from its stock short names for both HKD and RMB counters on the Hong Kong Stock Exchange with effect from September 1, 2026 following the Primary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OBLIGATION OF THE COMPANY TO COMPLY WITH APPLICABLE HONG KONG LISTING RULES </w:t>
            </w:r>
          </w:p>
        </w:tc>
      </w:tr>
    </w:tbl>
    <w:p>
      <w:pPr>
        <w:pStyle w:val="TextBody"/>
        <w:bidi w:val="0"/>
        <w:spacing w:before="240" w:after="0"/>
        <w:jc w:val="left"/>
        <w:rPr>
          <w:rFonts w:ascii="Times New Roman" w:hAnsi="Times New Roman"/>
          <w:sz w:val="20"/>
        </w:rPr>
      </w:pPr>
      <w:r>
        <w:rPr>
          <w:rFonts w:ascii="Times New Roman" w:hAnsi="Times New Roman"/>
          <w:sz w:val="20"/>
        </w:rPr>
        <w:t>Upon the Effective Date, the Company is required to comply with all the relevant Hong Kong Listing Rules applicable to a dual-primary listed issuer, including the Hong Kong Listing Rules subject to the waivers and exemptions granted or applicable to the Company as a secondary listed issuer on the Hong Kong Stock Exchange (“</w:t>
      </w:r>
      <w:r>
        <w:rPr>
          <w:rFonts w:ascii="Times New Roman" w:hAnsi="Times New Roman"/>
          <w:b/>
          <w:sz w:val="20"/>
        </w:rPr>
        <w:t>Existing Waivers</w:t>
      </w:r>
      <w:r>
        <w:rPr>
          <w:rFonts w:ascii="Times New Roman" w:hAnsi="Times New Roman"/>
          <w:sz w:val="20"/>
        </w:rPr>
        <w:t xml:space="preserve">”) which will be withdrawn or will no longer be applicable upon the Effective Date. Such Existing Waivers that will lapse upon the Effective Date include, among others, the following specific waivers granted by the Hong Kong Stock Exchange, exemption and ruling granted by the Securities and Futures Commission of Hong Kong, on an individual basis: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37"/>
        <w:gridCol w:w="123"/>
        <w:gridCol w:w="4945"/>
      </w:tblGrid>
      <w:tr>
        <w:trPr/>
        <w:tc>
          <w:tcPr>
            <w:tcW w:w="513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45" w:type="dxa"/>
            <w:tcBorders/>
            <w:vAlign w:val="center"/>
          </w:tcPr>
          <w:p>
            <w:pPr>
              <w:pStyle w:val="TableContents"/>
              <w:bidi w:val="0"/>
              <w:spacing w:before="0" w:after="283"/>
              <w:jc w:val="left"/>
              <w:rPr>
                <w:sz w:val="4"/>
                <w:szCs w:val="4"/>
              </w:rPr>
            </w:pPr>
            <w:r>
              <w:rPr>
                <w:sz w:val="4"/>
                <w:szCs w:val="4"/>
              </w:rPr>
            </w:r>
          </w:p>
        </w:tc>
      </w:tr>
      <w:tr>
        <w:trPr/>
        <w:tc>
          <w:tcPr>
            <w:tcW w:w="513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Rules</w:t>
            </w:r>
          </w:p>
        </w:tc>
        <w:tc>
          <w:tcPr>
            <w:tcW w:w="123" w:type="dxa"/>
            <w:tcBorders/>
            <w:vAlign w:val="bottom"/>
          </w:tcPr>
          <w:p>
            <w:pPr>
              <w:pStyle w:val="TableContents"/>
              <w:bidi w:val="0"/>
              <w:spacing w:before="0" w:after="283"/>
              <w:jc w:val="left"/>
              <w:rPr/>
            </w:pPr>
            <w:r>
              <w:rPr/>
              <w:t>  </w:t>
            </w:r>
          </w:p>
        </w:tc>
        <w:tc>
          <w:tcPr>
            <w:tcW w:w="49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Subject matter</w:t>
            </w:r>
          </w:p>
        </w:tc>
      </w:tr>
      <w:tr>
        <w:trPr/>
        <w:tc>
          <w:tcPr>
            <w:tcW w:w="5137" w:type="dxa"/>
            <w:tcBorders/>
          </w:tcPr>
          <w:p>
            <w:pPr>
              <w:pStyle w:val="TableContents"/>
              <w:bidi w:val="0"/>
              <w:spacing w:before="0" w:after="283"/>
              <w:jc w:val="left"/>
              <w:rPr/>
            </w:pPr>
            <w:r>
              <w:rPr/>
              <w:t>Rule 2.07A of the Hong Kong Listing Rules</w:t>
            </w:r>
          </w:p>
        </w:tc>
        <w:tc>
          <w:tcPr>
            <w:tcW w:w="123" w:type="dxa"/>
            <w:tcBorders/>
            <w:vAlign w:val="bottom"/>
          </w:tcPr>
          <w:p>
            <w:pPr>
              <w:pStyle w:val="TableContents"/>
              <w:bidi w:val="0"/>
              <w:spacing w:before="0" w:after="283"/>
              <w:jc w:val="left"/>
              <w:rPr/>
            </w:pPr>
            <w:r>
              <w:rPr/>
              <w:t>  </w:t>
            </w:r>
          </w:p>
        </w:tc>
        <w:tc>
          <w:tcPr>
            <w:tcW w:w="4945" w:type="dxa"/>
            <w:tcBorders/>
          </w:tcPr>
          <w:p>
            <w:pPr>
              <w:pStyle w:val="TableContents"/>
              <w:bidi w:val="0"/>
              <w:spacing w:before="0" w:after="283"/>
              <w:jc w:val="left"/>
              <w:rPr/>
            </w:pPr>
            <w:r>
              <w:rPr/>
              <w:t>Printed corporate communications</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283"/>
              <w:jc w:val="left"/>
              <w:rPr/>
            </w:pPr>
            <w:r>
              <w:rPr/>
              <w:t>Rule 13.25B of the Hong Kong Listing Rules</w:t>
            </w:r>
          </w:p>
        </w:tc>
        <w:tc>
          <w:tcPr>
            <w:tcW w:w="123" w:type="dxa"/>
            <w:tcBorders/>
            <w:vAlign w:val="bottom"/>
          </w:tcPr>
          <w:p>
            <w:pPr>
              <w:pStyle w:val="TableContents"/>
              <w:bidi w:val="0"/>
              <w:spacing w:before="0" w:after="283"/>
              <w:jc w:val="left"/>
              <w:rPr/>
            </w:pPr>
            <w:r>
              <w:rPr/>
              <w:t>  </w:t>
            </w:r>
          </w:p>
        </w:tc>
        <w:tc>
          <w:tcPr>
            <w:tcW w:w="4945" w:type="dxa"/>
            <w:tcBorders/>
          </w:tcPr>
          <w:p>
            <w:pPr>
              <w:pStyle w:val="TableContents"/>
              <w:bidi w:val="0"/>
              <w:spacing w:before="0" w:after="283"/>
              <w:jc w:val="left"/>
              <w:rPr/>
            </w:pPr>
            <w:r>
              <w:rPr/>
              <w:t>Monthly return</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283"/>
              <w:jc w:val="left"/>
              <w:rPr/>
            </w:pPr>
            <w:r>
              <w:rPr/>
              <w:t>Rule 19C.07(3)</w:t>
            </w:r>
            <w:r>
              <w:rPr>
                <w:b/>
                <w:i/>
              </w:rPr>
              <w:t xml:space="preserve">(Note) </w:t>
            </w:r>
            <w:r>
              <w:rPr/>
              <w:t>and Paragraph 4(2) of Appendix A1 to the Hong Kong Listing Rules</w:t>
            </w:r>
          </w:p>
        </w:tc>
        <w:tc>
          <w:tcPr>
            <w:tcW w:w="123" w:type="dxa"/>
            <w:tcBorders/>
            <w:vAlign w:val="bottom"/>
          </w:tcPr>
          <w:p>
            <w:pPr>
              <w:pStyle w:val="TableContents"/>
              <w:bidi w:val="0"/>
              <w:spacing w:before="0" w:after="283"/>
              <w:jc w:val="left"/>
              <w:rPr/>
            </w:pPr>
            <w:r>
              <w:rPr/>
              <w:t>  </w:t>
            </w:r>
          </w:p>
        </w:tc>
        <w:tc>
          <w:tcPr>
            <w:tcW w:w="4945" w:type="dxa"/>
            <w:tcBorders/>
          </w:tcPr>
          <w:p>
            <w:pPr>
              <w:pStyle w:val="TableContents"/>
              <w:bidi w:val="0"/>
              <w:spacing w:before="0" w:after="283"/>
              <w:jc w:val="left"/>
              <w:rPr/>
            </w:pPr>
            <w:r>
              <w:rPr/>
              <w:t>Shareholder protection requirements in relation to approval, removal and remuneration of auditors, and appointment of director to fill a casual vacancy on or as an addition to the Board</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283"/>
              <w:jc w:val="left"/>
              <w:rPr/>
            </w:pPr>
            <w:r>
              <w:rPr/>
              <w:t>Paragraph 41(4) and 45 of Appendix 1A to and Practice Note 5 of the Hong Kong Listing Rules</w:t>
            </w:r>
          </w:p>
        </w:tc>
        <w:tc>
          <w:tcPr>
            <w:tcW w:w="123" w:type="dxa"/>
            <w:tcBorders/>
            <w:vAlign w:val="bottom"/>
          </w:tcPr>
          <w:p>
            <w:pPr>
              <w:pStyle w:val="TableContents"/>
              <w:bidi w:val="0"/>
              <w:spacing w:before="0" w:after="283"/>
              <w:jc w:val="left"/>
              <w:rPr/>
            </w:pPr>
            <w:r>
              <w:rPr/>
              <w:t>  </w:t>
            </w:r>
          </w:p>
        </w:tc>
        <w:tc>
          <w:tcPr>
            <w:tcW w:w="4945" w:type="dxa"/>
            <w:tcBorders/>
          </w:tcPr>
          <w:p>
            <w:pPr>
              <w:pStyle w:val="TableContents"/>
              <w:bidi w:val="0"/>
              <w:spacing w:before="0" w:after="283"/>
              <w:jc w:val="left"/>
              <w:rPr/>
            </w:pPr>
            <w:r>
              <w:rPr/>
              <w:t>Disclosure of interests information</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283"/>
              <w:jc w:val="left"/>
              <w:rPr/>
            </w:pPr>
            <w:r>
              <w:rPr/>
              <w:t>Rule 8A.39 of the Hong Kong Listing Rules</w:t>
            </w:r>
          </w:p>
        </w:tc>
        <w:tc>
          <w:tcPr>
            <w:tcW w:w="123" w:type="dxa"/>
            <w:tcBorders/>
            <w:vAlign w:val="bottom"/>
          </w:tcPr>
          <w:p>
            <w:pPr>
              <w:pStyle w:val="TableContents"/>
              <w:bidi w:val="0"/>
              <w:spacing w:before="0" w:after="283"/>
              <w:jc w:val="left"/>
              <w:rPr/>
            </w:pPr>
            <w:r>
              <w:rPr/>
              <w:t>  </w:t>
            </w:r>
          </w:p>
        </w:tc>
        <w:tc>
          <w:tcPr>
            <w:tcW w:w="4945" w:type="dxa"/>
            <w:tcBorders/>
          </w:tcPr>
          <w:p>
            <w:pPr>
              <w:pStyle w:val="TableContents"/>
              <w:bidi w:val="0"/>
              <w:spacing w:before="0" w:after="283"/>
              <w:jc w:val="left"/>
              <w:rPr/>
            </w:pPr>
            <w:r>
              <w:rPr/>
              <w:t>Disclosure of ultimate beneficial owners of Integrity Partners V, LLC (“</w:t>
            </w:r>
            <w:r>
              <w:rPr>
                <w:b/>
              </w:rPr>
              <w:t>Other WVR Beneficiary</w:t>
            </w:r>
            <w:r>
              <w:rPr/>
              <w:t>”)</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283"/>
              <w:jc w:val="left"/>
              <w:rPr/>
            </w:pPr>
            <w:r>
              <w:rPr/>
              <w:t>Section 4.1 of the Introduction to the Takeovers Code</w:t>
            </w:r>
          </w:p>
        </w:tc>
        <w:tc>
          <w:tcPr>
            <w:tcW w:w="123" w:type="dxa"/>
            <w:tcBorders/>
            <w:vAlign w:val="bottom"/>
          </w:tcPr>
          <w:p>
            <w:pPr>
              <w:pStyle w:val="TableContents"/>
              <w:bidi w:val="0"/>
              <w:spacing w:before="0" w:after="283"/>
              <w:jc w:val="left"/>
              <w:rPr/>
            </w:pPr>
            <w:r>
              <w:rPr/>
              <w:t>  </w:t>
            </w:r>
          </w:p>
        </w:tc>
        <w:tc>
          <w:tcPr>
            <w:tcW w:w="4945" w:type="dxa"/>
            <w:tcBorders/>
          </w:tcPr>
          <w:p>
            <w:pPr>
              <w:pStyle w:val="TableContents"/>
              <w:bidi w:val="0"/>
              <w:spacing w:before="0" w:after="283"/>
              <w:jc w:val="left"/>
              <w:rPr/>
            </w:pPr>
            <w:r>
              <w:rPr/>
              <w:t>Not a public company in Hong Kong under the Takeovers Code</w:t>
            </w:r>
          </w:p>
        </w:tc>
      </w:tr>
      <w:tr>
        <w:trPr>
          <w:trHeight w:val="120" w:hRule="atLeast"/>
        </w:trPr>
        <w:tc>
          <w:tcPr>
            <w:tcW w:w="5137" w:type="dxa"/>
            <w:tcBorders/>
            <w:vAlign w:val="center"/>
          </w:tcPr>
          <w:p>
            <w:pPr>
              <w:pStyle w:val="TableContents"/>
              <w:bidi w:val="0"/>
              <w:spacing w:before="0" w:after="283"/>
              <w:jc w:val="left"/>
              <w:rPr>
                <w:sz w:val="4"/>
                <w:szCs w:val="4"/>
              </w:rPr>
            </w:pPr>
            <w:r>
              <w:rPr>
                <w:sz w:val="4"/>
                <w:szCs w:val="4"/>
              </w:rPr>
            </w:r>
          </w:p>
        </w:tc>
        <w:tc>
          <w:tcPr>
            <w:tcW w:w="5068" w:type="dxa"/>
            <w:gridSpan w:val="2"/>
            <w:tcBorders/>
            <w:vAlign w:val="center"/>
          </w:tcPr>
          <w:p>
            <w:pPr>
              <w:pStyle w:val="TableContents"/>
              <w:bidi w:val="0"/>
              <w:spacing w:before="0" w:after="283"/>
              <w:jc w:val="left"/>
              <w:rPr>
                <w:sz w:val="4"/>
                <w:szCs w:val="4"/>
              </w:rPr>
            </w:pPr>
            <w:r>
              <w:rPr>
                <w:sz w:val="4"/>
                <w:szCs w:val="4"/>
              </w:rPr>
            </w:r>
          </w:p>
        </w:tc>
      </w:tr>
      <w:tr>
        <w:trPr/>
        <w:tc>
          <w:tcPr>
            <w:tcW w:w="5137" w:type="dxa"/>
            <w:tcBorders/>
          </w:tcPr>
          <w:p>
            <w:pPr>
              <w:pStyle w:val="TableContents"/>
              <w:bidi w:val="0"/>
              <w:spacing w:before="0" w:after="283"/>
              <w:jc w:val="left"/>
              <w:rPr/>
            </w:pPr>
            <w:r>
              <w:rPr/>
              <w:t>Part XV of the SFO</w:t>
            </w:r>
          </w:p>
        </w:tc>
        <w:tc>
          <w:tcPr>
            <w:tcW w:w="123" w:type="dxa"/>
            <w:tcBorders/>
            <w:vAlign w:val="bottom"/>
          </w:tcPr>
          <w:p>
            <w:pPr>
              <w:pStyle w:val="TableContents"/>
              <w:bidi w:val="0"/>
              <w:spacing w:before="0" w:after="283"/>
              <w:jc w:val="left"/>
              <w:rPr/>
            </w:pPr>
            <w:r>
              <w:rPr/>
              <w:t>  </w:t>
            </w:r>
          </w:p>
        </w:tc>
        <w:tc>
          <w:tcPr>
            <w:tcW w:w="4945" w:type="dxa"/>
            <w:tcBorders/>
          </w:tcPr>
          <w:p>
            <w:pPr>
              <w:pStyle w:val="TableContents"/>
              <w:bidi w:val="0"/>
              <w:spacing w:before="0" w:after="283"/>
              <w:jc w:val="left"/>
              <w:rPr/>
            </w:pPr>
            <w:r>
              <w:rPr/>
              <w:t>Disclosure of interests under Part XV of SFO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i/>
              </w:rPr>
            </w:pPr>
            <w:r>
              <w:rPr>
                <w:i/>
              </w:rPr>
              <w:t>Note:</w:t>
            </w:r>
          </w:p>
        </w:tc>
        <w:tc>
          <w:tcPr>
            <w:tcW w:w="9695"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Rule 19C.07(3) of the Hong Kong Listing Rules has been repealed and replaced by paragraph 17 of Appendix A1 to the Hong Kong Listing Rules, which became effective from January 1, 2022.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Details of the aforementioned Existing Waivers are set out in the company information sheet of the Company dated June 27,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taken necessary measures to comply with the Hong Kong Listing Rules applicable to a dual-primary listed issuer upon the Effective Date, including changing the compositions of the Audit Committee and the Nominating and Corporate Governance Committee and obtaining the necessary Shareholders’ approval in respect of the Primary Conversion at the EGM. In the event the Company is unable to demonstrate full compliance with an applicable Hong Kong Listing Rule in time (where no waiver has been granted by the Hong Kong Stock Exchange) upon the Effective Date, the Company would be in potential breach of the Hong Kong Listing Rules, and would potentially be subject to, depending on the nature and seriousness of the possible breach and the circumstances and the manner in which the conduct is giving rise to such possible breach, disciplinary action by the Hong Kong Stock Exchange. The Company may also be directed to carry out possible remedial and enhancement actions such as internal control review and directors’ training on regulatory and legal topics including compliance with the Hong Kong Listing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Applications for Waivers in Connection with the Primary Conversion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Primary Conversion, the Company has sought, and the Hong Kong Stock Exchange has granted, the following waivers from strict compliance with the relevant provisions of the Hong Kong Listing Rules: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46"/>
        <w:gridCol w:w="121"/>
        <w:gridCol w:w="4938"/>
      </w:tblGrid>
      <w:tr>
        <w:trPr/>
        <w:tc>
          <w:tcPr>
            <w:tcW w:w="514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38" w:type="dxa"/>
            <w:tcBorders/>
            <w:vAlign w:val="center"/>
          </w:tcPr>
          <w:p>
            <w:pPr>
              <w:pStyle w:val="TableContents"/>
              <w:bidi w:val="0"/>
              <w:spacing w:before="0" w:after="283"/>
              <w:jc w:val="left"/>
              <w:rPr>
                <w:sz w:val="4"/>
                <w:szCs w:val="4"/>
              </w:rPr>
            </w:pPr>
            <w:r>
              <w:rPr>
                <w:sz w:val="4"/>
                <w:szCs w:val="4"/>
              </w:rPr>
            </w:r>
          </w:p>
        </w:tc>
      </w:tr>
      <w:tr>
        <w:trPr/>
        <w:tc>
          <w:tcPr>
            <w:tcW w:w="514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Rules</w:t>
            </w:r>
          </w:p>
        </w:tc>
        <w:tc>
          <w:tcPr>
            <w:tcW w:w="121" w:type="dxa"/>
            <w:tcBorders/>
            <w:vAlign w:val="bottom"/>
          </w:tcPr>
          <w:p>
            <w:pPr>
              <w:pStyle w:val="TableContents"/>
              <w:bidi w:val="0"/>
              <w:spacing w:before="0" w:after="283"/>
              <w:jc w:val="left"/>
              <w:rPr/>
            </w:pPr>
            <w:r>
              <w:rPr/>
              <w:t>  </w:t>
            </w:r>
          </w:p>
        </w:tc>
        <w:tc>
          <w:tcPr>
            <w:tcW w:w="49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Subject matter</w:t>
            </w:r>
          </w:p>
        </w:tc>
      </w:tr>
      <w:tr>
        <w:trPr/>
        <w:tc>
          <w:tcPr>
            <w:tcW w:w="5146" w:type="dxa"/>
            <w:tcBorders/>
          </w:tcPr>
          <w:p>
            <w:pPr>
              <w:pStyle w:val="TableContents"/>
              <w:bidi w:val="0"/>
              <w:spacing w:before="0" w:after="283"/>
              <w:jc w:val="left"/>
              <w:rPr/>
            </w:pPr>
            <w:r>
              <w:rPr/>
              <w:t>Rules 3.28 and 8.17 of the Hong Kong Listing Rules</w:t>
            </w:r>
          </w:p>
        </w:tc>
        <w:tc>
          <w:tcPr>
            <w:tcW w:w="121" w:type="dxa"/>
            <w:tcBorders/>
            <w:vAlign w:val="bottom"/>
          </w:tcPr>
          <w:p>
            <w:pPr>
              <w:pStyle w:val="TableContents"/>
              <w:bidi w:val="0"/>
              <w:spacing w:before="0" w:after="283"/>
              <w:jc w:val="left"/>
              <w:rPr/>
            </w:pPr>
            <w:r>
              <w:rPr/>
              <w:t>  </w:t>
            </w:r>
          </w:p>
        </w:tc>
        <w:tc>
          <w:tcPr>
            <w:tcW w:w="4938" w:type="dxa"/>
            <w:tcBorders/>
          </w:tcPr>
          <w:p>
            <w:pPr>
              <w:pStyle w:val="TableContents"/>
              <w:bidi w:val="0"/>
              <w:spacing w:before="0" w:after="283"/>
              <w:jc w:val="left"/>
              <w:rPr/>
            </w:pPr>
            <w:r>
              <w:rPr/>
              <w:t>Joint company secretaries</w:t>
            </w:r>
          </w:p>
        </w:tc>
      </w:tr>
      <w:tr>
        <w:trPr>
          <w:trHeight w:val="120" w:hRule="atLeast"/>
        </w:trPr>
        <w:tc>
          <w:tcPr>
            <w:tcW w:w="5146" w:type="dxa"/>
            <w:tcBorders/>
            <w:vAlign w:val="center"/>
          </w:tcPr>
          <w:p>
            <w:pPr>
              <w:pStyle w:val="TableContents"/>
              <w:bidi w:val="0"/>
              <w:spacing w:before="0" w:after="283"/>
              <w:jc w:val="left"/>
              <w:rPr>
                <w:sz w:val="4"/>
                <w:szCs w:val="4"/>
              </w:rPr>
            </w:pPr>
            <w:r>
              <w:rPr>
                <w:sz w:val="4"/>
                <w:szCs w:val="4"/>
              </w:rPr>
            </w:r>
          </w:p>
        </w:tc>
        <w:tc>
          <w:tcPr>
            <w:tcW w:w="5059" w:type="dxa"/>
            <w:gridSpan w:val="2"/>
            <w:tcBorders/>
            <w:vAlign w:val="center"/>
          </w:tcPr>
          <w:p>
            <w:pPr>
              <w:pStyle w:val="TableContents"/>
              <w:bidi w:val="0"/>
              <w:spacing w:before="0" w:after="283"/>
              <w:jc w:val="left"/>
              <w:rPr>
                <w:sz w:val="4"/>
                <w:szCs w:val="4"/>
              </w:rPr>
            </w:pPr>
            <w:r>
              <w:rPr>
                <w:sz w:val="4"/>
                <w:szCs w:val="4"/>
              </w:rPr>
            </w:r>
          </w:p>
        </w:tc>
      </w:tr>
      <w:tr>
        <w:trPr/>
        <w:tc>
          <w:tcPr>
            <w:tcW w:w="5146" w:type="dxa"/>
            <w:tcBorders/>
          </w:tcPr>
          <w:p>
            <w:pPr>
              <w:pStyle w:val="TableContents"/>
              <w:bidi w:val="0"/>
              <w:spacing w:before="0" w:after="283"/>
              <w:jc w:val="left"/>
              <w:rPr/>
            </w:pPr>
            <w:r>
              <w:rPr/>
              <w:t>Rule 8A.39 of the Hong Kong Listing Rules</w:t>
            </w:r>
          </w:p>
        </w:tc>
        <w:tc>
          <w:tcPr>
            <w:tcW w:w="121" w:type="dxa"/>
            <w:tcBorders/>
            <w:vAlign w:val="bottom"/>
          </w:tcPr>
          <w:p>
            <w:pPr>
              <w:pStyle w:val="TableContents"/>
              <w:bidi w:val="0"/>
              <w:spacing w:before="0" w:after="283"/>
              <w:jc w:val="left"/>
              <w:rPr/>
            </w:pPr>
            <w:r>
              <w:rPr/>
              <w:t>  </w:t>
            </w:r>
          </w:p>
        </w:tc>
        <w:tc>
          <w:tcPr>
            <w:tcW w:w="4938" w:type="dxa"/>
            <w:tcBorders/>
          </w:tcPr>
          <w:p>
            <w:pPr>
              <w:pStyle w:val="TableContents"/>
              <w:bidi w:val="0"/>
              <w:spacing w:before="0" w:after="283"/>
              <w:jc w:val="left"/>
              <w:rPr/>
            </w:pPr>
            <w:r>
              <w:rPr/>
              <w:t>Disclosure of ultimate beneficial owner of the Other WVR Beneficiary</w:t>
            </w:r>
          </w:p>
        </w:tc>
      </w:tr>
      <w:tr>
        <w:trPr>
          <w:trHeight w:val="120" w:hRule="atLeast"/>
        </w:trPr>
        <w:tc>
          <w:tcPr>
            <w:tcW w:w="5146" w:type="dxa"/>
            <w:tcBorders/>
            <w:vAlign w:val="center"/>
          </w:tcPr>
          <w:p>
            <w:pPr>
              <w:pStyle w:val="TableContents"/>
              <w:bidi w:val="0"/>
              <w:spacing w:before="0" w:after="283"/>
              <w:jc w:val="left"/>
              <w:rPr>
                <w:sz w:val="4"/>
                <w:szCs w:val="4"/>
              </w:rPr>
            </w:pPr>
            <w:r>
              <w:rPr>
                <w:sz w:val="4"/>
                <w:szCs w:val="4"/>
              </w:rPr>
            </w:r>
          </w:p>
        </w:tc>
        <w:tc>
          <w:tcPr>
            <w:tcW w:w="5059" w:type="dxa"/>
            <w:gridSpan w:val="2"/>
            <w:tcBorders/>
            <w:vAlign w:val="center"/>
          </w:tcPr>
          <w:p>
            <w:pPr>
              <w:pStyle w:val="TableContents"/>
              <w:bidi w:val="0"/>
              <w:spacing w:before="0" w:after="283"/>
              <w:jc w:val="left"/>
              <w:rPr>
                <w:sz w:val="4"/>
                <w:szCs w:val="4"/>
              </w:rPr>
            </w:pPr>
            <w:r>
              <w:rPr>
                <w:sz w:val="4"/>
                <w:szCs w:val="4"/>
              </w:rPr>
            </w:r>
          </w:p>
        </w:tc>
      </w:tr>
      <w:tr>
        <w:trPr/>
        <w:tc>
          <w:tcPr>
            <w:tcW w:w="5146" w:type="dxa"/>
            <w:tcBorders/>
          </w:tcPr>
          <w:p>
            <w:pPr>
              <w:pStyle w:val="TableContents"/>
              <w:bidi w:val="0"/>
              <w:spacing w:before="0" w:after="283"/>
              <w:jc w:val="left"/>
              <w:rPr/>
            </w:pPr>
            <w:r>
              <w:rPr/>
              <w:t>Rules 14A.36, 14A.52 and 14A.53 of the Hong Kong Listing Rules</w:t>
            </w:r>
          </w:p>
        </w:tc>
        <w:tc>
          <w:tcPr>
            <w:tcW w:w="121" w:type="dxa"/>
            <w:tcBorders/>
            <w:vAlign w:val="bottom"/>
          </w:tcPr>
          <w:p>
            <w:pPr>
              <w:pStyle w:val="TableContents"/>
              <w:bidi w:val="0"/>
              <w:spacing w:before="0" w:after="283"/>
              <w:jc w:val="left"/>
              <w:rPr/>
            </w:pPr>
            <w:r>
              <w:rPr/>
              <w:t>  </w:t>
            </w:r>
          </w:p>
        </w:tc>
        <w:tc>
          <w:tcPr>
            <w:tcW w:w="4938" w:type="dxa"/>
            <w:tcBorders/>
          </w:tcPr>
          <w:p>
            <w:pPr>
              <w:pStyle w:val="TableContents"/>
              <w:bidi w:val="0"/>
              <w:spacing w:before="0" w:after="283"/>
              <w:jc w:val="left"/>
              <w:rPr/>
            </w:pPr>
            <w:r>
              <w:rPr/>
              <w:t>Continuing connected transaction requirements applicable to the Contractual Arrangements</w:t>
            </w:r>
          </w:p>
        </w:tc>
      </w:tr>
      <w:tr>
        <w:trPr>
          <w:trHeight w:val="120" w:hRule="atLeast"/>
        </w:trPr>
        <w:tc>
          <w:tcPr>
            <w:tcW w:w="5146" w:type="dxa"/>
            <w:tcBorders/>
            <w:vAlign w:val="center"/>
          </w:tcPr>
          <w:p>
            <w:pPr>
              <w:pStyle w:val="TableContents"/>
              <w:bidi w:val="0"/>
              <w:spacing w:before="0" w:after="283"/>
              <w:jc w:val="left"/>
              <w:rPr>
                <w:sz w:val="4"/>
                <w:szCs w:val="4"/>
              </w:rPr>
            </w:pPr>
            <w:r>
              <w:rPr>
                <w:sz w:val="4"/>
                <w:szCs w:val="4"/>
              </w:rPr>
            </w:r>
          </w:p>
        </w:tc>
        <w:tc>
          <w:tcPr>
            <w:tcW w:w="5059" w:type="dxa"/>
            <w:gridSpan w:val="2"/>
            <w:tcBorders/>
            <w:vAlign w:val="center"/>
          </w:tcPr>
          <w:p>
            <w:pPr>
              <w:pStyle w:val="TableContents"/>
              <w:bidi w:val="0"/>
              <w:spacing w:before="0" w:after="283"/>
              <w:jc w:val="left"/>
              <w:rPr>
                <w:sz w:val="4"/>
                <w:szCs w:val="4"/>
              </w:rPr>
            </w:pPr>
            <w:r>
              <w:rPr>
                <w:sz w:val="4"/>
                <w:szCs w:val="4"/>
              </w:rPr>
            </w:r>
          </w:p>
        </w:tc>
      </w:tr>
      <w:tr>
        <w:trPr/>
        <w:tc>
          <w:tcPr>
            <w:tcW w:w="5146" w:type="dxa"/>
            <w:tcBorders/>
          </w:tcPr>
          <w:p>
            <w:pPr>
              <w:pStyle w:val="TableContents"/>
              <w:bidi w:val="0"/>
              <w:spacing w:before="0" w:after="283"/>
              <w:jc w:val="left"/>
              <w:rPr/>
            </w:pPr>
            <w:r>
              <w:rPr/>
              <w:t>Rule 17.03E of the Hong Kong Listing Rules</w:t>
            </w:r>
          </w:p>
        </w:tc>
        <w:tc>
          <w:tcPr>
            <w:tcW w:w="121" w:type="dxa"/>
            <w:tcBorders/>
            <w:vAlign w:val="bottom"/>
          </w:tcPr>
          <w:p>
            <w:pPr>
              <w:pStyle w:val="TableContents"/>
              <w:bidi w:val="0"/>
              <w:spacing w:before="0" w:after="283"/>
              <w:jc w:val="left"/>
              <w:rPr/>
            </w:pPr>
            <w:r>
              <w:rPr/>
              <w:t>  </w:t>
            </w:r>
          </w:p>
        </w:tc>
        <w:tc>
          <w:tcPr>
            <w:tcW w:w="4938" w:type="dxa"/>
            <w:tcBorders/>
          </w:tcPr>
          <w:p>
            <w:pPr>
              <w:pStyle w:val="TableContents"/>
              <w:bidi w:val="0"/>
              <w:spacing w:before="0" w:after="283"/>
              <w:jc w:val="left"/>
              <w:rPr/>
            </w:pPr>
            <w:r>
              <w:rPr/>
              <w:t>Exercise price of share options to be granted pursuant to the Plan</w:t>
            </w:r>
          </w:p>
        </w:tc>
      </w:tr>
      <w:tr>
        <w:trPr>
          <w:trHeight w:val="120" w:hRule="atLeast"/>
        </w:trPr>
        <w:tc>
          <w:tcPr>
            <w:tcW w:w="5146" w:type="dxa"/>
            <w:tcBorders/>
            <w:vAlign w:val="center"/>
          </w:tcPr>
          <w:p>
            <w:pPr>
              <w:pStyle w:val="TableContents"/>
              <w:bidi w:val="0"/>
              <w:spacing w:before="0" w:after="283"/>
              <w:jc w:val="left"/>
              <w:rPr>
                <w:sz w:val="4"/>
                <w:szCs w:val="4"/>
              </w:rPr>
            </w:pPr>
            <w:r>
              <w:rPr>
                <w:sz w:val="4"/>
                <w:szCs w:val="4"/>
              </w:rPr>
            </w:r>
          </w:p>
        </w:tc>
        <w:tc>
          <w:tcPr>
            <w:tcW w:w="5059" w:type="dxa"/>
            <w:gridSpan w:val="2"/>
            <w:tcBorders/>
            <w:vAlign w:val="center"/>
          </w:tcPr>
          <w:p>
            <w:pPr>
              <w:pStyle w:val="TableContents"/>
              <w:bidi w:val="0"/>
              <w:spacing w:before="0" w:after="283"/>
              <w:jc w:val="left"/>
              <w:rPr>
                <w:sz w:val="4"/>
                <w:szCs w:val="4"/>
              </w:rPr>
            </w:pPr>
            <w:r>
              <w:rPr>
                <w:sz w:val="4"/>
                <w:szCs w:val="4"/>
              </w:rPr>
            </w:r>
          </w:p>
        </w:tc>
      </w:tr>
      <w:tr>
        <w:trPr/>
        <w:tc>
          <w:tcPr>
            <w:tcW w:w="5146" w:type="dxa"/>
            <w:tcBorders/>
          </w:tcPr>
          <w:p>
            <w:pPr>
              <w:pStyle w:val="TableContents"/>
              <w:bidi w:val="0"/>
              <w:spacing w:before="0" w:after="283"/>
              <w:jc w:val="left"/>
              <w:rPr/>
            </w:pPr>
            <w:r>
              <w:rPr/>
              <w:t>Rule 19.25A of, and note 2.1 to paragraph 2 of Appendix D2 to, the Hong Kong Listing Rules</w:t>
            </w:r>
          </w:p>
        </w:tc>
        <w:tc>
          <w:tcPr>
            <w:tcW w:w="121" w:type="dxa"/>
            <w:tcBorders/>
            <w:vAlign w:val="bottom"/>
          </w:tcPr>
          <w:p>
            <w:pPr>
              <w:pStyle w:val="TableContents"/>
              <w:bidi w:val="0"/>
              <w:spacing w:before="0" w:after="283"/>
              <w:jc w:val="left"/>
              <w:rPr/>
            </w:pPr>
            <w:r>
              <w:rPr/>
              <w:t>  </w:t>
            </w:r>
          </w:p>
        </w:tc>
        <w:tc>
          <w:tcPr>
            <w:tcW w:w="4938" w:type="dxa"/>
            <w:tcBorders/>
          </w:tcPr>
          <w:p>
            <w:pPr>
              <w:pStyle w:val="TableContents"/>
              <w:bidi w:val="0"/>
              <w:spacing w:before="0" w:after="283"/>
              <w:jc w:val="left"/>
              <w:rPr/>
            </w:pPr>
            <w:r>
              <w:rPr/>
              <w:t>Use of U.S. GAAP</w:t>
            </w:r>
          </w:p>
        </w:tc>
      </w:tr>
      <w:tr>
        <w:trPr>
          <w:trHeight w:val="120" w:hRule="atLeast"/>
        </w:trPr>
        <w:tc>
          <w:tcPr>
            <w:tcW w:w="5146" w:type="dxa"/>
            <w:tcBorders/>
            <w:vAlign w:val="center"/>
          </w:tcPr>
          <w:p>
            <w:pPr>
              <w:pStyle w:val="TableContents"/>
              <w:bidi w:val="0"/>
              <w:spacing w:before="0" w:after="283"/>
              <w:jc w:val="left"/>
              <w:rPr>
                <w:sz w:val="4"/>
                <w:szCs w:val="4"/>
              </w:rPr>
            </w:pPr>
            <w:r>
              <w:rPr>
                <w:sz w:val="4"/>
                <w:szCs w:val="4"/>
              </w:rPr>
            </w:r>
          </w:p>
        </w:tc>
        <w:tc>
          <w:tcPr>
            <w:tcW w:w="5059" w:type="dxa"/>
            <w:gridSpan w:val="2"/>
            <w:tcBorders/>
            <w:vAlign w:val="center"/>
          </w:tcPr>
          <w:p>
            <w:pPr>
              <w:pStyle w:val="TableContents"/>
              <w:bidi w:val="0"/>
              <w:spacing w:before="0" w:after="283"/>
              <w:jc w:val="left"/>
              <w:rPr>
                <w:sz w:val="4"/>
                <w:szCs w:val="4"/>
              </w:rPr>
            </w:pPr>
            <w:r>
              <w:rPr>
                <w:sz w:val="4"/>
                <w:szCs w:val="4"/>
              </w:rPr>
            </w:r>
          </w:p>
        </w:tc>
      </w:tr>
      <w:tr>
        <w:trPr/>
        <w:tc>
          <w:tcPr>
            <w:tcW w:w="5146" w:type="dxa"/>
            <w:tcBorders/>
          </w:tcPr>
          <w:p>
            <w:pPr>
              <w:pStyle w:val="TableContents"/>
              <w:bidi w:val="0"/>
              <w:spacing w:before="0" w:after="283"/>
              <w:jc w:val="left"/>
              <w:rPr/>
            </w:pPr>
            <w:r>
              <w:rPr/>
              <w:t>Rules A.1, A.3(a) and B.8 of Appendix C3 of the Hong Kong Listing Rules (Model Code)</w:t>
            </w:r>
          </w:p>
        </w:tc>
        <w:tc>
          <w:tcPr>
            <w:tcW w:w="121" w:type="dxa"/>
            <w:tcBorders/>
            <w:vAlign w:val="bottom"/>
          </w:tcPr>
          <w:p>
            <w:pPr>
              <w:pStyle w:val="TableContents"/>
              <w:bidi w:val="0"/>
              <w:spacing w:before="0" w:after="283"/>
              <w:jc w:val="left"/>
              <w:rPr/>
            </w:pPr>
            <w:r>
              <w:rPr/>
              <w:t>  </w:t>
            </w:r>
          </w:p>
        </w:tc>
        <w:tc>
          <w:tcPr>
            <w:tcW w:w="4938" w:type="dxa"/>
            <w:tcBorders/>
          </w:tcPr>
          <w:p>
            <w:pPr>
              <w:pStyle w:val="TableContents"/>
              <w:bidi w:val="0"/>
              <w:spacing w:before="0" w:after="283"/>
              <w:jc w:val="left"/>
              <w:rPr/>
            </w:pPr>
            <w:r>
              <w:rPr/>
              <w:t>Securities transactions by a spouse of a Director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i/>
              </w:rPr>
            </w:pPr>
            <w:r>
              <w:rPr>
                <w:b/>
                <w:i/>
              </w:rPr>
              <w:t>(a)</w:t>
            </w:r>
          </w:p>
        </w:tc>
        <w:tc>
          <w:tcPr>
            <w:tcW w:w="928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Joint Company Secretaries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Requirements under the Hong Kong Listing Rules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Rules 3.28 and 8.17 of the Hong Kong Listing Rules, the company secretary must be an individual who, by virtue of their academic or professional qualifications or relevant experience, is, in the opinion of the Hong Kong Stock Exchange, capable of discharging the functions of company secretary. </w:t>
      </w:r>
    </w:p>
    <w:p>
      <w:pPr>
        <w:pStyle w:val="TextBody"/>
        <w:bidi w:val="0"/>
        <w:spacing w:before="120" w:after="0"/>
        <w:jc w:val="left"/>
        <w:rPr>
          <w:rFonts w:ascii="Times New Roman" w:hAnsi="Times New Roman"/>
          <w:i/>
          <w:sz w:val="20"/>
        </w:rPr>
      </w:pPr>
      <w:r>
        <w:rPr>
          <w:rFonts w:ascii="Times New Roman" w:hAnsi="Times New Roman"/>
          <w:i/>
          <w:sz w:val="20"/>
        </w:rPr>
        <w:t xml:space="preserve">Reasons for applying for the waiver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has appointed, with effect from the Effective Date, Ms. Wong Mei (“</w:t>
            </w:r>
            <w:r>
              <w:rPr>
                <w:rFonts w:ascii="Times New Roman" w:hAnsi="Times New Roman"/>
                <w:b/>
                <w:sz w:val="20"/>
              </w:rPr>
              <w:t>Ms.</w:t>
            </w:r>
            <w:r>
              <w:rPr>
                <w:rFonts w:ascii="Times New Roman" w:hAnsi="Times New Roman"/>
                <w:sz w:val="20"/>
              </w:rPr>
              <w:t> </w:t>
            </w:r>
            <w:r>
              <w:rPr>
                <w:rFonts w:ascii="Times New Roman" w:hAnsi="Times New Roman"/>
                <w:b/>
                <w:sz w:val="20"/>
              </w:rPr>
              <w:t>Wong</w:t>
            </w:r>
            <w:r>
              <w:rPr>
                <w:rFonts w:ascii="Times New Roman" w:hAnsi="Times New Roman"/>
                <w:sz w:val="20"/>
              </w:rPr>
              <w:t>”) of Computershare Hong Kong Investor Services Limited (“</w:t>
            </w:r>
            <w:r>
              <w:rPr>
                <w:rFonts w:ascii="Times New Roman" w:hAnsi="Times New Roman"/>
                <w:b/>
                <w:sz w:val="20"/>
              </w:rPr>
              <w:t>Computershare</w:t>
            </w:r>
            <w:r>
              <w:rPr>
                <w:rFonts w:ascii="Times New Roman" w:hAnsi="Times New Roman"/>
                <w:sz w:val="20"/>
              </w:rPr>
              <w:t>”) and Ms. Lin Juan (“</w:t>
            </w:r>
            <w:r>
              <w:rPr>
                <w:rFonts w:ascii="Times New Roman" w:hAnsi="Times New Roman"/>
                <w:b/>
                <w:sz w:val="20"/>
              </w:rPr>
              <w:t>Ms.</w:t>
            </w:r>
            <w:r>
              <w:rPr>
                <w:rFonts w:ascii="Times New Roman" w:hAnsi="Times New Roman"/>
                <w:sz w:val="20"/>
              </w:rPr>
              <w:t> </w:t>
            </w:r>
            <w:r>
              <w:rPr>
                <w:rFonts w:ascii="Times New Roman" w:hAnsi="Times New Roman"/>
                <w:b/>
                <w:sz w:val="20"/>
              </w:rPr>
              <w:t>Lin</w:t>
            </w:r>
            <w:r>
              <w:rPr>
                <w:rFonts w:ascii="Times New Roman" w:hAnsi="Times New Roman"/>
                <w:sz w:val="20"/>
              </w:rPr>
              <w:t xml:space="preserve">”), Head of Investor Relations and Board Secretary of the Company, as joint company secretaries with effect from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Wong currently serves as Assistant Manager of Entity Solutions at Computershare. Ms. Wong has over 8 years of work experience in the field of corporate secretarial and regulatory compliance services. Before joining Computershare, Ms. Wong worked at various professional services firms, where she provided company secretarial services to clients worldwide, including companies listed in Hong Kong. She has extensive experience in listed company compliance, board and committee support, as well as a wide range of regulatory and corporate governance matters. Ms. Wong obtained a Bachelor of Arts (Honours) degree in marketing management from Edinburgh Napier University, the United Kingdom and a Master of Science degree in Corporate Governance and Compliance from Hong Kong Baptist University. She is an associate member of both The Hong Kong Chartered Governance Institute and The Chartered Governance Institute in the United Kingdom. As at the date of this announcement, Ms. Wong does not have any named company secretary appointments for listed issuers.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20"/>
        <w:gridCol w:w="202"/>
        <w:gridCol w:w="102"/>
        <w:gridCol w:w="8881"/>
      </w:tblGrid>
      <w:tr>
        <w:trPr/>
        <w:tc>
          <w:tcPr>
            <w:tcW w:w="1020"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Ms. Lin has over 20 years of experience in corporate governance, listed company matters, capital markets and equity research covering the technology, media and telecommunications (“</w:t>
            </w:r>
            <w:r>
              <w:rPr>
                <w:rFonts w:ascii="Times New Roman" w:hAnsi="Times New Roman"/>
                <w:b/>
                <w:sz w:val="20"/>
              </w:rPr>
              <w:t>TMT</w:t>
            </w:r>
            <w:r>
              <w:rPr>
                <w:rFonts w:ascii="Times New Roman" w:hAnsi="Times New Roman"/>
                <w:sz w:val="20"/>
              </w:rPr>
              <w:t xml:space="preserve">”) sector. Ms. Lin joined the Company in September 2019. She has been closely involved in matters relating to the Board and its committees, regulatory compliance and capital markets projects. Through these roles, she has developed an in-depth understanding of the Company’s business operations, management systems and corporate governance framework. She has also led the Company’s engagement with investors and other capital markets participants and has extensive experience in listed company compliance and capital markets communications. Prior to joining the Company, Ms. Lin worked at 86Research from 2014, where she served as Vice President and Head of China, as well as a Senior Equity Research Analyst focusing on China’s TMT sector. Before joining 86Research, she worked at Monitor Group (now Monitor Deloitte). Ms. Lin received a Master of Engineering degree in Electrical and Electronic Engineering from Imperial College London.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principal business activities are outside Hong Kong. There are practical difficulties finding persons who possess Ms. Lin’s day-to-day knowledge of the Company’s affairs while also having the academic and professional qualifications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believes that Ms. Lin, by virtue of her knowledge and past experience in handling corporate administrative matters of the Company, is capable of discharging the functions of a joint company secretary. Further, the Company believes that it would be in the best interests of the Company and the corporate governance of the Group to have as its joint company secretary a person such as Ms. Lin, who is an employee of the Company and who has day-to-day knowledge of the Company’s affairs. Ms. Lin has the necessary nexus to the Board and close working relationship with management of the Company in order to perform the function of a joint company secretary and to take the necessary actions in the most effective and efficient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Ms. Wong will work closely with and provide assistance to Ms. Lin in the discharge of their duties as joint company secretaries.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Waiver application </w:t>
      </w:r>
    </w:p>
    <w:p>
      <w:pPr>
        <w:pStyle w:val="TextBody"/>
        <w:bidi w:val="0"/>
        <w:spacing w:before="120" w:after="0"/>
        <w:jc w:val="left"/>
        <w:rPr>
          <w:rFonts w:ascii="Times New Roman" w:hAnsi="Times New Roman"/>
          <w:sz w:val="20"/>
        </w:rPr>
      </w:pPr>
      <w:r>
        <w:rPr>
          <w:rFonts w:ascii="Times New Roman" w:hAnsi="Times New Roman"/>
          <w:sz w:val="20"/>
        </w:rPr>
        <w:t xml:space="preserve">Accordingly, the Company has applied for, and the Hong Kong Stock Exchange has granted, a waiver from strict compliance with Rules 3.28 and 8.17 of the Hong Kong Listing Rules for a three-year period from the Effective Date, in respect of the appointment of Ms. Lin as a joint company secretary of the Company, subject to the conditions that (i) Ms. Lin must be assisted by Ms. Wong (being a person who possesses the qualifications or experience as required under Rule 3.28 of the Hong Kong Listing Rules and is appointed as a joint company secretary) throughout the three-year period, and (ii) the waiver can be revoked if there are material breaches of the Hong Kong Listing Rules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i/>
              </w:rPr>
            </w:pPr>
            <w:r>
              <w:rPr>
                <w:b/>
                <w:i/>
              </w:rPr>
              <w:t>(b)</w:t>
            </w:r>
          </w:p>
        </w:tc>
        <w:tc>
          <w:tcPr>
            <w:tcW w:w="928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Disclosure of Ultimate Beneficial Owner(s) of the Other WVR Beneficiary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Requirements under the Hong Kong Listing Rules </w:t>
      </w:r>
    </w:p>
    <w:p>
      <w:pPr>
        <w:pStyle w:val="TextBody"/>
        <w:bidi w:val="0"/>
        <w:spacing w:before="120" w:after="0"/>
        <w:jc w:val="left"/>
        <w:rPr>
          <w:rFonts w:ascii="Times New Roman" w:hAnsi="Times New Roman"/>
          <w:sz w:val="20"/>
        </w:rPr>
      </w:pPr>
      <w:r>
        <w:rPr>
          <w:rFonts w:ascii="Times New Roman" w:hAnsi="Times New Roman"/>
          <w:sz w:val="20"/>
        </w:rPr>
        <w:t>Rule 8A.39 of the Hong Kong Listing Rules provides that an issuer with a weighted voting rights (“</w:t>
      </w:r>
      <w:r>
        <w:rPr>
          <w:rFonts w:ascii="Times New Roman" w:hAnsi="Times New Roman"/>
          <w:b/>
          <w:sz w:val="20"/>
        </w:rPr>
        <w:t>WVR</w:t>
      </w:r>
      <w:r>
        <w:rPr>
          <w:rFonts w:ascii="Times New Roman" w:hAnsi="Times New Roman"/>
          <w:sz w:val="20"/>
        </w:rPr>
        <w:t xml:space="preserve">”) structure must identify the beneficiaries of weighted voting rights in its interim and annual reports. </w:t>
      </w:r>
    </w:p>
    <w:p>
      <w:pPr>
        <w:pStyle w:val="TextBody"/>
        <w:bidi w:val="0"/>
        <w:spacing w:before="120" w:after="0"/>
        <w:jc w:val="left"/>
        <w:rPr>
          <w:rFonts w:ascii="Times New Roman" w:hAnsi="Times New Roman"/>
          <w:i/>
          <w:sz w:val="20"/>
        </w:rPr>
      </w:pPr>
      <w:r>
        <w:rPr>
          <w:rFonts w:ascii="Times New Roman" w:hAnsi="Times New Roman"/>
          <w:i/>
          <w:sz w:val="20"/>
        </w:rPr>
        <w:t xml:space="preserve">Reasons for applying for the waiver </w:t>
      </w:r>
    </w:p>
    <w:p>
      <w:pPr>
        <w:pStyle w:val="TextBody"/>
        <w:bidi w:val="0"/>
        <w:spacing w:before="120" w:after="0"/>
        <w:jc w:val="left"/>
        <w:rPr>
          <w:rFonts w:ascii="Times New Roman" w:hAnsi="Times New Roman"/>
          <w:sz w:val="20"/>
        </w:rPr>
      </w:pPr>
      <w:r>
        <w:rPr>
          <w:rFonts w:ascii="Times New Roman" w:hAnsi="Times New Roman"/>
          <w:sz w:val="20"/>
        </w:rPr>
        <w:t>As disclosed in the Form 20-F of the Company for the fiscal year ended December 31, 2025 filed with the Securities and Exchange Commission of the United States of America (the “</w:t>
      </w:r>
      <w:r>
        <w:rPr>
          <w:rFonts w:ascii="Times New Roman" w:hAnsi="Times New Roman"/>
          <w:b/>
          <w:sz w:val="20"/>
        </w:rPr>
        <w:t>SEC</w:t>
      </w:r>
      <w:r>
        <w:rPr>
          <w:rFonts w:ascii="Times New Roman" w:hAnsi="Times New Roman"/>
          <w:sz w:val="20"/>
        </w:rPr>
        <w:t>”) on March 17, 2026, the WVR beneficiaries of the Company include Mr. Robin Yanhong Li, the chairman and chief executive officer of the Company, Ms. Melissa Ma (“</w:t>
      </w:r>
      <w:r>
        <w:rPr>
          <w:rFonts w:ascii="Times New Roman" w:hAnsi="Times New Roman"/>
          <w:b/>
          <w:sz w:val="20"/>
        </w:rPr>
        <w:t>Ms.</w:t>
      </w:r>
      <w:r>
        <w:rPr>
          <w:rFonts w:ascii="Times New Roman" w:hAnsi="Times New Roman"/>
          <w:sz w:val="20"/>
        </w:rPr>
        <w:t> </w:t>
      </w:r>
      <w:r>
        <w:rPr>
          <w:rFonts w:ascii="Times New Roman" w:hAnsi="Times New Roman"/>
          <w:b/>
          <w:sz w:val="20"/>
        </w:rPr>
        <w:t>Ma</w:t>
      </w:r>
      <w:r>
        <w:rPr>
          <w:rFonts w:ascii="Times New Roman" w:hAnsi="Times New Roman"/>
          <w:sz w:val="20"/>
        </w:rPr>
        <w:t>”), the spouse of Mr. Li, and the Other WVR Beneficiary, which is affiliated with an early stage investor that invested in our Company before its U.S. IPO in 2005. To the knowledge of the Company, the Other WVR Beneficiary held 100,320 Class B ordinary shares of the Company and was not a record shareholder of any Class A ordinary shares of the Company (the “</w:t>
      </w:r>
      <w:r>
        <w:rPr>
          <w:rFonts w:ascii="Times New Roman" w:hAnsi="Times New Roman"/>
          <w:b/>
          <w:sz w:val="20"/>
        </w:rPr>
        <w:t>Class</w:t>
      </w:r>
      <w:r>
        <w:rPr>
          <w:rFonts w:ascii="Times New Roman" w:hAnsi="Times New Roman"/>
          <w:sz w:val="20"/>
        </w:rPr>
        <w:t> </w:t>
      </w:r>
      <w:r>
        <w:rPr>
          <w:rFonts w:ascii="Times New Roman" w:hAnsi="Times New Roman"/>
          <w:b/>
          <w:sz w:val="20"/>
        </w:rPr>
        <w:t>A Ordinary Shares</w:t>
      </w:r>
      <w:r>
        <w:rPr>
          <w:rFonts w:ascii="Times New Roman" w:hAnsi="Times New Roman"/>
          <w:sz w:val="20"/>
        </w:rPr>
        <w:t xml:space="preserve">”) as at January 31, 2026. </w:t>
      </w:r>
    </w:p>
    <w:p>
      <w:pPr>
        <w:pStyle w:val="TextBody"/>
        <w:bidi w:val="0"/>
        <w:spacing w:before="120" w:after="0"/>
        <w:jc w:val="left"/>
        <w:rPr>
          <w:rFonts w:ascii="Times New Roman" w:hAnsi="Times New Roman"/>
          <w:sz w:val="20"/>
        </w:rPr>
      </w:pPr>
      <w:r>
        <w:rPr>
          <w:rFonts w:ascii="Times New Roman" w:hAnsi="Times New Roman"/>
          <w:sz w:val="20"/>
        </w:rPr>
        <w:t xml:space="preserve">To the best knowledge of the Company, the Other WVR Beneficiary and its ultimate beneficial owner(s) are independent third parties of our Company and are not core connected persons of our Company, and the ultimate beneficial owner(s) of the Other WVR Beneficiary do not have a role in our business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applied for, and the Hong Kong Stock Exchange has granted, the continuation of waiver from strict compliance with the requirements in Rule 8A.39 of the Hong Kong Listing Rules in relation to disclosure of the ultimate beneficial owner(s) of the Other WVR Beneficiary in its future interim and annual reports on the following grounds: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controlled by the Other WVR Beneficiary are immaterial.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at the date of this announcement, the Other WVR Beneficiary controls less than 0.1% of our voting rights. We undertake that we will not issue additional Class B ordinary shares to the Other WVR Beneficiary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consent to disclosure has been obtained.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at the date of this announcement, no consent for disclosure of ultimate beneficial ownership has been received from the Other WVR Beneficiary.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 of breach of the Data Protection Act (As Revised) of the Cayman Islands.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disclosed in the Prospectus, our adviser as to Cayman Islands law has advised us that there is a risk that disclosure of the ultimate beneficial owner(s) of the Other WVR Beneficiary without its consent would be in breach of the Data Protection Act (As Revised) of the Cayman Islands, the breach of which may lead to remedial action by the relevant Cayman Islands regulator (the Ombudsman), the imposition of penalties, and criminal sanctions.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WVR Beneficiary is affiliated with an early stage investor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early stage investor invested in our Company before its initial public offering and listing on Nasdaq in 2005, which dates back to more than two decades ago.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specific disclosure of ultimate beneficial owner(s) in U.S. filings and the 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had a long history of listing on Nasdaq, and we have consistently disclosed details of our principal shareholders (being holders known to us to own beneficially more than 5% of our total outstanding shares determined in accordance with the rules and regulations of the SEC) pursuant to applicable U.S. securities laws. Our annual reports on Form 20-F filed after our initial public offering and listing on Nasdaq in 2005 and the Prospectus did not disclose the ultimate beneficial owner(s) of the Other WVR Beneficiary.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Interests of investing public not prejudiced.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exclusion of the ultimate beneficial owner(s) of the Other WVR Beneficiary from the Company’s future interim and annual reports, especially given its immaterial shareholding, would not prejudice the interests of the investing public. The Company expects to include in its future interim and annual reports alternative disclosure relating to the Other WVR Beneficiary, including its name, its shareholding, that it is affiliated with an early stage investor of the Company that invested in the Company before its U.S. IPO in 2005, and that its ultimate beneficial owner(s) are independent third parties of and not core connected persons of the Company and the ultimate beneficial owner(s) of the Other WVR Beneficiary do not have a role in the Company’s business and operations to the best knowledge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i/>
              </w:rPr>
            </w:pPr>
            <w:r>
              <w:rPr>
                <w:b/>
                <w:i/>
              </w:rPr>
              <w:t>(c)</w:t>
            </w:r>
          </w:p>
        </w:tc>
        <w:tc>
          <w:tcPr>
            <w:tcW w:w="928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Continuing Connected Transaction Requirements Applicable to the Contractual Arrangements </w:t>
            </w:r>
          </w:p>
        </w:tc>
      </w:tr>
    </w:tbl>
    <w:p>
      <w:pPr>
        <w:pStyle w:val="TextBody"/>
        <w:bidi w:val="0"/>
        <w:spacing w:before="120" w:after="0"/>
        <w:jc w:val="left"/>
        <w:rPr>
          <w:rFonts w:ascii="Times New Roman" w:hAnsi="Times New Roman"/>
          <w:sz w:val="20"/>
        </w:rPr>
      </w:pPr>
      <w:r>
        <w:rPr>
          <w:rFonts w:ascii="Times New Roman" w:hAnsi="Times New Roman"/>
          <w:sz w:val="20"/>
        </w:rPr>
        <w:t>Due to the PRC legal restrictions on foreign investment in, among other areas, internet content services, value-added telecommunication-based services, internet map services, online audio and video services and mobile application distribution businesses (the “</w:t>
      </w:r>
      <w:r>
        <w:rPr>
          <w:rFonts w:ascii="Times New Roman" w:hAnsi="Times New Roman"/>
          <w:b/>
          <w:sz w:val="20"/>
        </w:rPr>
        <w:t>Relevant Business</w:t>
      </w:r>
      <w:r>
        <w:rPr>
          <w:rFonts w:ascii="Times New Roman" w:hAnsi="Times New Roman"/>
          <w:sz w:val="20"/>
        </w:rPr>
        <w:t>”), the Company conducts the Relevant Business in Chinese mainland through its consolidated affiliated entities (all the consolidated affiliated entities of the Company, the “</w:t>
      </w:r>
      <w:r>
        <w:rPr>
          <w:rFonts w:ascii="Times New Roman" w:hAnsi="Times New Roman"/>
          <w:b/>
          <w:sz w:val="20"/>
        </w:rPr>
        <w:t>Consolidated Affiliated Entities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Company has entered into a series of contractual arrangements with the Consolidated Affiliated Entities and the nominee shareholders of the Consolidated Affiliated Entities (all the contractual arrangements entered into by the Company, the “</w:t>
      </w:r>
      <w:r>
        <w:rPr>
          <w:rFonts w:ascii="Times New Roman" w:hAnsi="Times New Roman"/>
          <w:b/>
          <w:sz w:val="20"/>
        </w:rPr>
        <w:t>Contractual Arrangements</w:t>
      </w:r>
      <w:r>
        <w:rPr>
          <w:rFonts w:ascii="Times New Roman" w:hAnsi="Times New Roman"/>
          <w:sz w:val="20"/>
        </w:rPr>
        <w:t xml:space="preserve">”). The following chart illustrates the Company’s simplified organizational structure, including its principal subsidiaries and consolidated affiliated entities as of the date of this announcement: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03930" cy="29641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503930" cy="296418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Beijing Baidu Netcom Science Technology Co., Ltd. (“</w:t>
            </w:r>
            <w:r>
              <w:rPr>
                <w:rFonts w:ascii="Times New Roman" w:hAnsi="Times New Roman"/>
                <w:b/>
                <w:sz w:val="20"/>
              </w:rPr>
              <w:t>Baidu Netcom</w:t>
            </w:r>
            <w:r>
              <w:rPr>
                <w:rFonts w:ascii="Times New Roman" w:hAnsi="Times New Roman"/>
                <w:sz w:val="20"/>
              </w:rPr>
              <w:t xml:space="preserve">”) is 99.5% owned by Mr. Robin Yanhong Li, our chairman and chief executive officer, and 0.5% owned by Ms. Shanshan Cui, one of our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Beijing Perusal Technology Co., Ltd. (“</w:t>
            </w:r>
            <w:r>
              <w:rPr>
                <w:rFonts w:ascii="Times New Roman" w:hAnsi="Times New Roman"/>
                <w:b/>
                <w:sz w:val="20"/>
              </w:rPr>
              <w:t>Beijing Perusal</w:t>
            </w:r>
            <w:r>
              <w:rPr>
                <w:rFonts w:ascii="Times New Roman" w:hAnsi="Times New Roman"/>
                <w:sz w:val="20"/>
              </w:rPr>
              <w:t xml:space="preserve">”) is 50% owned by Ms. Shanshan Cui and 50% owned by Mr. Zhixiang Liang. Ms. Shanshan Cui is our subsidiaries’ director, supervisor, manager and our employee. Mr. Zhixiang Liang is our subsidiaries’ director, supervisor, manager, legal representative and our employee. Their respective beneficial ownership in our Company is less than 1% of our total issued and outstanding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Mr. Xiaohua Geng, a senior vice president of our subsidiary, holds 99% of the equity interests in Beijing iQIYI Science &amp; Technology Co., Ltd. (“</w:t>
            </w:r>
            <w:r>
              <w:rPr>
                <w:rFonts w:ascii="Times New Roman" w:hAnsi="Times New Roman"/>
                <w:b/>
                <w:sz w:val="20"/>
              </w:rPr>
              <w:t>Beijing iQIYI</w:t>
            </w:r>
            <w:r>
              <w:rPr>
                <w:rFonts w:ascii="Times New Roman" w:hAnsi="Times New Roman"/>
                <w:sz w:val="20"/>
              </w:rPr>
              <w:t xml:space="preserve">”) and Yangshipin Integrated Media Development Co., Ltd., a third-party minority shareholder, holds 1% of the equity interests in Beijing iQIYI.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Baidu Holdings Limited indirectly controls Beijing Duyou Information Technology Co., Ltd through its wholly owned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a summary of the material terms of the Contractual Arrangements relating to Baidu Netcom, Beijing Perusal and Beijing iQIYI, please refer to the section headed “Contractual Arrangements with the Variable Interest Entities and Other Consolidated Affiliated Entities and their Shareholders” in our annual report. The Company also entered into similar Contractual Arrangements with several other Consolidated Affiliated Entities and their respective nominee shareholders, including iQIYI’s other Consolidated Affiliated Entities and their respective registered shareholders, through some of the Company’s subsidiaries other than Baidu Online Network Technology (Beijing) Co., Ltd. and Beijing QIYI Century Science &amp; Technology Co., Ltd, which result in the Company/ iQIYI or relevant subsidiaries, as the case may be, being the primary beneficiaries of the relevant Consolidated Affiliated Entities. As a result of these Contractual Arrangements, the Company consolidates these other Consolidated Affiliated Entities through the subsidiaries of the Company. In addition, the Company has entered into similar Contractual Arrangements with Consolidated Affiliated Entities and their shareholders in certain other jurisdictions. </w:t>
      </w:r>
    </w:p>
    <w:p>
      <w:pPr>
        <w:pStyle w:val="TextBody"/>
        <w:bidi w:val="0"/>
        <w:spacing w:before="120" w:after="0"/>
        <w:jc w:val="left"/>
        <w:rPr>
          <w:rFonts w:ascii="Times New Roman" w:hAnsi="Times New Roman"/>
          <w:i/>
          <w:sz w:val="20"/>
        </w:rPr>
      </w:pPr>
      <w:r>
        <w:rPr>
          <w:rFonts w:ascii="Times New Roman" w:hAnsi="Times New Roman"/>
          <w:i/>
          <w:sz w:val="20"/>
        </w:rPr>
        <w:t xml:space="preserve">Reasons for applying for the waiver </w:t>
      </w:r>
    </w:p>
    <w:p>
      <w:pPr>
        <w:pStyle w:val="TextBody"/>
        <w:bidi w:val="0"/>
        <w:spacing w:before="120" w:after="0"/>
        <w:jc w:val="left"/>
        <w:rPr>
          <w:rFonts w:ascii="Times New Roman" w:hAnsi="Times New Roman"/>
          <w:sz w:val="20"/>
        </w:rPr>
      </w:pPr>
      <w:r>
        <w:rPr>
          <w:rFonts w:ascii="Times New Roman" w:hAnsi="Times New Roman"/>
          <w:sz w:val="20"/>
        </w:rPr>
        <w:t xml:space="preserve">The Contractual Arrangements were entered into/contemplated to be entered into before the Company became secondary listed on the Hong Kong Stock Exchange based on business development needs. Through the Contractual Arrangements, the Company would gain effective control over, and have the right to receive the economic benefits generated by the Consolidated Affiliated Entities. Accordingly, the Contractual Arrangements have been designed to ensure that there will be no fixed period of the contractual arrangements, and no limit on the amount of fees payable to the Group under the contractual arrangements. Therefore, there will be no fixed period or monetary cap on any agreements under the Contractual Arrangements. </w:t>
      </w:r>
    </w:p>
    <w:p>
      <w:pPr>
        <w:pStyle w:val="TextBody"/>
        <w:bidi w:val="0"/>
        <w:spacing w:before="120" w:after="0"/>
        <w:jc w:val="left"/>
        <w:rPr>
          <w:rFonts w:ascii="Times New Roman" w:hAnsi="Times New Roman"/>
          <w:sz w:val="20"/>
        </w:rPr>
      </w:pPr>
      <w:r>
        <w:rPr>
          <w:rFonts w:ascii="Times New Roman" w:hAnsi="Times New Roman"/>
          <w:sz w:val="20"/>
        </w:rPr>
        <w:t>The Board is of the view that the Contractual Arrangements and the transactions contemplated therein are fundamental to the Group’s legal structure and business operations. Under this structure, the financial results of the Consolidated Affiliated Entities will be consolidated into the Company’s financial statements as if they were the Company’s subsidiaries, and the economic benefits of their business flows to the Group, therefore the Company believes that it will not be in the interest of the Company and its Shareholders to set any annual cap on the amount of fees payable to the Group under the Contractual Arrangements. Accordingly, notwithstanding that the transactions contemplated under the Contractual Arrangements and any new transactions, contracts and agreements or renewal of existing transactions, contracts and agreements to be entered into, among others, by any of the Consolidated Affiliated Entities and any member of the Group from time to time (including the Consolidated Affiliated Entities) (the “</w:t>
      </w:r>
      <w:r>
        <w:rPr>
          <w:rFonts w:ascii="Times New Roman" w:hAnsi="Times New Roman"/>
          <w:b/>
          <w:sz w:val="20"/>
        </w:rPr>
        <w:t>New Intergroup Agreements</w:t>
      </w:r>
      <w:r>
        <w:rPr>
          <w:rFonts w:ascii="Times New Roman" w:hAnsi="Times New Roman"/>
          <w:sz w:val="20"/>
        </w:rPr>
        <w:t xml:space="preserve">”) technically constitute continuing connected transactions under Chapter 14A of the Hong Kong Listing Rules upon the Effective Date, it would be unduly burdensome and impracticable to the Company if such transactions are subject to strict compliance with the requirements set out under Chapter 14A of the Hong Kong Listing Rules, including, among others, the independent Shareholders’ approval requirement under Rule 14A.36 of the Hong Kong Listing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Contractual Arrangements have been and will be entered into in the ordinary and usual course of business of the Group on normal commercial terms, on terms that are fair and reasonable, and in the interests of the Company and its Shareholders as a whole. It is normal business practice for the Contractual Arrangements to be of a term greater than three years. Gram Capital Limited has been appointed as the independent financial adviser to advise the Company. </w:t>
      </w:r>
    </w:p>
    <w:p>
      <w:pPr>
        <w:pStyle w:val="TextBody"/>
        <w:bidi w:val="0"/>
        <w:spacing w:before="120" w:after="0"/>
        <w:jc w:val="left"/>
        <w:rPr>
          <w:rFonts w:ascii="Times New Roman" w:hAnsi="Times New Roman"/>
          <w:sz w:val="20"/>
        </w:rPr>
      </w:pPr>
      <w:r>
        <w:rPr>
          <w:rFonts w:ascii="Times New Roman" w:hAnsi="Times New Roman"/>
          <w:sz w:val="20"/>
        </w:rPr>
        <w:t xml:space="preserve">Gram Capital Limited is also of the view that in relation to the Contractual Arrangements, it is normal business practice for agreements of this type to be of a duration exceeding three years based on all the matters set out above, including in particular: (a) the necessity of the Contractual Arrangements for the Group; (b) the fact that as the contractual arrangement structure thereunder is a long-term arrangement, it would be unduly burdensome and impracticable, and would add unnecessary administration costs, for the Company to renew the Contractual Arrangements at least every three years; and (c) the fact that the duration of similar arrangements of other issuers on the Hong Kong Stock Exchange identified and reviewed by Gram Capital Limited are indefinite until termination or indefinite in practice. </w:t>
      </w:r>
    </w:p>
    <w:p>
      <w:pPr>
        <w:pStyle w:val="TextBody"/>
        <w:bidi w:val="0"/>
        <w:spacing w:before="120" w:after="0"/>
        <w:jc w:val="left"/>
        <w:rPr>
          <w:rFonts w:ascii="Times New Roman" w:hAnsi="Times New Roman"/>
          <w:sz w:val="20"/>
        </w:rPr>
      </w:pPr>
      <w:r>
        <w:rPr>
          <w:rFonts w:ascii="Times New Roman" w:hAnsi="Times New Roman"/>
          <w:sz w:val="20"/>
        </w:rPr>
        <w:t xml:space="preserve">Furthermore, Gram Capital Limited is of the view that the Contractual Arrangements are conducted in the ordinary and usual course of business, on terms that are normal commercial terms and are fair and reasonable, and in the interest of the Company and its Shareholders as a whole. </w:t>
      </w:r>
    </w:p>
    <w:p>
      <w:pPr>
        <w:pStyle w:val="TextBody"/>
        <w:bidi w:val="0"/>
        <w:spacing w:before="120" w:after="0"/>
        <w:jc w:val="left"/>
        <w:rPr>
          <w:rFonts w:ascii="Times New Roman" w:hAnsi="Times New Roman"/>
          <w:i/>
          <w:sz w:val="20"/>
        </w:rPr>
      </w:pPr>
      <w:r>
        <w:rPr>
          <w:rFonts w:ascii="Times New Roman" w:hAnsi="Times New Roman"/>
          <w:i/>
          <w:sz w:val="20"/>
        </w:rPr>
        <w:t xml:space="preserve">Hong Kong Listing Rules implications and waiver application </w:t>
      </w:r>
    </w:p>
    <w:p>
      <w:pPr>
        <w:pStyle w:val="TextBody"/>
        <w:bidi w:val="0"/>
        <w:spacing w:before="120" w:after="0"/>
        <w:jc w:val="left"/>
        <w:rPr>
          <w:rFonts w:ascii="Times New Roman" w:hAnsi="Times New Roman"/>
          <w:sz w:val="20"/>
        </w:rPr>
      </w:pPr>
      <w:r>
        <w:rPr>
          <w:rFonts w:ascii="Times New Roman" w:hAnsi="Times New Roman"/>
          <w:sz w:val="20"/>
        </w:rPr>
        <w:t xml:space="preserve">The highest applicable percentage ratios under the Hong Kong Listing Rules in respect of the transactions associated with the Contractual Arrangements are expected to be more than 5%. As such, these transactions will be subject to the reporting, annual review, announcement, circular, independent financial advice and shareholders’ approval requirements under Chapter 14A of the Hong Kong Listing Rules. </w:t>
      </w:r>
    </w:p>
    <w:p>
      <w:pPr>
        <w:pStyle w:val="TextBody"/>
        <w:bidi w:val="0"/>
        <w:spacing w:before="120" w:after="0"/>
        <w:jc w:val="left"/>
        <w:rPr>
          <w:rFonts w:ascii="Times New Roman" w:hAnsi="Times New Roman"/>
          <w:sz w:val="20"/>
        </w:rPr>
      </w:pPr>
      <w:r>
        <w:rPr>
          <w:rFonts w:ascii="Times New Roman" w:hAnsi="Times New Roman"/>
          <w:sz w:val="20"/>
        </w:rPr>
        <w:t>In respect of the Contractual Arrangements and the New Intergroup Agreements, the Company has applied for, and the Hong Kong Stock Exchange has granted, a waiver from strict compliance with (i) the circular and independent Shareholders’ approval requirements under Chapter 14A of the Hong Kong Listing Rules in respect of the transactions contemplated under the Contractual Arrangements, (ii) the requirement of setting an annual cap for the transactions under the Contractual Arrangements under Rule 14A.53 of the Hong Kong Listing Rules, and (iii) the requirement to set a fixed period of the Contractual Arrangements under Rule 14A.52 of the Hong Kong Listing Rules (collectively, the “</w:t>
      </w:r>
      <w:r>
        <w:rPr>
          <w:rFonts w:ascii="Times New Roman" w:hAnsi="Times New Roman"/>
          <w:b/>
          <w:sz w:val="20"/>
        </w:rPr>
        <w:t>Applicable Requirements</w:t>
      </w:r>
      <w:r>
        <w:rPr>
          <w:rFonts w:ascii="Times New Roman" w:hAnsi="Times New Roman"/>
          <w:sz w:val="20"/>
        </w:rPr>
        <w:t xml:space="preserve">”), for so long as the Shares of the Company are listed on the Hong Kong Stock Exchange, subject, however, to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change without independent non-executive Directors’ and independent Shareholders’ approval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change to the Contractual Arrangements will be made without the approval of the independent non-executive Directors and the independent Shareholders’ approval, save as described in the paragraph headed “Renewal and reproduction” below. Once independent Shareholders’ approval of any change has been obtained, no further announcement or approval of the independent Shareholders will be required under Chapter 14A of the Hong Kong Listing Rules unless and until further changes are proposed. The periodic reporting requirement regarding the Contractual Arrangements in the annual reports of the Company (as set out in the paragraph headed “Ongoing reporting and approvals” below) will, however, continue to be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benefits flexibility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Contractual Arrangements shall continue to enable the Group to receive substantially the economic benefits derived by the Consolidated Affiliated Entities through (i) the Group’s option to acquire, all or part of the entire equity interests in the Consolidated Affiliated Entities, and the purchase price shall be the cost of the initial contributions to the registered capital or, if the applicable PRC laws require appraisal of the purchased equity interest or other restrictions on the purchase price at the time that the option is exercised, the minimum amount of consideration permitted by applicable laws, (ii) the business structure under which the profit generated by the Consolidated Affiliated Entities is substantially retained by the Group, and (iii) the Group’s right to control the management and operation of, as well as, in substance, all of the voting rights of the shares of the Consolidated Affiliated Entities held by the nominee shareholders.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Renewal and reproduction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the basis that the Contractual Arrangements provide an acceptable framework for the relationship between the Company and its subsidiaries in which the Company has direct shareholding, on the one hand, and the Consolidated Affiliated Entities, on the other hand, that framework may be renewed and/or reproduced without being in strict compliance with the Applicable Requirements (i) upon the expiry of the existing arrangements, (ii) in connection with any changes to the shareholders or directors of, or of their shareholdings in, the Consolidated Affiliated Entities, or (iii) in relation to any existing or newly established or acquired wholly foreign-owned enterprise (or foreign-controlled joint venture) or operating company (including branch company) engaging in a business similar or relating to those of the Group which the Group might wish to establish when justified by business expediency, on substantially the same terms and conditions as the existing Contractual Arrangements. The directors, chief executive or substantial shareholders of any existing or newly established or acquired wholly foreign-owned enterprise (or foreign-controlled joint venture) or operating company (including branch company) engaging in a business similar or relating to those of the Group which the Group may establish will, upon renewal and/or reproduction of the Contractual Arrangements, however, be treated as connected persons of the Company and transactions between these connected persons and the Group other than those under similar Contractual Arrangements shall comply with Chapter 14A of the Hong Kong Listing Rules. This condition is subject to relevant PRC laws, regulations and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Ongoing reporting and approvals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disclose details relating to the Contractual Arrangements on an on-going basis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406"/>
        <w:gridCol w:w="203"/>
        <w:gridCol w:w="8271"/>
      </w:tblGrid>
      <w:tr>
        <w:trPr/>
        <w:tc>
          <w:tcPr>
            <w:tcW w:w="132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Contractual Arrangements in place during each financial reporting period will be disclosed in the Company’s annual report and accounts in accordance with Rule 14A.49 of the Hong Kong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408"/>
        <w:gridCol w:w="203"/>
        <w:gridCol w:w="8270"/>
      </w:tblGrid>
      <w:tr>
        <w:trPr/>
        <w:tc>
          <w:tcPr>
            <w:tcW w:w="132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independent non-executive Directors will review the Contractual Arrangements annually and confirm in the Company’s annual report and accounts for the relevant year pursuant to Rule 14A.55 of the Hong Kong Listing Rules that (i) the transactions carried out during such year have been entered into in accordance with the relevant provisions of the Contractual Arrangements, (ii) no dividends or other distributions have been made by the Consolidated Affiliated Entities to the holders of their equity interests which are not otherwise subsequently assigned or transferred to the Group, and (iii) any new contracts entered into, renewed or reproduced between the Group and Consolidated Affiliated Entities during the relevant financial period under the paragraph headed “Renewal and reproduction” above are fair and reasonable, or advantageous to the Shareholders, so far as the Group is concerned and in the interests of the Company and the Shareholders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408"/>
        <w:gridCol w:w="203"/>
        <w:gridCol w:w="8270"/>
      </w:tblGrid>
      <w:tr>
        <w:trPr/>
        <w:tc>
          <w:tcPr>
            <w:tcW w:w="132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auditor will carry out review procedures annually on the transactions pursuant to Rule 14A.56 of the Hong Kong Listing Rules, pursuant to the Contractual Arrangements, and will provide a letter to the Directors confirming that the transactions have received the approval of the Directors, have been entered into in accordance with the relevant Contractual Arrangements, and that no dividends or other distributions have been made by the Consolidated Affiliated Entities to the holders of their equity interests which are not otherwise subsequently assigned or transferred to the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408"/>
        <w:gridCol w:w="203"/>
        <w:gridCol w:w="8270"/>
      </w:tblGrid>
      <w:tr>
        <w:trPr/>
        <w:tc>
          <w:tcPr>
            <w:tcW w:w="132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Chapter 14A of the Hong Kong Listing Rules, and in particular the definition of “connected person”, the Consolidated Affiliated Entities will be treated as the Company’s subsidiaries, and at the same time, the directors, chief executives or substantial shareholders of the Consolidated Affiliated Entities and their respective associates will be treated as connected persons of the Company (excluding, for this purpose, the Consolidated Affiliated Entities), and transactions between these connected persons and the Group (including, for this purpose, the Consolidated Affiliated Entities), other than those under the Contractual Arrangements, will be subject to requirements under Chapter 14A of the Hong Kong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406"/>
        <w:gridCol w:w="203"/>
        <w:gridCol w:w="8272"/>
      </w:tblGrid>
      <w:tr>
        <w:trPr/>
        <w:tc>
          <w:tcPr>
            <w:tcW w:w="1324"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Consolidated Affiliated Entities will undertake that, for so long as the Shares of the Company are listed on the Hong Kong Stock Exchange, the Consolidated Affiliated Entities will provide the Group’s management and the Company’s auditor full access to its relevant records for the purpose of the Company’s auditor’s review of the connected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r>
              <w:rPr>
                <w:b/>
                <w:i/>
              </w:rPr>
              <w:t>(d)</w:t>
            </w:r>
          </w:p>
        </w:tc>
        <w:tc>
          <w:tcPr>
            <w:tcW w:w="928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Exercise Price of Options to be Granted Pursuant to the Plan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Requirements under the Hong Kong Listing Rules </w:t>
      </w:r>
    </w:p>
    <w:p>
      <w:pPr>
        <w:pStyle w:val="TextBody"/>
        <w:bidi w:val="0"/>
        <w:spacing w:before="120" w:after="0"/>
        <w:jc w:val="left"/>
        <w:rPr>
          <w:rFonts w:ascii="Times New Roman" w:hAnsi="Times New Roman"/>
          <w:sz w:val="20"/>
        </w:rPr>
      </w:pPr>
      <w:r>
        <w:rPr>
          <w:rFonts w:ascii="Times New Roman" w:hAnsi="Times New Roman"/>
          <w:sz w:val="20"/>
        </w:rPr>
        <w:t xml:space="preserve">Note (1) to Rule 17.03(9) and Rule 17.03E of the Hong Kong Listing Rules state that the exercise price of an option must be at least the higher of: (i) the closing price of the securities as stated in the Hong Kong Stock Exchange’s daily quotations sheet on the date of grant, which must be a business day; and (ii) the average closing price of the securities as stated in the Hong Kong Stock Exchange’s daily quotations sheets for the five business days immediately preceding the date of grant. </w:t>
      </w:r>
    </w:p>
    <w:p>
      <w:pPr>
        <w:pStyle w:val="TextBody"/>
        <w:bidi w:val="0"/>
        <w:spacing w:before="120" w:after="0"/>
        <w:jc w:val="left"/>
        <w:rPr>
          <w:rFonts w:ascii="Times New Roman" w:hAnsi="Times New Roman"/>
          <w:i/>
          <w:sz w:val="20"/>
        </w:rPr>
      </w:pPr>
      <w:r>
        <w:rPr>
          <w:rFonts w:ascii="Times New Roman" w:hAnsi="Times New Roman"/>
          <w:i/>
          <w:sz w:val="20"/>
        </w:rPr>
        <w:t xml:space="preserve">Reasons for applying for the waiver and its scopes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Primary Conversion, the Company has adopted the 2026 Share Incentive Plan to comply with Chapter 17 of the Hong Kong Listing Rules and intends to continue to grant, among others, options thereunder exercisable into ADSs after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applied for, and the Hong Kong Stock Exchange has granted, a waiver from strict compliance with Rule 17.03E of the Hong Kong Listing Rules such that the Company may determine the exercise price of options granted under the Plan which are exercisable into ADSs based on the higher of: (i) the per-share closing price of the Company’s ADSs on Nasdaq on the date of grant, which must be a Nasdaq trading day; and (ii) the average per-share closing price of the Company’s ADSs on Nasdaq for the five Nasdaq trading days immediately preceding the date of grant. This waiver is applied on the basis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method for determining the exercise price of options will be based on the market price of the Company’s ADSs and will substantially replicate the requirement in Rule 17.03E of the Hong Kong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been the Company’s practice to issue options exercisable into ADSs with exercise prices denominated in U.S. dollars, and the Company may continue to grant options under the Plan with exercise prices based on the market price of the Company’s ADSs which are denominated in U.S. dollars after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changing the method of determining the exercise price of options may cause confusion to the grantees;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 of options exercisable into ADSs with exercise prices determined with reference to the closing price of the Company’s ADSs on Nasdaq (which are denominated in U.S. dollars) would better reflect the market price for the underlying securities subject to the grant.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r>
              <w:rPr>
                <w:b/>
                <w:i/>
              </w:rPr>
              <w:t>(e)</w:t>
            </w:r>
          </w:p>
        </w:tc>
        <w:tc>
          <w:tcPr>
            <w:tcW w:w="928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Use of U.S. GAAP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Requirements under the Hong Kong Listing Rules </w:t>
      </w:r>
    </w:p>
    <w:p>
      <w:pPr>
        <w:pStyle w:val="TextBody"/>
        <w:bidi w:val="0"/>
        <w:spacing w:before="120" w:after="0"/>
        <w:jc w:val="left"/>
        <w:rPr>
          <w:rFonts w:ascii="Times New Roman" w:hAnsi="Times New Roman"/>
          <w:sz w:val="20"/>
        </w:rPr>
      </w:pPr>
      <w:r>
        <w:rPr>
          <w:rFonts w:ascii="Times New Roman" w:hAnsi="Times New Roman"/>
          <w:sz w:val="20"/>
        </w:rPr>
        <w:t xml:space="preserve">Note 2.1 to Paragraph 2 of Appendix D2 to the Hong Kong Listing Rules requires the Company to prepare its financial statements in financial reports to be in conformity with: </w:t>
      </w:r>
    </w:p>
    <w:p>
      <w:pPr>
        <w:pStyle w:val="TextBody"/>
        <w:bidi w:val="0"/>
        <w:spacing w:before="120" w:after="0"/>
        <w:jc w:val="left"/>
        <w:rPr>
          <w:rFonts w:ascii="Times New Roman" w:hAnsi="Times New Roman"/>
          <w:sz w:val="20"/>
        </w:rPr>
      </w:pPr>
      <w:r>
        <w:rPr>
          <w:rFonts w:ascii="Times New Roman" w:hAnsi="Times New Roman"/>
          <w:sz w:val="20"/>
        </w:rPr>
        <w:t>(a) Hong Kong Financial Reporting Standards (“</w:t>
      </w:r>
      <w:r>
        <w:rPr>
          <w:rFonts w:ascii="Times New Roman" w:hAnsi="Times New Roman"/>
          <w:b/>
          <w:sz w:val="20"/>
        </w:rPr>
        <w:t>HKFRS</w:t>
      </w:r>
      <w:r>
        <w:rPr>
          <w:rFonts w:ascii="Times New Roman" w:hAnsi="Times New Roman"/>
          <w:sz w:val="20"/>
        </w:rPr>
        <w:t>”); (b) International Financial Reporting Standards (“</w:t>
      </w:r>
      <w:r>
        <w:rPr>
          <w:rFonts w:ascii="Times New Roman" w:hAnsi="Times New Roman"/>
          <w:b/>
          <w:sz w:val="20"/>
        </w:rPr>
        <w:t>IFRS</w:t>
      </w:r>
      <w:r>
        <w:rPr>
          <w:rFonts w:ascii="Times New Roman" w:hAnsi="Times New Roman"/>
          <w:sz w:val="20"/>
        </w:rPr>
        <w:t xml:space="preserve">”); or (c) China Accounting Standards for Business Enterprises in the case of companies incorporated in China, subject to Note 2.6 to Paragraph 2 of Appendix D2 to the Hong Kong Listing Rules. Note 2.6 to Paragraph 2 of Appendix D2 to the Hong Kong Listing Rules provides that the Hong Kong Stock Exchange may allow the annual financial statements of an overseas issuer to be drawn up otherwise than in conformity with financial reporting standards referred to in Note 2.1 to Paragraph 2 of Appendix D2 to the Hong Kong Listing Rules. </w:t>
      </w:r>
    </w:p>
    <w:p>
      <w:pPr>
        <w:pStyle w:val="TextBody"/>
        <w:bidi w:val="0"/>
        <w:spacing w:before="120" w:after="0"/>
        <w:jc w:val="left"/>
        <w:rPr>
          <w:rFonts w:ascii="Times New Roman" w:hAnsi="Times New Roman"/>
          <w:sz w:val="20"/>
        </w:rPr>
      </w:pPr>
      <w:r>
        <w:rPr>
          <w:rFonts w:ascii="Times New Roman" w:hAnsi="Times New Roman"/>
          <w:sz w:val="20"/>
        </w:rPr>
        <w:t xml:space="preserve">Rule 19.25A of the Hong Kong Listing Rules provides that the annual accounts are required to conform with financial reporting standards acceptable to the Hong Kong Stock Exchange, which are normally HKFRS or IFRS. Where the Hong Kong Stock Exchange allows annual accounts to be drawn up otherwise than in conformity with HKFRS or IFRS, the annual accounts will be required to conform with financial reporting standards acceptable to the Hong Kong Stock Exchange. In such cases the Hong Kong Stock Exchange will normally require the annual accounts to contain a reconciliation statement setting out the financial effect of the material differences (if any) from either HKFRS or IFRS. </w:t>
      </w:r>
    </w:p>
    <w:p>
      <w:pPr>
        <w:pStyle w:val="TextBody"/>
        <w:bidi w:val="0"/>
        <w:spacing w:before="120" w:after="0"/>
        <w:jc w:val="left"/>
        <w:rPr>
          <w:rFonts w:ascii="Times New Roman" w:hAnsi="Times New Roman"/>
          <w:sz w:val="20"/>
        </w:rPr>
      </w:pPr>
      <w:r>
        <w:rPr>
          <w:rFonts w:ascii="Times New Roman" w:hAnsi="Times New Roman"/>
          <w:sz w:val="20"/>
        </w:rPr>
        <w:t>In Guidance Letter HKEX-GL111-22 (“</w:t>
      </w:r>
      <w:r>
        <w:rPr>
          <w:rFonts w:ascii="Times New Roman" w:hAnsi="Times New Roman"/>
          <w:b/>
          <w:sz w:val="20"/>
        </w:rPr>
        <w:t>GL111-22</w:t>
      </w:r>
      <w:r>
        <w:rPr>
          <w:rFonts w:ascii="Times New Roman" w:hAnsi="Times New Roman"/>
          <w:sz w:val="20"/>
        </w:rPr>
        <w:t xml:space="preserve">”), the Hong Kong Stock Exchange has indicated that it has accepted that the financial statements of overseas issuers with, or seeking, a dual-primary or secondary listing in the United States and on the Hong Kong Stock Exchange can be prepared in conformity with U.S. GAAP. GL111-22 further provides that, an overseas issuer adopting a body of financial reporting standards other than HKFRS or IFRS for the preparation of its financial statements must include a reconciliation statement setting out the financial effect of any material differences between those financial statements and financial statements prepared using HKFRS or IFRS in its annual/interim reports. </w:t>
      </w:r>
    </w:p>
    <w:p>
      <w:pPr>
        <w:pStyle w:val="TextBody"/>
        <w:bidi w:val="0"/>
        <w:spacing w:before="120" w:after="0"/>
        <w:jc w:val="left"/>
        <w:rPr>
          <w:rFonts w:ascii="Times New Roman" w:hAnsi="Times New Roman"/>
          <w:i/>
          <w:sz w:val="20"/>
        </w:rPr>
      </w:pPr>
      <w:r>
        <w:rPr>
          <w:rFonts w:ascii="Times New Roman" w:hAnsi="Times New Roman"/>
          <w:i/>
          <w:sz w:val="20"/>
        </w:rPr>
        <w:t xml:space="preserve">Reasons for applying for the waiver </w:t>
      </w:r>
    </w:p>
    <w:p>
      <w:pPr>
        <w:pStyle w:val="TextBody"/>
        <w:bidi w:val="0"/>
        <w:spacing w:before="120" w:after="0"/>
        <w:jc w:val="left"/>
        <w:rPr>
          <w:rFonts w:ascii="Times New Roman" w:hAnsi="Times New Roman"/>
          <w:sz w:val="20"/>
        </w:rPr>
      </w:pPr>
      <w:r>
        <w:rPr>
          <w:rFonts w:ascii="Times New Roman" w:hAnsi="Times New Roman"/>
          <w:sz w:val="20"/>
        </w:rPr>
        <w:t>As a company primary listed on Nasdaq, the Company uses Generally Accepted Accounting Principles in the U.S. (the “</w:t>
      </w:r>
      <w:r>
        <w:rPr>
          <w:rFonts w:ascii="Times New Roman" w:hAnsi="Times New Roman"/>
          <w:b/>
          <w:sz w:val="20"/>
        </w:rPr>
        <w:t>U.S. GAAP</w:t>
      </w:r>
      <w:r>
        <w:rPr>
          <w:rFonts w:ascii="Times New Roman" w:hAnsi="Times New Roman"/>
          <w:sz w:val="20"/>
        </w:rPr>
        <w:t xml:space="preserve">”), and the corresponding auditing standards for the filing of its financial statements with the SEC as determined by the United States Public Company Accounting Oversight Board. Upon the Effective Date, the Company will continue to use the U.S. GAAP to prepare its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U.S. GAAP is well recognized and accepted by the global investment community, and significant progress has been made in the convergence between U.S. GAAP and IFRS.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Additionally, we note that it might lead to confusion among the Company’s investors and Shareholders if the Company was required to adopt different accounting standards for its disclosures in Hong Kong from those in the U.S. Aligning the accounting standards used for disclosures in both markets will alleviate any such confusion. </w:t>
      </w:r>
    </w:p>
    <w:p>
      <w:pPr>
        <w:pStyle w:val="TextBody"/>
        <w:bidi w:val="0"/>
        <w:spacing w:before="120" w:after="0"/>
        <w:jc w:val="left"/>
        <w:rPr>
          <w:rFonts w:ascii="Times New Roman" w:hAnsi="Times New Roman"/>
          <w:i/>
          <w:sz w:val="20"/>
        </w:rPr>
      </w:pPr>
      <w:r>
        <w:rPr>
          <w:rFonts w:ascii="Times New Roman" w:hAnsi="Times New Roman"/>
          <w:i/>
          <w:sz w:val="20"/>
        </w:rPr>
        <w:t xml:space="preserve">Conditions for granting the waiver and its scope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applied for, and the Hong Kong Stock Exchange has granted, a waiver from strict compliance with the requirements under Rule 19.25A of, and Note 2.1 to Paragraph 2 of Appendix D2 to, the Hong Kong Listing Rules in respect of its financial statements, subject to the conditions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comply with the conditions set out in Rule 19.25A of the Hong Kong Listing Rules, GL111-22 and Chapter 3.11 of the Guide for New Listing Applicants including (a) a description of the relevant key differences between U.S. GAAP and IFRS and (b) a reconciliation statement showing the financial effects of any material difference between the financial statements during the reporting period prepared using U.S. GAAP and IFRS in its interim and annual reports after the Primary Conversion. For the avoidance of doubt, any reconciliation statement included in the Company’s interim report will be required to be reviewed by the Audit Committee;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waiver, if granted, will not be applied generally and will be based on the specific circumstances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i/>
              </w:rPr>
            </w:pPr>
            <w:r>
              <w:rPr>
                <w:b/>
                <w:i/>
              </w:rPr>
              <w:t>(f)</w:t>
            </w:r>
          </w:p>
        </w:tc>
        <w:tc>
          <w:tcPr>
            <w:tcW w:w="929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Securities Transactions by a Spouse of a Director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Requirements under the Hong Kong Listing Rules </w:t>
      </w:r>
    </w:p>
    <w:p>
      <w:pPr>
        <w:pStyle w:val="TextBody"/>
        <w:bidi w:val="0"/>
        <w:spacing w:before="120" w:after="0"/>
        <w:jc w:val="left"/>
        <w:rPr>
          <w:rFonts w:ascii="Times New Roman" w:hAnsi="Times New Roman"/>
          <w:sz w:val="20"/>
        </w:rPr>
      </w:pPr>
      <w:r>
        <w:rPr>
          <w:rFonts w:ascii="Times New Roman" w:hAnsi="Times New Roman"/>
          <w:sz w:val="20"/>
        </w:rPr>
        <w:t>Rule A.1 of the Model Code for Securities Transactions by Directors of Listed Issuers (the “</w:t>
      </w:r>
      <w:r>
        <w:rPr>
          <w:rFonts w:ascii="Times New Roman" w:hAnsi="Times New Roman"/>
          <w:b/>
          <w:sz w:val="20"/>
        </w:rPr>
        <w:t>Model Code</w:t>
      </w:r>
      <w:r>
        <w:rPr>
          <w:rFonts w:ascii="Times New Roman" w:hAnsi="Times New Roman"/>
          <w:sz w:val="20"/>
        </w:rPr>
        <w:t xml:space="preserve">”) as set out in Appendix C3 to the Hong Kong Listing Rules prohibits a director of a listed issuer from dealing in any securities of the listed issuer when he is in possession of inside information in relation to those securities. </w:t>
      </w:r>
    </w:p>
    <w:p>
      <w:pPr>
        <w:pStyle w:val="TextBody"/>
        <w:bidi w:val="0"/>
        <w:spacing w:before="120" w:after="0"/>
        <w:jc w:val="left"/>
        <w:rPr>
          <w:rFonts w:ascii="Times New Roman" w:hAnsi="Times New Roman"/>
          <w:sz w:val="20"/>
        </w:rPr>
      </w:pPr>
      <w:r>
        <w:rPr>
          <w:rFonts w:ascii="Times New Roman" w:hAnsi="Times New Roman"/>
          <w:sz w:val="20"/>
        </w:rPr>
        <w:t xml:space="preserve">Rule A.3(a) of the Model Code prohibits a director of a listed issuer from dealing in any securities of the listed issuer during the period of 60 days immediately preceding the publication date of the annual results or, if shorter, the period from the end of the relevant financial year up to the publication date of the results, and during the period of 30 days immediately preceding the publication date of the quarterly results (if any) and half-year results or, if shorter, the period from the end of the relevant quarterly or half-year period up to the publication date of the results. </w:t>
      </w:r>
    </w:p>
    <w:p>
      <w:pPr>
        <w:pStyle w:val="TextBody"/>
        <w:bidi w:val="0"/>
        <w:spacing w:before="120" w:after="0"/>
        <w:jc w:val="left"/>
        <w:rPr>
          <w:rFonts w:ascii="Times New Roman" w:hAnsi="Times New Roman"/>
          <w:sz w:val="20"/>
        </w:rPr>
      </w:pPr>
      <w:r>
        <w:rPr>
          <w:rFonts w:ascii="Times New Roman" w:hAnsi="Times New Roman"/>
          <w:sz w:val="20"/>
        </w:rPr>
        <w:t>Rule A.6 further provides that the restrictions on dealings by a director contained in the Model Code will be regarded as equally applicable to any dealings by the director’s spouse or by or on behalf of any minor child (natural or adopted) and any other dealings in which for the purposes of Part XV of the Securities and Futures Ordinance he is or is to be treated as interested (together, the “</w:t>
      </w:r>
      <w:r>
        <w:rPr>
          <w:rFonts w:ascii="Times New Roman" w:hAnsi="Times New Roman"/>
          <w:b/>
          <w:sz w:val="20"/>
        </w:rPr>
        <w:t>Related Parties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Rule B.8 of the Model Code requires a director of a listed issuer, before he deals in any securities of the listed issuer, to notify in writing the chairman of the board or a designated director and receive a dated written acknowledgement. </w:t>
      </w:r>
    </w:p>
    <w:p>
      <w:pPr>
        <w:pStyle w:val="TextBody"/>
        <w:bidi w:val="0"/>
        <w:spacing w:before="120" w:after="0"/>
        <w:jc w:val="left"/>
        <w:rPr>
          <w:rFonts w:ascii="Times New Roman" w:hAnsi="Times New Roman"/>
          <w:i/>
          <w:sz w:val="20"/>
        </w:rPr>
      </w:pPr>
      <w:r>
        <w:rPr>
          <w:rFonts w:ascii="Times New Roman" w:hAnsi="Times New Roman"/>
          <w:i/>
          <w:sz w:val="20"/>
        </w:rPr>
        <w:t xml:space="preserve">Reasons for applying for the waiver </w:t>
      </w:r>
    </w:p>
    <w:p>
      <w:pPr>
        <w:pStyle w:val="TextBody"/>
        <w:bidi w:val="0"/>
        <w:spacing w:before="120" w:after="0"/>
        <w:jc w:val="left"/>
        <w:rPr>
          <w:rFonts w:ascii="Times New Roman" w:hAnsi="Times New Roman"/>
          <w:sz w:val="20"/>
        </w:rPr>
      </w:pPr>
      <w:r>
        <w:rPr>
          <w:rFonts w:ascii="Times New Roman" w:hAnsi="Times New Roman"/>
          <w:sz w:val="20"/>
        </w:rPr>
        <w:t>The Class A Ordinary Shares have been listed on the Hong Kong Stock Exchange since March 2021, and its ADS(s) have been listed on the Nasdaq since August 2005. As such, the Company is subject to securities laws and listing rules of two markets, including, but not limited to, the requirements under the U.S. Securities Exchange Act of 1934 (the “</w:t>
      </w:r>
      <w:r>
        <w:rPr>
          <w:rFonts w:ascii="Times New Roman" w:hAnsi="Times New Roman"/>
          <w:b/>
          <w:sz w:val="20"/>
        </w:rPr>
        <w:t>Exchange Act</w:t>
      </w:r>
      <w:r>
        <w:rPr>
          <w:rFonts w:ascii="Times New Roman" w:hAnsi="Times New Roman"/>
          <w:sz w:val="20"/>
        </w:rPr>
        <w:t xml:space="preserve">”) and the requirements of the listing rules of the Hong Kong Stock Exchange and Nasdaq. </w:t>
      </w:r>
    </w:p>
    <w:p>
      <w:pPr>
        <w:pStyle w:val="TextBody"/>
        <w:bidi w:val="0"/>
        <w:spacing w:before="120" w:after="0"/>
        <w:jc w:val="left"/>
        <w:rPr>
          <w:rFonts w:ascii="Times New Roman" w:hAnsi="Times New Roman"/>
          <w:sz w:val="20"/>
        </w:rPr>
      </w:pPr>
      <w:r>
        <w:rPr>
          <w:rFonts w:ascii="Times New Roman" w:hAnsi="Times New Roman"/>
          <w:sz w:val="20"/>
        </w:rPr>
        <w:t>For a company whose securities are listed and traded in the U.S., we note that it is a common practice for substantial shareholders and corporate insiders, including directors, executives and other members of management and their Related Parties, to set up trading plans that meet the requirements of Rule 10b5-1 safe harbor under the Exchange Act (the “</w:t>
      </w:r>
      <w:r>
        <w:rPr>
          <w:rFonts w:ascii="Times New Roman" w:hAnsi="Times New Roman"/>
          <w:b/>
          <w:sz w:val="20"/>
        </w:rPr>
        <w:t>Trading Plan(s)</w:t>
      </w:r>
      <w:r>
        <w:rPr>
          <w:rFonts w:ascii="Times New Roman" w:hAnsi="Times New Roman"/>
          <w:sz w:val="20"/>
        </w:rPr>
        <w:t>”) to buy or sell the company’s securities. A Trading Plan is a written plan, set up with a broker, to trade securities that (a) is entered into at a time when the person trading the securities is not aware of any material non-public information (“</w:t>
      </w:r>
      <w:r>
        <w:rPr>
          <w:rFonts w:ascii="Times New Roman" w:hAnsi="Times New Roman"/>
          <w:b/>
          <w:sz w:val="20"/>
        </w:rPr>
        <w:t>MNPI</w:t>
      </w:r>
      <w:r>
        <w:rPr>
          <w:rFonts w:ascii="Times New Roman" w:hAnsi="Times New Roman"/>
          <w:sz w:val="20"/>
        </w:rPr>
        <w:t xml:space="preserve">”) and (b) either (i) specifies the amount of securities to be purchased or sold, the price at which and the date on which the securities are to be purchased or sold, (ii) includes a written formula or algorithm, or computer program, for determining the amount of securities to be purchased or sold and the price at which and the date on which the securities are to be purchased or sold, or (iii) does not permit the person trading the securities to exercise any subsequent influence over how, when or whether to effect purchases or sales (provided that any other person who does exercise such influence is not aware of MNPI when doing so). Persons who trade securities pursuant to a Trading Plan have an affirmative defense against insider trading allegations under U.S. securities law. Such plans provide flexibility to listed companies and their insiders, including executives and directors, who have limited windows in which they do not possess MNPI, and allow them to plan and execute future trades with greater certainty. </w:t>
      </w:r>
    </w:p>
    <w:p>
      <w:pPr>
        <w:pStyle w:val="TextBody"/>
        <w:bidi w:val="0"/>
        <w:spacing w:before="120" w:after="0"/>
        <w:jc w:val="left"/>
        <w:rPr>
          <w:rFonts w:ascii="Times New Roman" w:hAnsi="Times New Roman"/>
          <w:sz w:val="20"/>
        </w:rPr>
      </w:pPr>
      <w:r>
        <w:rPr>
          <w:rFonts w:ascii="Times New Roman" w:hAnsi="Times New Roman"/>
          <w:sz w:val="20"/>
        </w:rPr>
        <w:t>Consistent with common practice in the U.S., Ms. Ma, the wife of Mr. Robin Yanhong Li, chairman and chief executive officer of the Company, entered into a Trading Plan on December 23, 2025 with a reputable independent securities agent (“</w:t>
      </w:r>
      <w:r>
        <w:rPr>
          <w:rFonts w:ascii="Times New Roman" w:hAnsi="Times New Roman"/>
          <w:b/>
          <w:sz w:val="20"/>
        </w:rPr>
        <w:t>Agent</w:t>
      </w:r>
      <w:r>
        <w:rPr>
          <w:rFonts w:ascii="Times New Roman" w:hAnsi="Times New Roman"/>
          <w:sz w:val="20"/>
        </w:rPr>
        <w:t xml:space="preserve">”), on a date which falls outside of the prescribed blackout period, to delegate authority to such agent to execute trades of sale of ADSs of the Company on her behalf in compliance with Rule 10b5-1 of the Exchange Act. The Trading Plan will terminate no later than April 2, 2027. </w:t>
      </w:r>
    </w:p>
    <w:p>
      <w:pPr>
        <w:pStyle w:val="TextBody"/>
        <w:bidi w:val="0"/>
        <w:spacing w:before="120" w:after="0"/>
        <w:jc w:val="left"/>
        <w:rPr>
          <w:rFonts w:ascii="Times New Roman" w:hAnsi="Times New Roman"/>
          <w:sz w:val="20"/>
        </w:rPr>
      </w:pPr>
      <w:r>
        <w:rPr>
          <w:rFonts w:ascii="Times New Roman" w:hAnsi="Times New Roman"/>
          <w:sz w:val="20"/>
        </w:rPr>
        <w:t xml:space="preserve">The Trading Plan contains instructions such as the authorized maximum number of ADSs to be sold in aggregate, as well as the price at which the ADSs may be sold, which is determined by a stipulated algorithm with reference to the volume weighted average price. Under the terms of the Trading Plan, the Agent will only execute trades in the Company’s ADSs in accordance with the terms of the Trading Plan without consultation with Ms. Ma. Once the Trading Plan has been entered into (outside any blackout period and while Ms. Ma is not in possession of inside information), Ms. Ma is not able to exercise any discretion or influence over the timing or price of the subsequent dealings. Since the trades will be executed by the Agent, it is impracticable for Ms. Ma to notify the chairman of the board or a designated director pursuant to Rule B.8 of the Model Code before every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under the Trading Plan and Rule 10b5-1, any modification or change to the amount, price or timing of the transactions under the Trading Plan would constitute a termination of the Trading Plan and the adoption of a new trading plan, which would be subject to a new cooling-off period applicable to Ms. Ma pursuant to Rule 10b5-1(c)(1)(ii) (B) before any trading could resume thereunder. </w:t>
      </w:r>
    </w:p>
    <w:p>
      <w:pPr>
        <w:pStyle w:val="TextBody"/>
        <w:bidi w:val="0"/>
        <w:spacing w:before="120" w:after="0"/>
        <w:jc w:val="left"/>
        <w:rPr>
          <w:rFonts w:ascii="Times New Roman" w:hAnsi="Times New Roman"/>
          <w:sz w:val="20"/>
        </w:rPr>
      </w:pPr>
      <w:r>
        <w:rPr>
          <w:rFonts w:ascii="Times New Roman" w:hAnsi="Times New Roman"/>
          <w:sz w:val="20"/>
        </w:rPr>
        <w:t xml:space="preserve">The above arrangement allows Ms. Ma to have better trading flexibility and to plan and execute future trades with greater certainty, and is a common market practice amongst U.S. listed issuers. It is not the intention of Ms. Ma to circumvent any of the requirements of Rule 10b-5 of the Exchange Act, including regarding the cooling-off period, in any way and Ms. Ma cannot, through this arrangement, leverage advance knowledge of financial results or other inside information acquired during the Company’s blackout period for trading of the Company’s securities. On the basis of the above, the Board is of the view that this arrangement is in compliance with Rule 10b-5 of the Exchange Act and satisfies the principal purpose of such rule to prohibit insider trading. </w:t>
      </w:r>
    </w:p>
    <w:p>
      <w:pPr>
        <w:pStyle w:val="TextBody"/>
        <w:bidi w:val="0"/>
        <w:spacing w:before="120" w:after="0"/>
        <w:jc w:val="left"/>
        <w:rPr>
          <w:rFonts w:ascii="Times New Roman" w:hAnsi="Times New Roman"/>
          <w:i/>
          <w:sz w:val="20"/>
        </w:rPr>
      </w:pPr>
      <w:r>
        <w:rPr>
          <w:rFonts w:ascii="Times New Roman" w:hAnsi="Times New Roman"/>
          <w:i/>
          <w:sz w:val="20"/>
        </w:rPr>
        <w:t xml:space="preserve">Waiver application </w:t>
      </w:r>
    </w:p>
    <w:p>
      <w:pPr>
        <w:pStyle w:val="TextBody"/>
        <w:bidi w:val="0"/>
        <w:spacing w:before="120" w:after="0"/>
        <w:jc w:val="left"/>
        <w:rPr>
          <w:rFonts w:ascii="Times New Roman" w:hAnsi="Times New Roman"/>
          <w:sz w:val="20"/>
        </w:rPr>
      </w:pPr>
      <w:r>
        <w:rPr>
          <w:rFonts w:ascii="Times New Roman" w:hAnsi="Times New Roman"/>
          <w:sz w:val="20"/>
        </w:rPr>
        <w:t xml:space="preserve">To facilitate the operation of such Trading Plan, the Company, on behalf of Ms. Ma, sought, and the Hong Kong Stock Exchange has granted, a waiver from strict compliance with Rules A.1, A.3(a) and B.8 of the Model Code. </w:t>
      </w:r>
    </w:p>
    <w:p>
      <w:pPr>
        <w:pStyle w:val="TextBody"/>
        <w:bidi w:val="0"/>
        <w:spacing w:before="120" w:after="0"/>
        <w:jc w:val="left"/>
        <w:rPr>
          <w:rFonts w:ascii="Times New Roman" w:hAnsi="Times New Roman"/>
          <w:sz w:val="20"/>
        </w:rPr>
      </w:pPr>
      <w:r>
        <w:rPr>
          <w:rFonts w:ascii="Times New Roman" w:hAnsi="Times New Roman"/>
          <w:sz w:val="20"/>
        </w:rPr>
        <w:t xml:space="preserve">For future Rule 10b5-1 plans, the Company may make further waiver applications on an individual basis on behalf of its directors or their Related Parties. </w:t>
      </w:r>
    </w:p>
    <w:p>
      <w:pPr>
        <w:pStyle w:val="TextBody"/>
        <w:bidi w:val="0"/>
        <w:spacing w:before="240" w:after="0"/>
        <w:jc w:val="left"/>
        <w:rPr>
          <w:rFonts w:ascii="Times New Roman" w:hAnsi="Times New Roman"/>
          <w:b/>
          <w:sz w:val="20"/>
        </w:rPr>
      </w:pPr>
      <w:r>
        <w:rPr>
          <w:rFonts w:ascii="Times New Roman" w:hAnsi="Times New Roman"/>
          <w:b/>
          <w:sz w:val="20"/>
        </w:rPr>
        <w:t xml:space="preserve">This announcement is for information purposes only and does not constitute, or form part of, any invitation or offer to acquire, purchase or subscribe for any of the Company’s securities. Shareholders and potential investors should exercise caution when dealing in the Company’s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this announcement, unless the context otherwise requires, the following terms shall have the following meanings: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2026 Share Incentive Plan” or “Plan”</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2026 Share Incentive Plan adopted by the Company at the EGM</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ADSs”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American Depositary Shares (each representing eight Shares)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Audit Committee”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audit committee of the Board</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Board”</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board of Directors of the Company</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Class A Ordinary Share(s)”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Class A ordinary share(s) in the share capital of the Company</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Company”, “we”, “us”, or “our”</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Baidu, Inc., an exempted company incorporated in the Cayman Islands with limited liability in January 2000 and, where the context requires, its subsidiaries (which includes the consolidated affiliated entities) from time to time, the Shares of which are listed on the Main Board of the Hong Kong Stock Exchange</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Director”</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 director of the Company</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Effective Date”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date upon which the Company’s voluntary conversion of its secondary listing status to primary listing on the Hong Kong Stock Exchange becomes effective, being September 1, 2026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EGM”</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extraordinary general meeting of the Company held on August 26, 2026</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Group”</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Company and its subsidiaries and consolidated affiliated entities from time to time</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HKD”</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Hong Kong dollars, the lawful currency of Hong Kong</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Hong Kong”</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Hong Kong Special Administrative Region of the People’s Republic of China</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Hong Kong Listing Rules”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Rules Governing the Listing of Securities on The Stock Exchange of Hong Kong Limited</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Hong Kong Stock Exchange”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Stock Exchange of Hong Kong Limited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8"/>
        <w:gridCol w:w="202"/>
        <w:gridCol w:w="6635"/>
      </w:tblGrid>
      <w:tr>
        <w:trPr/>
        <w:tc>
          <w:tcPr>
            <w:tcW w:w="336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w:t>
            </w:r>
            <w:r>
              <w:rPr/>
              <w:t>iQIYI”</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iQIYI, Inc., a company incorporated in the Cayman Islands listed on Nasdaq under the symbol “IQ” and one of the Company’s subsidiaries</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w:t>
            </w:r>
            <w:r>
              <w:rPr/>
              <w:t>Nasdaq”</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Nasdaq Global Select Market</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w:t>
            </w:r>
            <w:r>
              <w:rPr/>
              <w:t>Nominating and Corporate Governance Committee”</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nominating and corporate governance committee of the Board</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w:t>
            </w:r>
            <w:r>
              <w:rPr/>
              <w:t>PRC” or “China”</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People’s Republic of China</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w:t>
            </w:r>
            <w:r>
              <w:rPr/>
              <w:t>Primary Conversion”</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conversion of the Hong Kong listing status from secondary listing status under Chapter 19C of the Hong Kong Listing Rules to dual-primary listing status</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w:t>
            </w:r>
            <w:r>
              <w:rPr/>
              <w:t>Prospectus”</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Company’s Hong Kong prospectus dated March 12, 2021</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w:t>
            </w:r>
            <w:r>
              <w:rPr/>
              <w:t>RMB”</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Renminbi, the lawful currency of the PRC</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w:t>
            </w:r>
            <w:r>
              <w:rPr/>
              <w:t>SFO”</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Securities and Futures Ordinance, Chapter 571 of the Laws of Hong Kong, as amended, supplemented or otherwise modified from time to time</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w:t>
            </w:r>
            <w:r>
              <w:rPr/>
              <w:t>Shareholder(s)”</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holder(s) of the Share(s), and where the context requires, ADSs</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w:t>
            </w:r>
            <w:r>
              <w:rPr/>
              <w:t>Share(s)”</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ordinary share(s) in the share capital of the Company with par value of US$0.000000625 each</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w:t>
            </w:r>
            <w:r>
              <w:rPr/>
              <w:t>U.S.”</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United States of America, its territories, its possessions and all areas subject to its jurisdiction</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w:t>
            </w:r>
            <w:r>
              <w:rPr/>
              <w:t>US$”</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U.S. dollars, the lawful currency of the U.S.</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w:t>
            </w:r>
            <w:r>
              <w:rPr/>
              <w:t>%”</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percent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By order of the Board</w:t>
            </w:r>
          </w:p>
        </w:tc>
      </w:tr>
      <w:tr>
        <w:trPr/>
        <w:tc>
          <w:tcPr>
            <w:tcW w:w="4082" w:type="dxa"/>
            <w:tcBorders/>
          </w:tcPr>
          <w:p>
            <w:pPr>
              <w:pStyle w:val="TableContents"/>
              <w:bidi w:val="0"/>
              <w:spacing w:before="0" w:after="283"/>
              <w:jc w:val="center"/>
              <w:rPr>
                <w:b/>
              </w:rPr>
            </w:pPr>
            <w:r>
              <w:rPr>
                <w:b/>
              </w:rPr>
              <w:t>Baidu, Inc.</w:t>
            </w:r>
          </w:p>
        </w:tc>
      </w:tr>
      <w:tr>
        <w:trPr/>
        <w:tc>
          <w:tcPr>
            <w:tcW w:w="4082" w:type="dxa"/>
            <w:tcBorders/>
          </w:tcPr>
          <w:p>
            <w:pPr>
              <w:pStyle w:val="TableContents"/>
              <w:bidi w:val="0"/>
              <w:spacing w:before="0" w:after="283"/>
              <w:jc w:val="center"/>
              <w:rPr>
                <w:b/>
              </w:rPr>
            </w:pPr>
            <w:r>
              <w:rPr>
                <w:b/>
              </w:rPr>
              <w:t>Mr. Robin Yanhong Li</w:t>
            </w:r>
          </w:p>
        </w:tc>
      </w:tr>
      <w:tr>
        <w:trPr/>
        <w:tc>
          <w:tcPr>
            <w:tcW w:w="4082" w:type="dxa"/>
            <w:tcBorders/>
          </w:tcPr>
          <w:p>
            <w:pPr>
              <w:pStyle w:val="TableContents"/>
              <w:bidi w:val="0"/>
              <w:spacing w:before="0" w:after="0"/>
              <w:jc w:val="center"/>
              <w:rPr>
                <w:rFonts w:ascii="Times New Roman" w:hAnsi="Times New Roman"/>
                <w:i/>
                <w:sz w:val="20"/>
              </w:rPr>
            </w:pPr>
            <w:r>
              <w:rPr>
                <w:rFonts w:ascii="Times New Roman" w:hAnsi="Times New Roman"/>
                <w:i/>
                <w:sz w:val="20"/>
              </w:rPr>
              <w:t>Chairman of the Board</w:t>
            </w:r>
          </w:p>
          <w:p>
            <w:pPr>
              <w:pStyle w:val="TableContents"/>
              <w:bidi w:val="0"/>
              <w:spacing w:before="0" w:after="20"/>
              <w:jc w:val="center"/>
              <w:rPr>
                <w:rFonts w:ascii="Times New Roman" w:hAnsi="Times New Roman"/>
                <w:i/>
                <w:sz w:val="20"/>
              </w:rPr>
            </w:pPr>
            <w:r>
              <w:rPr>
                <w:rFonts w:ascii="Times New Roman" w:hAnsi="Times New Roman"/>
                <w:i/>
                <w:sz w:val="20"/>
              </w:rPr>
              <w:t>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Hong Kong, August 27, 2026 </w:t>
      </w:r>
    </w:p>
    <w:p>
      <w:pPr>
        <w:pStyle w:val="TextBody"/>
        <w:bidi w:val="0"/>
        <w:spacing w:before="240" w:after="0"/>
        <w:jc w:val="left"/>
        <w:rPr>
          <w:rFonts w:ascii="Times New Roman" w:hAnsi="Times New Roman"/>
          <w:i/>
          <w:sz w:val="20"/>
        </w:rPr>
      </w:pPr>
      <w:r>
        <w:rPr>
          <w:rFonts w:ascii="Times New Roman" w:hAnsi="Times New Roman"/>
          <w:i/>
          <w:sz w:val="20"/>
        </w:rPr>
        <w:t xml:space="preserve">As at the date of this announcement, the board of directors of the Company comprises Mr. Robin Yanhong Li as director, and Mr. Yuanqing Yang, Mr. Jixun Foo, Ms. Sandy Ran Xu and Ms. Xiaodan Liu as independent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23597</Words>
  <Characters>117698</Characters>
  <CharactersWithSpaces>141430</CharactersWithSpaces>
  <Paragraphs>1405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