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5826d6k.htm"/>
      <w:bookmarkStart w:id="1" w:name="ksd12582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4"/>
        <w:gridCol w:w="682"/>
        <w:gridCol w:w="8669"/>
      </w:tblGrid>
      <w:tr>
        <w:trPr/>
        <w:tc>
          <w:tcPr>
            <w:tcW w:w="854"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8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82"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4" w:type="dxa"/>
            <w:tcBorders/>
            <w:vAlign w:val="center"/>
          </w:tcPr>
          <w:p>
            <w:pPr>
              <w:pStyle w:val="TableContents"/>
              <w:bidi w:val="0"/>
              <w:spacing w:before="0" w:after="283"/>
              <w:jc w:val="left"/>
              <w:rPr>
                <w:sz w:val="4"/>
                <w:szCs w:val="4"/>
              </w:rPr>
            </w:pPr>
            <w:r>
              <w:rPr>
                <w:sz w:val="4"/>
                <w:szCs w:val="4"/>
              </w:rPr>
            </w:r>
          </w:p>
        </w:tc>
        <w:tc>
          <w:tcPr>
            <w:tcW w:w="9351" w:type="dxa"/>
            <w:gridSpan w:val="2"/>
            <w:tcBorders/>
            <w:vAlign w:val="center"/>
          </w:tcPr>
          <w:p>
            <w:pPr>
              <w:pStyle w:val="TableContents"/>
              <w:bidi w:val="0"/>
              <w:spacing w:before="0" w:after="283"/>
              <w:jc w:val="left"/>
              <w:rPr>
                <w:sz w:val="4"/>
                <w:szCs w:val="4"/>
              </w:rPr>
            </w:pPr>
            <w:r>
              <w:rPr>
                <w:sz w:val="4"/>
                <w:szCs w:val="4"/>
              </w:rPr>
            </w:r>
          </w:p>
        </w:tc>
      </w:tr>
      <w:tr>
        <w:trPr/>
        <w:tc>
          <w:tcPr>
            <w:tcW w:w="854" w:type="dxa"/>
            <w:tcBorders/>
          </w:tcPr>
          <w:p>
            <w:pPr>
              <w:pStyle w:val="TableContents"/>
              <w:bidi w:val="0"/>
              <w:spacing w:before="0" w:after="283"/>
              <w:jc w:val="left"/>
              <w:rPr/>
            </w:pPr>
            <w:r>
              <w:rPr/>
              <w:t>99.1</w:t>
            </w:r>
          </w:p>
        </w:tc>
        <w:tc>
          <w:tcPr>
            <w:tcW w:w="682"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Next Day Disclosure Return, dated September 22,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9"/>
        <w:gridCol w:w="60"/>
        <w:gridCol w:w="3233"/>
      </w:tblGrid>
      <w:tr>
        <w:trPr/>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789" w:type="dxa"/>
            <w:tcBorders/>
            <w:vAlign w:val="center"/>
          </w:tcPr>
          <w:p>
            <w:pPr>
              <w:pStyle w:val="TableContents"/>
              <w:bidi w:val="0"/>
              <w:spacing w:before="0" w:after="283"/>
              <w:jc w:val="left"/>
              <w:rPr>
                <w:sz w:val="4"/>
                <w:szCs w:val="4"/>
              </w:rPr>
            </w:pPr>
            <w:r>
              <w:rPr>
                <w:sz w:val="4"/>
                <w:szCs w:val="4"/>
              </w:rPr>
            </w:r>
          </w:p>
        </w:tc>
        <w:tc>
          <w:tcPr>
            <w:tcW w:w="3293" w:type="dxa"/>
            <w:gridSpan w:val="2"/>
            <w:tcBorders/>
            <w:vAlign w:val="center"/>
          </w:tcPr>
          <w:p>
            <w:pPr>
              <w:pStyle w:val="TableContents"/>
              <w:bidi w:val="0"/>
              <w:spacing w:before="0" w:after="283"/>
              <w:jc w:val="left"/>
              <w:rPr>
                <w:sz w:val="4"/>
                <w:szCs w:val="4"/>
              </w:rPr>
            </w:pPr>
            <w:r>
              <w:rPr>
                <w:sz w:val="4"/>
                <w:szCs w:val="4"/>
              </w:rPr>
            </w:r>
          </w:p>
        </w:tc>
      </w:tr>
      <w:tr>
        <w:trPr/>
        <w:tc>
          <w:tcPr>
            <w:tcW w:w="789" w:type="dxa"/>
            <w:tcBorders/>
          </w:tcPr>
          <w:p>
            <w:pPr>
              <w:pStyle w:val="TableContents"/>
              <w:bidi w:val="0"/>
              <w:spacing w:before="0" w:after="283"/>
              <w:jc w:val="left"/>
              <w:rPr/>
            </w:pPr>
            <w:r>
              <w:rPr/>
              <w:t>By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Haijian He</w:t>
            </w:r>
          </w:p>
        </w:tc>
      </w:tr>
      <w:tr>
        <w:trPr/>
        <w:tc>
          <w:tcPr>
            <w:tcW w:w="789"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Haijian He</w:t>
            </w:r>
          </w:p>
        </w:tc>
      </w:tr>
      <w:tr>
        <w:trPr/>
        <w:tc>
          <w:tcPr>
            <w:tcW w:w="789" w:type="dxa"/>
            <w:tcBorders/>
          </w:tcPr>
          <w:p>
            <w:pPr>
              <w:pStyle w:val="TableContents"/>
              <w:bidi w:val="0"/>
              <w:spacing w:before="0" w:after="283"/>
              <w:jc w:val="left"/>
              <w:rPr/>
            </w:pPr>
            <w:r>
              <w:rPr/>
              <w:t>Title :</w:t>
            </w:r>
          </w:p>
        </w:tc>
        <w:tc>
          <w:tcPr>
            <w:tcW w:w="60"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23, 2026 </w:t>
      </w:r>
    </w:p>
    <w:p>
      <w:pPr>
        <w:pStyle w:val="TextBody"/>
        <w:bidi w:val="0"/>
        <w:spacing w:before="0" w:after="0"/>
        <w:jc w:val="center"/>
        <w:rPr/>
      </w:pPr>
      <w:bookmarkStart w:id="2" w:name="d125826dex991.htm"/>
      <w:bookmarkStart w:id="3" w:name="ksd125826dex991"/>
      <w:bookmarkEnd w:id="2"/>
      <w:bookmarkEnd w:id="3"/>
      <w:r>
        <w:rPr/>
        <w:drawing>
          <wp:inline distT="0" distB="0" distL="0" distR="0">
            <wp:extent cx="10256520" cy="7273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56520" cy="727329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Next Day Disclosure Return (Equity issuer—changes in issued shares or treasury shares, share buybacks and/or on-market sales of treasury shares) Instrument: Equity issuer Status: New Submission Name of Issuer: Baidu, Inc. Date Submitted: 22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09888 Description Class A Ordinary Shares Multi-counter stock code 89888 RMB Description A. Changes in issued shares or treasury shares Events Changes in issued shares (excluding treasury shares) Changes in treasury shares Issue/ selling price per share (Note 4) Total number of issued shares Number of issued shares (excluding treasury shares) As a % of existing number of issued shares (excluding treasury shares) before the relevant event (Note 3) Number of treasury shares Opening balance as at (Note 1) 21 September 2026 2,209,541,178 0 2,209,541,178 1). Other (please specify) See Part B Date of changes 22 September 2026 % Closing balance as at (Notes 5 and 6) 22 September 2026 2,209,541,178 0 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 09 September 2026 541,200 0.024 % HKD 92.383 4). Shares repurchased for cancellation but not yet cancelled Date of changes 10 September 2026 557,200 0.025 % HKD 89.7264 5). Shares repurchased for cancellation but not yet cancelled Date of changes 11 September 2026 560,200 0.025 % HKD 89.2402 6). Shares repurchased for cancellation but not yet cancelled Date of changes 14 September 2026 556,900 0.025 % HKD 89.7782 7). Shares repurchased for cancellation but not yet cancelled Date of changes 15 September 2026 556,100 0.025 % HKD 89.9088 8). Shares repurchased for cancellation but not yet cancelled Date of changes 16 September 2026 565,850 0.026 % HKD 88.3549 9). Shares repurchased for cancellation but not yet cancelled Date of changes 17 September 2026 575,300 0.026 % HKD 86.909 10). Shares repurchased for cancellation but not yet cancelled Date of changes 18 September 2026 561,000 0.025 % HKD 88.951 11). Shares repurchased for cancellation but not yet cancelled Date of changes 21 September 2026 560,000 0.025 % HKD 88.8202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12). Shares repurchased for cancellation but not yet cancelled Date of changes 22 September 2026 552,450 0.025 % HKD 90.4984 Remarks: The information contained herein under “Opening balance as at” is based on the closing balance of Class A ordinary shares as of September 21, 2026 as disclosed in the Next Day Disclosure Return submitted on September 21,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 all (if any) conditions contained in the formal letter granting listing of and permission to deal in the securities have been fulfilled; (iv) all the securities of each class are in all respects identical (Note 8);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context:—the securities are of the same nominal value with the same amount called up or paid up;—they are entitled to dividend/interest at the same rate and for the same period, so that at the next ensuing distribution, the dividend/interest payable per unit will amount to exactly the same sum (gross and net); and—they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Section II must also be completed by a listed issuer where it has made a repurchase of shares which is discloseable under Main Board Rule 10.06(4)(a) / GEM Rule 13.13(1). Repurchase report Section II 1. Class of shares Ordinary shares Type of shares A Listed on the Exchange Yes Stock code (if listed) 09888 Description Class A Ordinary Shares Multi-counter stock code 89888 RMB Description A. Repurchase report Number of shares Method of repurchase Repurchase price per share or Lowest repurchase Trading date repurchased (Note 1) highest repurchase price per price per share $ Aggregate price paid $ share $ 1). 22 September 2026 552,450 On the Exchange HKD 92.4 HKD 89.1 HKD 49,995,841.08 Total number of shares 552,450 Aggregate price paid $ HKD 49,995,841.08 repurchased Number of shares repurchased for 552,450 cancellation Number of shares repurchased for holding as treasury shares B. 1). Additional information for issuer who has a primary listing on the Exchange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6,685,350 0.245 % Up to 22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hereby confirm that the repurchases made on the Exchange set out in Part A above were made in accordance with the Main Board Rules / GEM Rules and that there have been no material changes to the particulars contained in the Explanatory Statement dated July 27,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1968</Words>
  <Characters>9928</Characters>
  <CharactersWithSpaces>11920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