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268605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Form 20-F</w:t>
      </w:r>
    </w:p>
    <w:p>
      <w:pPr>
        <w:spacing w:after="0" w:line="4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4"/>
          <w:szCs w:val="14"/>
          <w:u w:val="single" w:color="auto"/>
          <w:color w:val="auto"/>
        </w:rPr>
        <w:t>(Mark One)</w:t>
      </w:r>
    </w:p>
    <w:p>
      <w:pPr>
        <w:spacing w:after="0" w:line="53" w:lineRule="exact"/>
        <w:rPr>
          <w:sz w:val="24"/>
          <w:szCs w:val="24"/>
          <w:color w:val="auto"/>
        </w:rPr>
      </w:pPr>
    </w:p>
    <w:p>
      <w:pPr>
        <w:ind w:left="540" w:hanging="424"/>
        <w:spacing w:after="0"/>
        <w:tabs>
          <w:tab w:leader="none" w:pos="5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REGISTRATION STATEMENT PURSUANT TO SECTION 12(b) OR 12(g) OF THE SECURITIES EXCHANGE ACT OF 1934</w:t>
      </w:r>
    </w:p>
    <w:p>
      <w:pPr>
        <w:spacing w:after="0" w:line="68" w:lineRule="exact"/>
        <w:rPr>
          <w:rFonts w:ascii="MS PGothic" w:cs="MS PGothic" w:eastAsia="MS PGothic" w:hAnsi="MS PGothic"/>
          <w:sz w:val="14"/>
          <w:szCs w:val="14"/>
          <w:color w:val="auto"/>
        </w:rPr>
      </w:pPr>
    </w:p>
    <w:p>
      <w:pPr>
        <w:ind w:left="120"/>
        <w:spacing w:after="0"/>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or</w:t>
      </w:r>
    </w:p>
    <w:p>
      <w:pPr>
        <w:spacing w:after="0" w:line="39" w:lineRule="exact"/>
        <w:rPr>
          <w:rFonts w:ascii="MS PGothic" w:cs="MS PGothic" w:eastAsia="MS PGothic" w:hAnsi="MS PGothic"/>
          <w:sz w:val="14"/>
          <w:szCs w:val="14"/>
          <w:color w:val="auto"/>
        </w:rPr>
      </w:pPr>
    </w:p>
    <w:p>
      <w:pPr>
        <w:ind w:left="120"/>
        <w:spacing w:after="0" w:line="161" w:lineRule="exact"/>
        <w:rPr>
          <w:rFonts w:ascii="MS PGothic" w:cs="MS PGothic" w:eastAsia="MS PGothic" w:hAnsi="MS PGothic"/>
          <w:sz w:val="14"/>
          <w:szCs w:val="14"/>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b w:val="1"/>
          <w:bCs w:val="1"/>
          <w:color w:val="auto"/>
        </w:rPr>
        <w:t>ANNUAL REPORT PURSUANT TO SECTION 13 OR 15(d) OF THE SECURITIES EXCHANGE ACT OF 1934</w:t>
      </w:r>
    </w:p>
    <w:p>
      <w:pPr>
        <w:spacing w:after="0" w:line="84" w:lineRule="exact"/>
        <w:rPr>
          <w:rFonts w:ascii="MS PGothic" w:cs="MS PGothic" w:eastAsia="MS PGothic" w:hAnsi="MS PGothic"/>
          <w:sz w:val="14"/>
          <w:szCs w:val="14"/>
          <w:color w:val="auto"/>
        </w:rPr>
      </w:pPr>
    </w:p>
    <w:p>
      <w:pPr>
        <w:ind w:left="120" w:right="8260"/>
        <w:spacing w:after="0" w:line="310" w:lineRule="auto"/>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For the fiscal year ended December 31, 2025. or</w:t>
      </w:r>
    </w:p>
    <w:p>
      <w:pPr>
        <w:spacing w:after="0" w:line="16" w:lineRule="exact"/>
        <w:rPr>
          <w:rFonts w:ascii="MS PGothic" w:cs="MS PGothic" w:eastAsia="MS PGothic" w:hAnsi="MS PGothic"/>
          <w:sz w:val="14"/>
          <w:szCs w:val="14"/>
          <w:color w:val="auto"/>
        </w:rPr>
      </w:pPr>
    </w:p>
    <w:p>
      <w:pPr>
        <w:ind w:left="540" w:hanging="424"/>
        <w:spacing w:after="0"/>
        <w:tabs>
          <w:tab w:leader="none" w:pos="5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69" w:lineRule="exact"/>
        <w:rPr>
          <w:sz w:val="24"/>
          <w:szCs w:val="24"/>
          <w:color w:val="auto"/>
        </w:rPr>
      </w:pPr>
    </w:p>
    <w:p>
      <w:pPr>
        <w:ind w:left="120"/>
        <w:spacing w:after="0"/>
        <w:tabs>
          <w:tab w:leader="none" w:pos="2460" w:val="left"/>
        </w:tabs>
        <w:rPr>
          <w:sz w:val="20"/>
          <w:szCs w:val="20"/>
          <w:color w:val="auto"/>
        </w:rPr>
      </w:pPr>
      <w:r>
        <w:rPr>
          <w:rFonts w:ascii="Times New Roman" w:cs="Times New Roman" w:eastAsia="Times New Roman" w:hAnsi="Times New Roman"/>
          <w:sz w:val="14"/>
          <w:szCs w:val="14"/>
          <w:b w:val="1"/>
          <w:bCs w:val="1"/>
          <w:color w:val="auto"/>
        </w:rPr>
        <w:t xml:space="preserve">For the transition period from        </w:t>
        <w:tab/>
        <w:t xml:space="preserve">to        </w:t>
      </w:r>
    </w:p>
    <w:p>
      <w:pPr>
        <w:spacing w:after="0" w:line="5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55" w:lineRule="exact"/>
        <w:rPr>
          <w:sz w:val="24"/>
          <w:szCs w:val="24"/>
          <w:color w:val="auto"/>
        </w:rPr>
      </w:pPr>
    </w:p>
    <w:p>
      <w:pPr>
        <w:ind w:left="120" w:right="2900" w:hanging="4"/>
        <w:spacing w:after="0" w:line="322" w:lineRule="auto"/>
        <w:tabs>
          <w:tab w:leader="none" w:pos="552"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SHELL COMPANY REPORT PURSUANT TO SECTION 13 OR 15(d) OF THE SECURITIES EXCHANGE ACT OF 1934 Date of event requiring this shell company report</w:t>
      </w:r>
    </w:p>
    <w:p>
      <w:pPr>
        <w:ind w:left="120"/>
        <w:spacing w:after="0"/>
        <w:tabs>
          <w:tab w:leader="none" w:pos="2600" w:val="left"/>
        </w:tabs>
        <w:rPr>
          <w:sz w:val="20"/>
          <w:szCs w:val="20"/>
          <w:color w:val="auto"/>
        </w:rPr>
      </w:pPr>
      <w:r>
        <w:rPr>
          <w:rFonts w:ascii="Times New Roman" w:cs="Times New Roman" w:eastAsia="Times New Roman" w:hAnsi="Times New Roman"/>
          <w:sz w:val="14"/>
          <w:szCs w:val="14"/>
          <w:b w:val="1"/>
          <w:bCs w:val="1"/>
          <w:color w:val="auto"/>
        </w:rPr>
        <w:t xml:space="preserve">For the transition period from           </w:t>
        <w:tab/>
        <w:t xml:space="preserve">to           </w:t>
      </w:r>
    </w:p>
    <w:p>
      <w:pPr>
        <w:spacing w:after="0" w:line="4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5"/>
          <w:szCs w:val="15"/>
          <w:b w:val="1"/>
          <w:bCs w:val="1"/>
          <w:color w:val="auto"/>
        </w:rPr>
        <w:t>Commission file number: 000-51469</w:t>
      </w:r>
    </w:p>
    <w:p>
      <w:pPr>
        <w:spacing w:after="0" w:line="30"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36"/>
          <w:szCs w:val="36"/>
          <w:b w:val="1"/>
          <w:bCs w:val="1"/>
          <w:color w:val="auto"/>
        </w:rPr>
        <w:t>Baidu, Inc.</w:t>
      </w:r>
    </w:p>
    <w:p>
      <w:pPr>
        <w:spacing w:after="0" w:line="2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5"/>
          <w:szCs w:val="15"/>
          <w:b w:val="1"/>
          <w:bCs w:val="1"/>
          <w:color w:val="auto"/>
        </w:rPr>
        <w:t>(Exact name of Registrant as specified in its charter)</w:t>
      </w:r>
    </w:p>
    <w:p>
      <w:pPr>
        <w:jc w:val="center"/>
        <w:ind w:right="-139"/>
        <w:spacing w:after="0" w:line="217" w:lineRule="auto"/>
        <w:rPr>
          <w:sz w:val="20"/>
          <w:szCs w:val="20"/>
          <w:color w:val="auto"/>
        </w:rPr>
      </w:pPr>
      <w:r>
        <w:rPr>
          <w:rFonts w:ascii="Times New Roman" w:cs="Times New Roman" w:eastAsia="Times New Roman" w:hAnsi="Times New Roman"/>
          <w:sz w:val="15"/>
          <w:szCs w:val="15"/>
          <w:b w:val="1"/>
          <w:bCs w:val="1"/>
          <w:color w:val="auto"/>
        </w:rPr>
        <w:t>N/A</w:t>
      </w:r>
    </w:p>
    <w:p>
      <w:pPr>
        <w:jc w:val="center"/>
        <w:ind w:right="-139"/>
        <w:spacing w:after="0" w:line="230" w:lineRule="auto"/>
        <w:rPr>
          <w:sz w:val="20"/>
          <w:szCs w:val="20"/>
          <w:color w:val="auto"/>
        </w:rPr>
      </w:pPr>
      <w:r>
        <w:rPr>
          <w:rFonts w:ascii="Times New Roman" w:cs="Times New Roman" w:eastAsia="Times New Roman" w:hAnsi="Times New Roman"/>
          <w:sz w:val="14"/>
          <w:szCs w:val="14"/>
          <w:b w:val="1"/>
          <w:bCs w:val="1"/>
          <w:color w:val="auto"/>
        </w:rPr>
        <w:t>(Translation of Registrant’s name into English)</w:t>
      </w:r>
    </w:p>
    <w:p>
      <w:pPr>
        <w:jc w:val="center"/>
        <w:ind w:right="-139"/>
        <w:spacing w:after="0" w:line="218" w:lineRule="auto"/>
        <w:rPr>
          <w:sz w:val="20"/>
          <w:szCs w:val="20"/>
          <w:color w:val="auto"/>
        </w:rPr>
      </w:pPr>
      <w:r>
        <w:rPr>
          <w:rFonts w:ascii="Times New Roman" w:cs="Times New Roman" w:eastAsia="Times New Roman" w:hAnsi="Times New Roman"/>
          <w:sz w:val="15"/>
          <w:szCs w:val="15"/>
          <w:b w:val="1"/>
          <w:bCs w:val="1"/>
          <w:color w:val="auto"/>
        </w:rPr>
        <w:t>Cayman Islands</w:t>
      </w:r>
    </w:p>
    <w:p>
      <w:pPr>
        <w:jc w:val="center"/>
        <w:ind w:right="-139"/>
        <w:spacing w:after="0" w:line="229" w:lineRule="auto"/>
        <w:rPr>
          <w:sz w:val="20"/>
          <w:szCs w:val="20"/>
          <w:color w:val="auto"/>
        </w:rPr>
      </w:pPr>
      <w:r>
        <w:rPr>
          <w:rFonts w:ascii="Times New Roman" w:cs="Times New Roman" w:eastAsia="Times New Roman" w:hAnsi="Times New Roman"/>
          <w:sz w:val="14"/>
          <w:szCs w:val="14"/>
          <w:b w:val="1"/>
          <w:bCs w:val="1"/>
          <w:color w:val="auto"/>
        </w:rPr>
        <w:t>(Jurisdiction of incorporation or organization)</w:t>
      </w:r>
    </w:p>
    <w:p>
      <w:pPr>
        <w:jc w:val="center"/>
        <w:ind w:right="-139"/>
        <w:spacing w:after="0" w:line="226" w:lineRule="auto"/>
        <w:rPr>
          <w:sz w:val="20"/>
          <w:szCs w:val="20"/>
          <w:color w:val="auto"/>
        </w:rPr>
      </w:pPr>
      <w:r>
        <w:rPr>
          <w:rFonts w:ascii="Times New Roman" w:cs="Times New Roman" w:eastAsia="Times New Roman" w:hAnsi="Times New Roman"/>
          <w:sz w:val="15"/>
          <w:szCs w:val="15"/>
          <w:b w:val="1"/>
          <w:bCs w:val="1"/>
          <w:color w:val="auto"/>
        </w:rPr>
        <w:t>Baidu Campus</w:t>
      </w:r>
    </w:p>
    <w:p>
      <w:pPr>
        <w:jc w:val="center"/>
        <w:ind w:right="-139"/>
        <w:spacing w:after="0" w:line="225" w:lineRule="auto"/>
        <w:rPr>
          <w:sz w:val="20"/>
          <w:szCs w:val="20"/>
          <w:color w:val="auto"/>
        </w:rPr>
      </w:pPr>
      <w:r>
        <w:rPr>
          <w:rFonts w:ascii="Times New Roman" w:cs="Times New Roman" w:eastAsia="Times New Roman" w:hAnsi="Times New Roman"/>
          <w:sz w:val="15"/>
          <w:szCs w:val="15"/>
          <w:b w:val="1"/>
          <w:bCs w:val="1"/>
          <w:color w:val="auto"/>
        </w:rPr>
        <w:t>No. 10 Shangdi 10th Street</w:t>
      </w:r>
    </w:p>
    <w:p>
      <w:pPr>
        <w:jc w:val="center"/>
        <w:ind w:right="-139"/>
        <w:spacing w:after="0" w:line="225" w:lineRule="auto"/>
        <w:rPr>
          <w:sz w:val="20"/>
          <w:szCs w:val="20"/>
          <w:color w:val="auto"/>
        </w:rPr>
      </w:pPr>
      <w:r>
        <w:rPr>
          <w:rFonts w:ascii="Times New Roman" w:cs="Times New Roman" w:eastAsia="Times New Roman" w:hAnsi="Times New Roman"/>
          <w:sz w:val="15"/>
          <w:szCs w:val="15"/>
          <w:b w:val="1"/>
          <w:bCs w:val="1"/>
          <w:color w:val="auto"/>
        </w:rPr>
        <w:t>Haidian District, Beijing 100085</w:t>
      </w:r>
    </w:p>
    <w:p>
      <w:pPr>
        <w:jc w:val="center"/>
        <w:ind w:right="-139"/>
        <w:spacing w:after="0" w:line="226" w:lineRule="auto"/>
        <w:rPr>
          <w:sz w:val="20"/>
          <w:szCs w:val="20"/>
          <w:color w:val="auto"/>
        </w:rPr>
      </w:pPr>
      <w:r>
        <w:rPr>
          <w:rFonts w:ascii="Times New Roman" w:cs="Times New Roman" w:eastAsia="Times New Roman" w:hAnsi="Times New Roman"/>
          <w:sz w:val="15"/>
          <w:szCs w:val="15"/>
          <w:b w:val="1"/>
          <w:bCs w:val="1"/>
          <w:color w:val="auto"/>
        </w:rPr>
        <w:t>The People’s Republic of China</w:t>
      </w:r>
    </w:p>
    <w:p>
      <w:pPr>
        <w:jc w:val="center"/>
        <w:ind w:right="-139"/>
        <w:spacing w:after="0"/>
        <w:rPr>
          <w:sz w:val="20"/>
          <w:szCs w:val="20"/>
          <w:color w:val="auto"/>
        </w:rPr>
      </w:pPr>
      <w:r>
        <w:rPr>
          <w:rFonts w:ascii="Times New Roman" w:cs="Times New Roman" w:eastAsia="Times New Roman" w:hAnsi="Times New Roman"/>
          <w:sz w:val="15"/>
          <w:szCs w:val="15"/>
          <w:b w:val="1"/>
          <w:bCs w:val="1"/>
          <w:color w:val="auto"/>
        </w:rPr>
        <w:t>(Address of principal executive offices)</w:t>
      </w:r>
    </w:p>
    <w:p>
      <w:pPr>
        <w:spacing w:after="0" w:line="24"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5"/>
          <w:szCs w:val="15"/>
          <w:b w:val="1"/>
          <w:bCs w:val="1"/>
          <w:color w:val="auto"/>
        </w:rPr>
        <w:t>Haijian He, Chief Financial Officer</w:t>
      </w:r>
    </w:p>
    <w:p>
      <w:pPr>
        <w:jc w:val="center"/>
        <w:ind w:right="-139"/>
        <w:spacing w:after="0"/>
        <w:rPr>
          <w:sz w:val="20"/>
          <w:szCs w:val="20"/>
          <w:color w:val="auto"/>
        </w:rPr>
      </w:pPr>
      <w:r>
        <w:rPr>
          <w:rFonts w:ascii="Times New Roman" w:cs="Times New Roman" w:eastAsia="Times New Roman" w:hAnsi="Times New Roman"/>
          <w:sz w:val="15"/>
          <w:szCs w:val="15"/>
          <w:b w:val="1"/>
          <w:bCs w:val="1"/>
          <w:color w:val="auto"/>
        </w:rPr>
        <w:t>Telephone: +(86 10) 5992-8888</w:t>
      </w:r>
    </w:p>
    <w:p>
      <w:pPr>
        <w:jc w:val="center"/>
        <w:ind w:right="-139"/>
        <w:spacing w:after="0" w:line="225" w:lineRule="auto"/>
        <w:rPr>
          <w:sz w:val="20"/>
          <w:szCs w:val="20"/>
          <w:color w:val="auto"/>
        </w:rPr>
      </w:pPr>
      <w:r>
        <w:rPr>
          <w:rFonts w:ascii="Times New Roman" w:cs="Times New Roman" w:eastAsia="Times New Roman" w:hAnsi="Times New Roman"/>
          <w:sz w:val="15"/>
          <w:szCs w:val="15"/>
          <w:b w:val="1"/>
          <w:bCs w:val="1"/>
          <w:u w:val="single" w:color="auto"/>
          <w:color w:val="auto"/>
        </w:rPr>
        <w:t>Email: ir@baidu.com</w:t>
      </w:r>
    </w:p>
    <w:p>
      <w:pPr>
        <w:jc w:val="center"/>
        <w:ind w:right="-139"/>
        <w:spacing w:after="0" w:line="225" w:lineRule="auto"/>
        <w:rPr>
          <w:sz w:val="20"/>
          <w:szCs w:val="20"/>
          <w:color w:val="auto"/>
        </w:rPr>
      </w:pPr>
      <w:r>
        <w:rPr>
          <w:rFonts w:ascii="Times New Roman" w:cs="Times New Roman" w:eastAsia="Times New Roman" w:hAnsi="Times New Roman"/>
          <w:sz w:val="15"/>
          <w:szCs w:val="15"/>
          <w:b w:val="1"/>
          <w:bCs w:val="1"/>
          <w:color w:val="auto"/>
        </w:rPr>
        <w:t>Facsimile: +(86 10) 5992-0000</w:t>
      </w:r>
    </w:p>
    <w:p>
      <w:pPr>
        <w:jc w:val="center"/>
        <w:ind w:right="-139"/>
        <w:spacing w:after="0" w:line="226" w:lineRule="auto"/>
        <w:rPr>
          <w:sz w:val="20"/>
          <w:szCs w:val="20"/>
          <w:color w:val="auto"/>
        </w:rPr>
      </w:pPr>
      <w:r>
        <w:rPr>
          <w:rFonts w:ascii="Times New Roman" w:cs="Times New Roman" w:eastAsia="Times New Roman" w:hAnsi="Times New Roman"/>
          <w:sz w:val="15"/>
          <w:szCs w:val="15"/>
          <w:b w:val="1"/>
          <w:bCs w:val="1"/>
          <w:color w:val="auto"/>
        </w:rPr>
        <w:t>Baidu Campus</w:t>
      </w:r>
    </w:p>
    <w:p>
      <w:pPr>
        <w:jc w:val="center"/>
        <w:ind w:right="-139"/>
        <w:spacing w:after="0" w:line="225" w:lineRule="auto"/>
        <w:rPr>
          <w:sz w:val="20"/>
          <w:szCs w:val="20"/>
          <w:color w:val="auto"/>
        </w:rPr>
      </w:pPr>
      <w:r>
        <w:rPr>
          <w:rFonts w:ascii="Times New Roman" w:cs="Times New Roman" w:eastAsia="Times New Roman" w:hAnsi="Times New Roman"/>
          <w:sz w:val="15"/>
          <w:szCs w:val="15"/>
          <w:b w:val="1"/>
          <w:bCs w:val="1"/>
          <w:color w:val="auto"/>
        </w:rPr>
        <w:t>No. 10 Shangdi 10th Street,</w:t>
      </w:r>
    </w:p>
    <w:p>
      <w:pPr>
        <w:jc w:val="center"/>
        <w:ind w:right="-139"/>
        <w:spacing w:after="0" w:line="226" w:lineRule="auto"/>
        <w:rPr>
          <w:sz w:val="20"/>
          <w:szCs w:val="20"/>
          <w:color w:val="auto"/>
        </w:rPr>
      </w:pPr>
      <w:r>
        <w:rPr>
          <w:rFonts w:ascii="Times New Roman" w:cs="Times New Roman" w:eastAsia="Times New Roman" w:hAnsi="Times New Roman"/>
          <w:sz w:val="15"/>
          <w:szCs w:val="15"/>
          <w:b w:val="1"/>
          <w:bCs w:val="1"/>
          <w:color w:val="auto"/>
        </w:rPr>
        <w:t>Haidian District, Beijing 100085</w:t>
      </w:r>
    </w:p>
    <w:p>
      <w:pPr>
        <w:jc w:val="center"/>
        <w:ind w:right="-139"/>
        <w:spacing w:after="0" w:line="217" w:lineRule="auto"/>
        <w:rPr>
          <w:sz w:val="20"/>
          <w:szCs w:val="20"/>
          <w:color w:val="auto"/>
        </w:rPr>
      </w:pPr>
      <w:r>
        <w:rPr>
          <w:rFonts w:ascii="Times New Roman" w:cs="Times New Roman" w:eastAsia="Times New Roman" w:hAnsi="Times New Roman"/>
          <w:sz w:val="15"/>
          <w:szCs w:val="15"/>
          <w:b w:val="1"/>
          <w:bCs w:val="1"/>
          <w:color w:val="auto"/>
        </w:rPr>
        <w:t>The People’s Republic of China</w:t>
      </w:r>
    </w:p>
    <w:p>
      <w:pPr>
        <w:jc w:val="center"/>
        <w:ind w:right="-139"/>
        <w:spacing w:after="0" w:line="222" w:lineRule="auto"/>
        <w:rPr>
          <w:sz w:val="20"/>
          <w:szCs w:val="20"/>
          <w:color w:val="auto"/>
        </w:rPr>
      </w:pPr>
      <w:r>
        <w:rPr>
          <w:rFonts w:ascii="Times New Roman" w:cs="Times New Roman" w:eastAsia="Times New Roman" w:hAnsi="Times New Roman"/>
          <w:sz w:val="14"/>
          <w:szCs w:val="14"/>
          <w:b w:val="1"/>
          <w:bCs w:val="1"/>
          <w:color w:val="auto"/>
        </w:rPr>
        <w:t>(Name, Telephone, Email and/or Facsimile number and Address of Company Contact Person)</w:t>
      </w: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Securities registered or to be registered pursuant to Section 12(b) of the Act:</w:t>
      </w:r>
    </w:p>
    <w:p>
      <w:pPr>
        <w:spacing w:after="0" w:line="42" w:lineRule="exact"/>
        <w:rPr>
          <w:sz w:val="24"/>
          <w:szCs w:val="24"/>
          <w:color w:val="auto"/>
        </w:rPr>
      </w:pPr>
    </w:p>
    <w:tbl>
      <w:tblPr>
        <w:tblLayout w:type="fixed"/>
        <w:tblInd w:w="540" w:type="dxa"/>
        <w:tblCellMar>
          <w:top w:w="0" w:type="dxa"/>
          <w:left w:w="0" w:type="dxa"/>
          <w:bottom w:w="0" w:type="dxa"/>
          <w:right w:w="0" w:type="dxa"/>
        </w:tblCellMar>
      </w:tblPr>
      <w:tr>
        <w:trPr>
          <w:trHeight w:val="155"/>
        </w:trPr>
        <w:tc>
          <w:tcPr>
            <w:tcW w:w="1500" w:type="dxa"/>
            <w:vAlign w:val="bottom"/>
          </w:tcPr>
          <w:p>
            <w:pPr>
              <w:spacing w:after="0"/>
              <w:rPr>
                <w:sz w:val="13"/>
                <w:szCs w:val="13"/>
                <w:color w:val="auto"/>
              </w:rPr>
            </w:pPr>
          </w:p>
        </w:tc>
        <w:tc>
          <w:tcPr>
            <w:tcW w:w="3160" w:type="dxa"/>
            <w:vAlign w:val="bottom"/>
            <w:gridSpan w:val="2"/>
          </w:tcPr>
          <w:p>
            <w:pPr>
              <w:jc w:val="center"/>
              <w:ind w:right="2102"/>
              <w:spacing w:after="0"/>
              <w:rPr>
                <w:sz w:val="20"/>
                <w:szCs w:val="20"/>
                <w:color w:val="auto"/>
              </w:rPr>
            </w:pPr>
            <w:r>
              <w:rPr>
                <w:rFonts w:ascii="Times New Roman" w:cs="Times New Roman" w:eastAsia="Times New Roman" w:hAnsi="Times New Roman"/>
                <w:sz w:val="13"/>
                <w:szCs w:val="13"/>
                <w:b w:val="1"/>
                <w:bCs w:val="1"/>
                <w:color w:val="auto"/>
                <w:w w:val="95"/>
              </w:rPr>
              <w:t>Title of Each Class</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Trading Symbol</w:t>
            </w:r>
          </w:p>
        </w:tc>
        <w:tc>
          <w:tcPr>
            <w:tcW w:w="1420" w:type="dxa"/>
            <w:vAlign w:val="bottom"/>
          </w:tcPr>
          <w:p>
            <w:pPr>
              <w:spacing w:after="0"/>
              <w:rPr>
                <w:sz w:val="13"/>
                <w:szCs w:val="13"/>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Name of Each Exchange on Which Registered</w:t>
            </w:r>
          </w:p>
        </w:tc>
      </w:tr>
      <w:tr>
        <w:trPr>
          <w:trHeight w:val="108"/>
        </w:trPr>
        <w:tc>
          <w:tcPr>
            <w:tcW w:w="1500" w:type="dxa"/>
            <w:vAlign w:val="bottom"/>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American depositary shares</w:t>
            </w:r>
          </w:p>
        </w:tc>
        <w:tc>
          <w:tcPr>
            <w:tcW w:w="1000" w:type="dxa"/>
            <w:vAlign w:val="bottom"/>
            <w:tcBorders>
              <w:top w:val="single" w:sz="8" w:color="auto"/>
            </w:tcBorders>
          </w:tcPr>
          <w:p>
            <w:pPr>
              <w:ind w:left="20"/>
              <w:spacing w:after="0" w:line="109" w:lineRule="exact"/>
              <w:rPr>
                <w:sz w:val="20"/>
                <w:szCs w:val="20"/>
                <w:color w:val="auto"/>
              </w:rPr>
            </w:pPr>
            <w:r>
              <w:rPr>
                <w:rFonts w:ascii="Times New Roman" w:cs="Times New Roman" w:eastAsia="Times New Roman" w:hAnsi="Times New Roman"/>
                <w:sz w:val="12"/>
                <w:szCs w:val="12"/>
                <w:b w:val="1"/>
                <w:bCs w:val="1"/>
                <w:color w:val="auto"/>
              </w:rPr>
              <w:t>(each American</w:t>
            </w:r>
          </w:p>
        </w:tc>
        <w:tc>
          <w:tcPr>
            <w:tcW w:w="2160" w:type="dxa"/>
            <w:vAlign w:val="bottom"/>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depositary share representing</w:t>
            </w:r>
          </w:p>
        </w:tc>
        <w:tc>
          <w:tcPr>
            <w:tcW w:w="860" w:type="dxa"/>
            <w:vAlign w:val="bottom"/>
            <w:tcBorders>
              <w:top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w w:val="99"/>
              </w:rPr>
              <w:t>BIDU</w:t>
            </w:r>
          </w:p>
        </w:tc>
        <w:tc>
          <w:tcPr>
            <w:tcW w:w="1420" w:type="dxa"/>
            <w:vAlign w:val="bottom"/>
          </w:tcPr>
          <w:p>
            <w:pPr>
              <w:spacing w:after="0"/>
              <w:rPr>
                <w:sz w:val="9"/>
                <w:szCs w:val="9"/>
                <w:color w:val="auto"/>
              </w:rPr>
            </w:pPr>
          </w:p>
        </w:tc>
        <w:tc>
          <w:tcPr>
            <w:tcW w:w="2460" w:type="dxa"/>
            <w:vAlign w:val="bottom"/>
            <w:tcBorders>
              <w:top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The Nasdaq Stock Market LLC</w:t>
            </w:r>
          </w:p>
        </w:tc>
      </w:tr>
      <w:tr>
        <w:trPr>
          <w:trHeight w:val="148"/>
        </w:trPr>
        <w:tc>
          <w:tcPr>
            <w:tcW w:w="4660" w:type="dxa"/>
            <w:vAlign w:val="bottom"/>
            <w:gridSpan w:val="3"/>
          </w:tcPr>
          <w:p>
            <w:pPr>
              <w:jc w:val="center"/>
              <w:ind w:right="602"/>
              <w:spacing w:after="0"/>
              <w:rPr>
                <w:sz w:val="20"/>
                <w:szCs w:val="20"/>
                <w:color w:val="auto"/>
              </w:rPr>
            </w:pPr>
            <w:r>
              <w:rPr>
                <w:rFonts w:ascii="Times New Roman" w:cs="Times New Roman" w:eastAsia="Times New Roman" w:hAnsi="Times New Roman"/>
                <w:sz w:val="13"/>
                <w:szCs w:val="13"/>
                <w:b w:val="1"/>
                <w:bCs w:val="1"/>
                <w:color w:val="auto"/>
                <w:w w:val="96"/>
              </w:rPr>
              <w:t>eight Class A ordinary shares, par value US$0.000000625 per share)</w:t>
            </w:r>
          </w:p>
        </w:tc>
        <w:tc>
          <w:tcPr>
            <w:tcW w:w="8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(The Nasdaq Global Select Market)</w:t>
            </w:r>
          </w:p>
        </w:tc>
      </w:tr>
      <w:tr>
        <w:trPr>
          <w:trHeight w:val="135"/>
        </w:trPr>
        <w:tc>
          <w:tcPr>
            <w:tcW w:w="4660" w:type="dxa"/>
            <w:vAlign w:val="bottom"/>
            <w:gridSpan w:val="3"/>
          </w:tcPr>
          <w:p>
            <w:pPr>
              <w:jc w:val="center"/>
              <w:ind w:right="602"/>
              <w:spacing w:after="0" w:line="135" w:lineRule="exact"/>
              <w:rPr>
                <w:sz w:val="20"/>
                <w:szCs w:val="20"/>
                <w:color w:val="auto"/>
              </w:rPr>
            </w:pPr>
            <w:r>
              <w:rPr>
                <w:rFonts w:ascii="Times New Roman" w:cs="Times New Roman" w:eastAsia="Times New Roman" w:hAnsi="Times New Roman"/>
                <w:sz w:val="13"/>
                <w:szCs w:val="13"/>
                <w:b w:val="1"/>
                <w:bCs w:val="1"/>
                <w:color w:val="auto"/>
                <w:w w:val="96"/>
              </w:rPr>
              <w:t>Class A ordinary shares, par value US$0.000000625 per share*</w:t>
            </w:r>
          </w:p>
        </w:tc>
        <w:tc>
          <w:tcPr>
            <w:tcW w:w="8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4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The Nasdaq Stock Market LLC</w:t>
            </w:r>
          </w:p>
        </w:tc>
      </w:tr>
      <w:tr>
        <w:trPr>
          <w:trHeight w:val="148"/>
        </w:trPr>
        <w:tc>
          <w:tcPr>
            <w:tcW w:w="15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(The Nasdaq Global Select Market)</w:t>
            </w:r>
          </w:p>
        </w:tc>
      </w:tr>
      <w:tr>
        <w:trPr>
          <w:trHeight w:val="166"/>
        </w:trPr>
        <w:tc>
          <w:tcPr>
            <w:tcW w:w="4660" w:type="dxa"/>
            <w:vAlign w:val="bottom"/>
            <w:gridSpan w:val="3"/>
          </w:tcPr>
          <w:p>
            <w:pPr>
              <w:jc w:val="center"/>
              <w:ind w:right="602"/>
              <w:spacing w:after="0"/>
              <w:rPr>
                <w:sz w:val="20"/>
                <w:szCs w:val="20"/>
                <w:color w:val="auto"/>
              </w:rPr>
            </w:pPr>
            <w:r>
              <w:rPr>
                <w:rFonts w:ascii="Times New Roman" w:cs="Times New Roman" w:eastAsia="Times New Roman" w:hAnsi="Times New Roman"/>
                <w:sz w:val="13"/>
                <w:szCs w:val="13"/>
                <w:b w:val="1"/>
                <w:bCs w:val="1"/>
                <w:color w:val="auto"/>
                <w:w w:val="96"/>
              </w:rPr>
              <w:t>Class A ordinary shares, par value US$0.000000625 per share</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9888</w:t>
            </w:r>
          </w:p>
        </w:tc>
        <w:tc>
          <w:tcPr>
            <w:tcW w:w="1420" w:type="dxa"/>
            <w:vAlign w:val="bottom"/>
          </w:tcPr>
          <w:p>
            <w:pPr>
              <w:spacing w:after="0"/>
              <w:rPr>
                <w:sz w:val="14"/>
                <w:szCs w:val="14"/>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The Stock Exchange of Hong Kong Limited</w:t>
            </w:r>
          </w:p>
        </w:tc>
      </w:tr>
    </w:tbl>
    <w:p>
      <w:pPr>
        <w:spacing w:after="0" w:line="38" w:lineRule="exact"/>
        <w:rPr>
          <w:sz w:val="24"/>
          <w:szCs w:val="24"/>
          <w:color w:val="auto"/>
        </w:rPr>
      </w:pPr>
    </w:p>
    <w:p>
      <w:pPr>
        <w:ind w:left="440" w:hanging="324"/>
        <w:spacing w:after="0"/>
        <w:tabs>
          <w:tab w:leader="none" w:pos="44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Not for trading, but only in connection with the listing on The Nasdaq Global Select Market of American depositary shares.</w:t>
      </w:r>
    </w:p>
    <w:p>
      <w:pPr>
        <w:spacing w:after="0" w:line="3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3"/>
          <w:szCs w:val="13"/>
          <w:b w:val="1"/>
          <w:bCs w:val="1"/>
          <w:color w:val="auto"/>
        </w:rPr>
        <w:t>Securities registered or to be registered pursuant to Section 12(g) of the Act:</w:t>
      </w:r>
    </w:p>
    <w:p>
      <w:pPr>
        <w:spacing w:after="0" w:line="2"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3"/>
          <w:szCs w:val="13"/>
          <w:b w:val="1"/>
          <w:bCs w:val="1"/>
          <w:color w:val="auto"/>
        </w:rPr>
        <w:t>None</w:t>
      </w:r>
    </w:p>
    <w:p>
      <w:pPr>
        <w:spacing w:after="0" w:line="24"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3"/>
          <w:szCs w:val="13"/>
          <w:b w:val="1"/>
          <w:bCs w:val="1"/>
          <w:color w:val="auto"/>
        </w:rPr>
        <w:t>(Title of Class)</w:t>
      </w:r>
    </w:p>
    <w:p>
      <w:pPr>
        <w:spacing w:after="0" w:line="40"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3"/>
          <w:szCs w:val="13"/>
          <w:b w:val="1"/>
          <w:bCs w:val="1"/>
          <w:color w:val="auto"/>
        </w:rPr>
        <w:t>Securities for which there is a reporting obligation pursuant to Section 15(d) of the Act:</w:t>
      </w:r>
    </w:p>
    <w:p>
      <w:pPr>
        <w:spacing w:after="0" w:line="40"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3"/>
          <w:szCs w:val="13"/>
          <w:b w:val="1"/>
          <w:bCs w:val="1"/>
          <w:color w:val="auto"/>
        </w:rPr>
        <w:t>None</w:t>
      </w:r>
    </w:p>
    <w:p>
      <w:pPr>
        <w:spacing w:after="0" w:line="40"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3"/>
          <w:szCs w:val="13"/>
          <w:b w:val="1"/>
          <w:bCs w:val="1"/>
          <w:color w:val="auto"/>
        </w:rPr>
        <w:t>(Title of Class)</w:t>
      </w:r>
    </w:p>
    <w:p>
      <w:pPr>
        <w:spacing w:after="0" w:line="46" w:lineRule="exact"/>
        <w:rPr>
          <w:sz w:val="24"/>
          <w:szCs w:val="24"/>
          <w:color w:val="auto"/>
        </w:rPr>
      </w:pPr>
    </w:p>
    <w:p>
      <w:pPr>
        <w:ind w:left="120" w:right="240"/>
        <w:spacing w:after="0" w:line="256" w:lineRule="auto"/>
        <w:rPr>
          <w:sz w:val="20"/>
          <w:szCs w:val="20"/>
          <w:color w:val="auto"/>
        </w:rPr>
      </w:pPr>
      <w:r>
        <w:rPr>
          <w:rFonts w:ascii="Times New Roman" w:cs="Times New Roman" w:eastAsia="Times New Roman" w:hAnsi="Times New Roman"/>
          <w:sz w:val="11"/>
          <w:szCs w:val="11"/>
          <w:color w:val="auto"/>
        </w:rPr>
        <w:t>Indicate the number of outstanding shares of each of the Issuer’s classes of capital or common stock as of the close of the period covered by the annual report 2,197,993,760 Class A ordinary shares and 524,020,320 Class B ordinary shares, par value US$0.000000625 per share, as of December 31, 2025.</w:t>
      </w:r>
    </w:p>
    <w:p>
      <w:pPr>
        <w:spacing w:after="0" w:line="3" w:lineRule="exact"/>
        <w:rPr>
          <w:sz w:val="24"/>
          <w:szCs w:val="24"/>
          <w:color w:val="auto"/>
        </w:rPr>
      </w:pPr>
    </w:p>
    <w:p>
      <w:pPr>
        <w:ind w:left="120"/>
        <w:spacing w:after="0" w:line="127" w:lineRule="exact"/>
        <w:rPr>
          <w:sz w:val="20"/>
          <w:szCs w:val="20"/>
          <w:color w:val="auto"/>
        </w:rPr>
      </w:pPr>
      <w:r>
        <w:rPr>
          <w:rFonts w:ascii="Times New Roman" w:cs="Times New Roman" w:eastAsia="Times New Roman" w:hAnsi="Times New Roman"/>
          <w:sz w:val="11"/>
          <w:szCs w:val="11"/>
          <w:color w:val="auto"/>
        </w:rPr>
        <w:t xml:space="preserve">Indicate by check mark if the registrant is a well-known seasoned issuer, as defined in Rule 405 of the Securities Act. 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p>
    <w:p>
      <w:pPr>
        <w:spacing w:after="0" w:line="54" w:lineRule="exact"/>
        <w:rPr>
          <w:sz w:val="24"/>
          <w:szCs w:val="24"/>
          <w:color w:val="auto"/>
        </w:rPr>
      </w:pPr>
    </w:p>
    <w:p>
      <w:pPr>
        <w:ind w:left="120"/>
        <w:spacing w:after="0" w:line="127" w:lineRule="exact"/>
        <w:tabs>
          <w:tab w:leader="none" w:pos="8700" w:val="left"/>
        </w:tabs>
        <w:rPr>
          <w:sz w:val="20"/>
          <w:szCs w:val="20"/>
          <w:color w:val="auto"/>
        </w:rPr>
      </w:pPr>
      <w:r>
        <w:rPr>
          <w:rFonts w:ascii="Times New Roman" w:cs="Times New Roman" w:eastAsia="Times New Roman" w:hAnsi="Times New Roman"/>
          <w:sz w:val="11"/>
          <w:szCs w:val="11"/>
          <w:color w:val="auto"/>
        </w:rPr>
        <w:t xml:space="preserve">If this report is an annual or transition report, indicate by check mark if the registrant is not required to file reports pursuant to Section 13 or 15(d) of the Securities Exchange Act of 1934.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w:t>
      </w:r>
      <w:r>
        <w:rPr>
          <w:sz w:val="20"/>
          <w:szCs w:val="20"/>
          <w:color w:val="auto"/>
        </w:rPr>
        <w:tab/>
      </w:r>
      <w:r>
        <w:rPr>
          <w:rFonts w:ascii="Times New Roman" w:cs="Times New Roman" w:eastAsia="Times New Roman" w:hAnsi="Times New Roman"/>
          <w:sz w:val="9"/>
          <w:szCs w:val="9"/>
          <w:color w:val="auto"/>
        </w:rPr>
        <w:t xml:space="preserve">No  </w:t>
      </w:r>
      <w:r>
        <w:rPr>
          <w:rFonts w:ascii="MS PGothic" w:cs="MS PGothic" w:eastAsia="MS PGothic" w:hAnsi="MS PGothic"/>
          <w:sz w:val="9"/>
          <w:szCs w:val="9"/>
          <w:color w:val="auto"/>
        </w:rPr>
        <w:t>☒</w:t>
      </w:r>
    </w:p>
    <w:p>
      <w:pPr>
        <w:spacing w:after="0" w:line="68" w:lineRule="exact"/>
        <w:rPr>
          <w:sz w:val="24"/>
          <w:szCs w:val="24"/>
          <w:color w:val="auto"/>
        </w:rPr>
      </w:pPr>
    </w:p>
    <w:p>
      <w:pPr>
        <w:ind w:left="120"/>
        <w:spacing w:after="0" w:line="139"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p>
    <w:p>
      <w:pPr>
        <w:spacing w:after="0" w:line="20" w:lineRule="exact"/>
        <w:rPr>
          <w:sz w:val="24"/>
          <w:szCs w:val="24"/>
          <w:color w:val="auto"/>
        </w:rPr>
      </w:pPr>
    </w:p>
    <w:p>
      <w:pPr>
        <w:ind w:left="120" w:right="60"/>
        <w:spacing w:after="0" w:line="139"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has submitted electronically, if any,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p>
    <w:p>
      <w:pPr>
        <w:spacing w:after="0" w:line="20" w:lineRule="exact"/>
        <w:rPr>
          <w:sz w:val="24"/>
          <w:szCs w:val="24"/>
          <w:color w:val="auto"/>
        </w:rPr>
      </w:pPr>
    </w:p>
    <w:p>
      <w:pPr>
        <w:ind w:left="120"/>
        <w:spacing w:after="0" w:line="256" w:lineRule="auto"/>
        <w:rPr>
          <w:sz w:val="20"/>
          <w:szCs w:val="20"/>
          <w:color w:val="auto"/>
        </w:rPr>
      </w:pPr>
      <w:r>
        <w:rPr>
          <w:rFonts w:ascii="Times New Roman" w:cs="Times New Roman" w:eastAsia="Times New Roman" w:hAnsi="Times New Roman"/>
          <w:sz w:val="11"/>
          <w:szCs w:val="11"/>
          <w:color w:val="auto"/>
        </w:rPr>
        <w:t>Indicate by check mark whether the registrant is a large accelerated filer, an accelerated filer, a non-accelerated filer or an emerging growth company. See definition of “large accelerated filer,” “accelerated filer” “emerging growth company” in Rule 12b-2 of the Exchange Act.</w:t>
      </w:r>
    </w:p>
    <w:p>
      <w:pPr>
        <w:spacing w:after="0" w:line="17" w:lineRule="exact"/>
        <w:rPr>
          <w:sz w:val="24"/>
          <w:szCs w:val="24"/>
          <w:color w:val="auto"/>
        </w:rPr>
      </w:pPr>
    </w:p>
    <w:p>
      <w:pPr>
        <w:ind w:left="120"/>
        <w:spacing w:after="0" w:line="127" w:lineRule="exact"/>
        <w:tabs>
          <w:tab w:leader="none" w:pos="2880" w:val="left"/>
          <w:tab w:leader="none" w:pos="5620" w:val="left"/>
          <w:tab w:leader="none" w:pos="8480" w:val="left"/>
        </w:tabs>
        <w:rPr>
          <w:sz w:val="20"/>
          <w:szCs w:val="20"/>
          <w:color w:val="auto"/>
        </w:rPr>
      </w:pPr>
      <w:r>
        <w:rPr>
          <w:rFonts w:ascii="Times New Roman" w:cs="Times New Roman" w:eastAsia="Times New Roman" w:hAnsi="Times New Roman"/>
          <w:sz w:val="11"/>
          <w:szCs w:val="11"/>
          <w:color w:val="auto"/>
        </w:rPr>
        <w:t xml:space="preserve">Large accelerated filer  </w:t>
      </w:r>
      <w:r>
        <w:rPr>
          <w:rFonts w:ascii="MS PGothic" w:cs="MS PGothic" w:eastAsia="MS PGothic" w:hAnsi="MS PGothic"/>
          <w:sz w:val="11"/>
          <w:szCs w:val="11"/>
          <w:color w:val="auto"/>
        </w:rPr>
        <w:t>☒</w:t>
      </w:r>
      <w:r>
        <w:rPr>
          <w:sz w:val="20"/>
          <w:szCs w:val="20"/>
          <w:color w:val="auto"/>
        </w:rPr>
        <w:tab/>
      </w:r>
      <w:r>
        <w:rPr>
          <w:rFonts w:ascii="Times New Roman" w:cs="Times New Roman" w:eastAsia="Times New Roman" w:hAnsi="Times New Roman"/>
          <w:sz w:val="11"/>
          <w:szCs w:val="11"/>
          <w:color w:val="auto"/>
        </w:rPr>
        <w:t xml:space="preserve">Accelerated filer  </w:t>
      </w:r>
      <w:r>
        <w:rPr>
          <w:rFonts w:ascii="MS PGothic" w:cs="MS PGothic" w:eastAsia="MS PGothic" w:hAnsi="MS PGothic"/>
          <w:sz w:val="11"/>
          <w:szCs w:val="11"/>
          <w:color w:val="auto"/>
        </w:rPr>
        <w:t>☐</w:t>
      </w:r>
      <w:r>
        <w:rPr>
          <w:sz w:val="20"/>
          <w:szCs w:val="20"/>
          <w:color w:val="auto"/>
        </w:rPr>
        <w:tab/>
      </w:r>
      <w:r>
        <w:rPr>
          <w:rFonts w:ascii="Times New Roman" w:cs="Times New Roman" w:eastAsia="Times New Roman" w:hAnsi="Times New Roman"/>
          <w:sz w:val="11"/>
          <w:szCs w:val="11"/>
          <w:color w:val="auto"/>
        </w:rPr>
        <w:t xml:space="preserve">Non-accelerated filer  </w:t>
      </w:r>
      <w:r>
        <w:rPr>
          <w:rFonts w:ascii="MS PGothic" w:cs="MS PGothic" w:eastAsia="MS PGothic" w:hAnsi="MS PGothic"/>
          <w:sz w:val="11"/>
          <w:szCs w:val="11"/>
          <w:color w:val="auto"/>
        </w:rPr>
        <w:t>☐</w:t>
      </w:r>
      <w:r>
        <w:rPr>
          <w:sz w:val="20"/>
          <w:szCs w:val="20"/>
          <w:color w:val="auto"/>
        </w:rPr>
        <w:tab/>
      </w:r>
      <w:r>
        <w:rPr>
          <w:rFonts w:ascii="Times New Roman" w:cs="Times New Roman" w:eastAsia="Times New Roman" w:hAnsi="Times New Roman"/>
          <w:sz w:val="10"/>
          <w:szCs w:val="10"/>
          <w:color w:val="auto"/>
        </w:rPr>
        <w:t xml:space="preserve">Emerging growth company  </w:t>
      </w:r>
      <w:r>
        <w:rPr>
          <w:rFonts w:ascii="MS PGothic" w:cs="MS PGothic" w:eastAsia="MS PGothic" w:hAnsi="MS PGothic"/>
          <w:sz w:val="10"/>
          <w:szCs w:val="10"/>
          <w:color w:val="auto"/>
        </w:rPr>
        <w:t>☐</w:t>
      </w:r>
    </w:p>
    <w:p>
      <w:pPr>
        <w:spacing w:after="0" w:line="73" w:lineRule="exact"/>
        <w:rPr>
          <w:sz w:val="24"/>
          <w:szCs w:val="24"/>
          <w:color w:val="auto"/>
        </w:rPr>
      </w:pPr>
    </w:p>
    <w:p>
      <w:pPr>
        <w:ind w:left="120" w:right="20"/>
        <w:spacing w:after="0" w:line="139" w:lineRule="exact"/>
        <w:rPr>
          <w:sz w:val="20"/>
          <w:szCs w:val="20"/>
          <w:color w:val="auto"/>
        </w:rPr>
      </w:pPr>
      <w:r>
        <w:rPr>
          <w:rFonts w:ascii="Times New Roman" w:cs="Times New Roman" w:eastAsia="Times New Roman" w:hAnsi="Times New Roman"/>
          <w:sz w:val="11"/>
          <w:szCs w:val="11"/>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1"/>
          <w:szCs w:val="11"/>
          <w:color w:val="auto"/>
        </w:rPr>
        <w:t>☐</w:t>
      </w:r>
    </w:p>
    <w:p>
      <w:pPr>
        <w:spacing w:after="0" w:line="2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1"/>
          <w:szCs w:val="11"/>
          <w:color w:val="auto"/>
        </w:rPr>
        <w:t>† The term “new or revised financial accounting standard” refers to any update issued by the Financial Accounting Standards Board to its Accounting Standards Codification after April 5, 2012.</w:t>
      </w:r>
    </w:p>
    <w:p>
      <w:pPr>
        <w:spacing w:after="0" w:line="49" w:lineRule="exact"/>
        <w:rPr>
          <w:sz w:val="24"/>
          <w:szCs w:val="24"/>
          <w:color w:val="auto"/>
        </w:rPr>
      </w:pPr>
    </w:p>
    <w:p>
      <w:pPr>
        <w:ind w:left="120" w:right="100"/>
        <w:spacing w:after="0" w:line="139"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1"/>
          <w:szCs w:val="11"/>
          <w:color w:val="auto"/>
        </w:rPr>
        <w:t>☒</w:t>
      </w:r>
    </w:p>
    <w:p>
      <w:pPr>
        <w:spacing w:after="0" w:line="1" w:lineRule="exact"/>
        <w:rPr>
          <w:sz w:val="24"/>
          <w:szCs w:val="24"/>
          <w:color w:val="auto"/>
        </w:rPr>
      </w:pPr>
    </w:p>
    <w:p>
      <w:pPr>
        <w:ind w:left="120"/>
        <w:spacing w:after="0" w:line="127" w:lineRule="exact"/>
        <w:rPr>
          <w:sz w:val="20"/>
          <w:szCs w:val="20"/>
          <w:color w:val="auto"/>
        </w:rPr>
      </w:pPr>
      <w:r>
        <w:rPr>
          <w:rFonts w:ascii="Times New Roman" w:cs="Times New Roman" w:eastAsia="Times New Roman" w:hAnsi="Times New Roman"/>
          <w:sz w:val="11"/>
          <w:szCs w:val="11"/>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1"/>
          <w:szCs w:val="11"/>
          <w:color w:val="auto"/>
        </w:rPr>
        <w:t>☐</w:t>
      </w:r>
    </w:p>
    <w:p>
      <w:pPr>
        <w:spacing w:after="0" w:line="68" w:lineRule="exact"/>
        <w:rPr>
          <w:sz w:val="24"/>
          <w:szCs w:val="24"/>
          <w:color w:val="auto"/>
        </w:rPr>
      </w:pPr>
    </w:p>
    <w:p>
      <w:pPr>
        <w:ind w:left="120" w:right="360"/>
        <w:spacing w:after="0" w:line="139" w:lineRule="exact"/>
        <w:rPr>
          <w:sz w:val="20"/>
          <w:szCs w:val="20"/>
          <w:color w:val="auto"/>
        </w:rPr>
      </w:pPr>
      <w:r>
        <w:rPr>
          <w:rFonts w:ascii="Times New Roman" w:cs="Times New Roman" w:eastAsia="Times New Roman" w:hAnsi="Times New Roman"/>
          <w:sz w:val="11"/>
          <w:szCs w:val="11"/>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1"/>
          <w:szCs w:val="11"/>
          <w:color w:val="auto"/>
        </w:rPr>
        <w:t>☐</w:t>
      </w:r>
    </w:p>
    <w:p>
      <w:pPr>
        <w:sectPr>
          <w:pgSz w:w="11900" w:h="16838" w:orient="portrait"/>
          <w:cols w:equalWidth="0" w:num="1">
            <w:col w:w="11120"/>
          </w:cols>
          <w:pgMar w:left="320" w:top="225" w:right="459" w:bottom="1155" w:gutter="0" w:footer="0" w:header="0"/>
        </w:sectPr>
      </w:pPr>
    </w:p>
    <w:p>
      <w:pPr>
        <w:spacing w:after="0" w:line="2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1"/>
          <w:szCs w:val="11"/>
          <w:color w:val="auto"/>
        </w:rPr>
        <w:t>Indicate by check mark which basis of accounting the registrant has used to prepare the financial statements included in this filing:</w:t>
      </w:r>
    </w:p>
    <w:p>
      <w:pPr>
        <w:spacing w:after="0" w:line="43" w:lineRule="exact"/>
        <w:rPr>
          <w:sz w:val="24"/>
          <w:szCs w:val="24"/>
          <w:color w:val="auto"/>
        </w:rPr>
      </w:pPr>
    </w:p>
    <w:p>
      <w:pPr>
        <w:ind w:left="120"/>
        <w:spacing w:after="0" w:line="127" w:lineRule="exact"/>
        <w:tabs>
          <w:tab w:leader="none" w:pos="4120" w:val="left"/>
        </w:tabs>
        <w:rPr>
          <w:sz w:val="20"/>
          <w:szCs w:val="20"/>
          <w:color w:val="auto"/>
        </w:rPr>
      </w:pPr>
      <w:r>
        <w:rPr>
          <w:rFonts w:ascii="Times New Roman" w:cs="Times New Roman" w:eastAsia="Times New Roman" w:hAnsi="Times New Roman"/>
          <w:sz w:val="11"/>
          <w:szCs w:val="11"/>
          <w:color w:val="auto"/>
        </w:rPr>
        <w:t xml:space="preserve">U.S. GAAP  </w:t>
      </w:r>
      <w:r>
        <w:rPr>
          <w:rFonts w:ascii="MS PGothic" w:cs="MS PGothic" w:eastAsia="MS PGothic" w:hAnsi="MS PGothic"/>
          <w:sz w:val="11"/>
          <w:szCs w:val="11"/>
          <w:color w:val="auto"/>
        </w:rPr>
        <w:t>☒</w:t>
      </w:r>
      <w:r>
        <w:rPr>
          <w:sz w:val="20"/>
          <w:szCs w:val="20"/>
          <w:color w:val="auto"/>
        </w:rPr>
        <w:tab/>
      </w:r>
      <w:r>
        <w:rPr>
          <w:rFonts w:ascii="Times New Roman" w:cs="Times New Roman" w:eastAsia="Times New Roman" w:hAnsi="Times New Roman"/>
          <w:sz w:val="10"/>
          <w:szCs w:val="10"/>
          <w:color w:val="auto"/>
        </w:rPr>
        <w:t xml:space="preserve">International Financial Reporting Standards as issued by the International Accounting Standards Board  </w:t>
      </w: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br w:type="column"/>
      </w:r>
    </w:p>
    <w:p>
      <w:pPr>
        <w:spacing w:after="0" w:line="165" w:lineRule="exact"/>
        <w:rPr>
          <w:sz w:val="24"/>
          <w:szCs w:val="24"/>
          <w:color w:val="auto"/>
        </w:rPr>
      </w:pPr>
    </w:p>
    <w:p>
      <w:pPr>
        <w:spacing w:after="0" w:line="104" w:lineRule="exact"/>
        <w:rPr>
          <w:sz w:val="20"/>
          <w:szCs w:val="20"/>
          <w:color w:val="auto"/>
        </w:rPr>
      </w:pPr>
      <w:r>
        <w:rPr>
          <w:rFonts w:ascii="Times New Roman" w:cs="Times New Roman" w:eastAsia="Times New Roman" w:hAnsi="Times New Roman"/>
          <w:sz w:val="9"/>
          <w:szCs w:val="9"/>
          <w:color w:val="auto"/>
        </w:rPr>
        <w:t xml:space="preserve">Other  </w:t>
      </w:r>
      <w:r>
        <w:rPr>
          <w:rFonts w:ascii="MS PGothic" w:cs="MS PGothic" w:eastAsia="MS PGothic" w:hAnsi="MS PGothic"/>
          <w:sz w:val="9"/>
          <w:szCs w:val="9"/>
          <w:color w:val="auto"/>
        </w:rPr>
        <w:t>☐</w:t>
      </w:r>
    </w:p>
    <w:p>
      <w:pPr>
        <w:spacing w:after="0" w:line="96" w:lineRule="exact"/>
        <w:rPr>
          <w:sz w:val="24"/>
          <w:szCs w:val="24"/>
          <w:color w:val="auto"/>
        </w:rPr>
      </w:pPr>
    </w:p>
    <w:p>
      <w:pPr>
        <w:sectPr>
          <w:pgSz w:w="11900" w:h="16838" w:orient="portrait"/>
          <w:cols w:equalWidth="0" w:num="2">
            <w:col w:w="8740" w:space="220"/>
            <w:col w:w="2160"/>
          </w:cols>
          <w:pgMar w:left="320" w:top="225" w:right="459" w:bottom="1155" w:gutter="0" w:footer="0" w:header="0"/>
          <w:type w:val="continuous"/>
        </w:sectPr>
      </w:pPr>
    </w:p>
    <w:p>
      <w:pPr>
        <w:ind w:left="120"/>
        <w:spacing w:after="0"/>
        <w:rPr>
          <w:sz w:val="20"/>
          <w:szCs w:val="20"/>
          <w:color w:val="auto"/>
        </w:rPr>
      </w:pPr>
      <w:r>
        <w:rPr>
          <w:rFonts w:ascii="Times New Roman" w:cs="Times New Roman" w:eastAsia="Times New Roman" w:hAnsi="Times New Roman"/>
          <w:sz w:val="11"/>
          <w:szCs w:val="11"/>
          <w:color w:val="auto"/>
        </w:rPr>
        <w:t>If “Other” has been checked in response to the previous question, indicate by check mark which financial statement item the registrant has elected to follow.</w:t>
      </w:r>
    </w:p>
    <w:p>
      <w:pPr>
        <w:spacing w:after="0" w:line="29" w:lineRule="exact"/>
        <w:rPr>
          <w:sz w:val="24"/>
          <w:szCs w:val="24"/>
          <w:color w:val="auto"/>
        </w:rPr>
      </w:pPr>
    </w:p>
    <w:p>
      <w:pPr>
        <w:ind w:left="120"/>
        <w:spacing w:after="0" w:line="127" w:lineRule="exact"/>
        <w:rPr>
          <w:sz w:val="20"/>
          <w:szCs w:val="20"/>
          <w:color w:val="auto"/>
        </w:rPr>
      </w:pPr>
      <w:r>
        <w:rPr>
          <w:rFonts w:ascii="Times New Roman" w:cs="Times New Roman" w:eastAsia="Times New Roman" w:hAnsi="Times New Roman"/>
          <w:sz w:val="11"/>
          <w:szCs w:val="11"/>
          <w:color w:val="auto"/>
        </w:rPr>
        <w:t xml:space="preserve">Item 17  </w:t>
      </w:r>
      <w:r>
        <w:rPr>
          <w:rFonts w:ascii="MS PGothic" w:cs="MS PGothic" w:eastAsia="MS PGothic" w:hAnsi="MS PGothic"/>
          <w:sz w:val="11"/>
          <w:szCs w:val="11"/>
          <w:color w:val="auto"/>
        </w:rPr>
        <w:t>☐</w:t>
      </w:r>
    </w:p>
    <w:p>
      <w:pPr>
        <w:spacing w:after="0" w:line="50" w:lineRule="exact"/>
        <w:rPr>
          <w:sz w:val="24"/>
          <w:szCs w:val="24"/>
          <w:color w:val="auto"/>
        </w:rPr>
      </w:pPr>
    </w:p>
    <w:p>
      <w:pPr>
        <w:ind w:left="120"/>
        <w:spacing w:after="0" w:line="127" w:lineRule="exact"/>
        <w:rPr>
          <w:sz w:val="20"/>
          <w:szCs w:val="20"/>
          <w:color w:val="auto"/>
        </w:rPr>
      </w:pPr>
      <w:r>
        <w:rPr>
          <w:rFonts w:ascii="Times New Roman" w:cs="Times New Roman" w:eastAsia="Times New Roman" w:hAnsi="Times New Roman"/>
          <w:sz w:val="11"/>
          <w:szCs w:val="11"/>
          <w:color w:val="auto"/>
        </w:rPr>
        <w:t xml:space="preserve">Item 18  </w:t>
      </w:r>
      <w:r>
        <w:rPr>
          <w:rFonts w:ascii="MS PGothic" w:cs="MS PGothic" w:eastAsia="MS PGothic" w:hAnsi="MS PGothic"/>
          <w:sz w:val="11"/>
          <w:szCs w:val="11"/>
          <w:color w:val="auto"/>
        </w:rPr>
        <w:t>☐</w:t>
      </w:r>
    </w:p>
    <w:p>
      <w:pPr>
        <w:spacing w:after="0" w:line="49" w:lineRule="exact"/>
        <w:rPr>
          <w:sz w:val="24"/>
          <w:szCs w:val="24"/>
          <w:color w:val="auto"/>
        </w:rPr>
      </w:pPr>
    </w:p>
    <w:p>
      <w:pPr>
        <w:ind w:left="120"/>
        <w:spacing w:after="0" w:line="127" w:lineRule="exact"/>
        <w:rPr>
          <w:sz w:val="20"/>
          <w:szCs w:val="20"/>
          <w:color w:val="auto"/>
        </w:rPr>
      </w:pPr>
      <w:r>
        <w:rPr>
          <w:rFonts w:ascii="Times New Roman" w:cs="Times New Roman" w:eastAsia="Times New Roman" w:hAnsi="Times New Roman"/>
          <w:sz w:val="11"/>
          <w:szCs w:val="11"/>
          <w:color w:val="auto"/>
        </w:rPr>
        <w:t xml:space="preserve">If this is an annual report, indicate by check mark whether the registrant is a shell company (as defined in Rule 12b-2 of the Exchange Act). 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p>
    <w:p>
      <w:pPr>
        <w:spacing w:after="0" w:line="68"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1"/>
          <w:szCs w:val="11"/>
          <w:color w:val="auto"/>
        </w:rPr>
        <w:t>(APPLICABLE ONLY TO ISSUERS INVOLVED IN BANKRUPTCY PROCEEDINGS DURING THE PAST FIVE YEARS)</w:t>
      </w:r>
    </w:p>
    <w:p>
      <w:pPr>
        <w:spacing w:after="0" w:line="49" w:lineRule="exact"/>
        <w:rPr>
          <w:sz w:val="24"/>
          <w:szCs w:val="24"/>
          <w:color w:val="auto"/>
        </w:rPr>
      </w:pPr>
    </w:p>
    <w:p>
      <w:pPr>
        <w:ind w:left="120" w:right="80"/>
        <w:spacing w:after="0" w:line="139"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38735</wp:posOffset>
            </wp:positionV>
            <wp:extent cx="6995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81280</wp:posOffset>
            </wp:positionV>
            <wp:extent cx="6995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20"/>
          </w:cols>
          <w:pgMar w:left="320" w:top="225" w:right="459" w:bottom="1155"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48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40" w:type="dxa"/>
            <w:vAlign w:val="bottom"/>
          </w:tcPr>
          <w:p>
            <w:pPr>
              <w:spacing w:after="0"/>
              <w:rPr>
                <w:sz w:val="17"/>
                <w:szCs w:val="17"/>
                <w:color w:val="auto"/>
              </w:rPr>
            </w:pPr>
          </w:p>
        </w:tc>
      </w:tr>
      <w:tr>
        <w:trPr>
          <w:trHeight w:val="547"/>
        </w:trPr>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20" w:type="dxa"/>
            <w:vAlign w:val="bottom"/>
            <w:gridSpan w:val="12"/>
          </w:tcPr>
          <w:p>
            <w:pPr>
              <w:ind w:left="1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04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136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8"/>
              </w:rPr>
              <w:t>INTRODUCTION</w:t>
            </w: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196"/>
        </w:trPr>
        <w:tc>
          <w:tcPr>
            <w:tcW w:w="120" w:type="dxa"/>
            <w:vAlign w:val="bottom"/>
          </w:tcPr>
          <w:p>
            <w:pPr>
              <w:spacing w:after="0"/>
              <w:rPr>
                <w:sz w:val="17"/>
                <w:szCs w:val="17"/>
                <w:color w:val="auto"/>
              </w:rPr>
            </w:pPr>
          </w:p>
        </w:tc>
        <w:tc>
          <w:tcPr>
            <w:tcW w:w="8920" w:type="dxa"/>
            <w:vAlign w:val="bottom"/>
            <w:gridSpan w:val="40"/>
          </w:tcPr>
          <w:p>
            <w:pPr>
              <w:spacing w:after="0" w:line="196" w:lineRule="exact"/>
              <w:rPr>
                <w:sz w:val="20"/>
                <w:szCs w:val="20"/>
                <w:color w:val="auto"/>
              </w:rPr>
            </w:pPr>
            <w:r>
              <w:rPr>
                <w:rFonts w:ascii="Times New Roman" w:cs="Times New Roman" w:eastAsia="Times New Roman" w:hAnsi="Times New Roman"/>
                <w:sz w:val="18"/>
                <w:szCs w:val="18"/>
                <w:color w:val="0000EE"/>
              </w:rPr>
              <w:t>FORWARD-LOOKING INFORMATION</w:t>
            </w:r>
          </w:p>
        </w:tc>
        <w:tc>
          <w:tcPr>
            <w:tcW w:w="2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196"/>
        </w:trPr>
        <w:tc>
          <w:tcPr>
            <w:tcW w:w="120" w:type="dxa"/>
            <w:vAlign w:val="bottom"/>
          </w:tcPr>
          <w:p>
            <w:pPr>
              <w:spacing w:after="0"/>
              <w:rPr>
                <w:sz w:val="17"/>
                <w:szCs w:val="17"/>
                <w:color w:val="auto"/>
              </w:rPr>
            </w:pPr>
          </w:p>
        </w:tc>
        <w:tc>
          <w:tcPr>
            <w:tcW w:w="40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6"/>
              </w:rPr>
              <w:t>Part I</w:t>
            </w:r>
          </w:p>
        </w:tc>
        <w:tc>
          <w:tcPr>
            <w:tcW w:w="960" w:type="dxa"/>
            <w:vAlign w:val="bottom"/>
            <w:tcBorders>
              <w:top w:val="single" w:sz="8" w:color="0000EE"/>
            </w:tcBorders>
            <w:gridSpan w:val="5"/>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196"/>
        </w:trPr>
        <w:tc>
          <w:tcPr>
            <w:tcW w:w="12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080" w:type="dxa"/>
            <w:vAlign w:val="bottom"/>
            <w:gridSpan w:val="6"/>
          </w:tcPr>
          <w:p>
            <w:pPr>
              <w:ind w:left="80"/>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160" w:type="dxa"/>
            <w:vAlign w:val="bottom"/>
          </w:tcPr>
          <w:p>
            <w:pPr>
              <w:spacing w:after="0"/>
              <w:rPr>
                <w:sz w:val="17"/>
                <w:szCs w:val="17"/>
                <w:color w:val="auto"/>
              </w:rPr>
            </w:pPr>
          </w:p>
        </w:tc>
        <w:tc>
          <w:tcPr>
            <w:tcW w:w="740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Identity of Directors, Senior Management and Advisers</w:t>
            </w:r>
          </w:p>
        </w:tc>
        <w:tc>
          <w:tcPr>
            <w:tcW w:w="2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196"/>
        </w:trPr>
        <w:tc>
          <w:tcPr>
            <w:tcW w:w="12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080" w:type="dxa"/>
            <w:vAlign w:val="bottom"/>
            <w:gridSpan w:val="6"/>
          </w:tcPr>
          <w:p>
            <w:pPr>
              <w:ind w:left="80"/>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160" w:type="dxa"/>
            <w:vAlign w:val="bottom"/>
          </w:tcPr>
          <w:p>
            <w:pPr>
              <w:spacing w:after="0"/>
              <w:rPr>
                <w:sz w:val="17"/>
                <w:szCs w:val="17"/>
                <w:color w:val="auto"/>
              </w:rPr>
            </w:pPr>
          </w:p>
        </w:tc>
        <w:tc>
          <w:tcPr>
            <w:tcW w:w="2880" w:type="dxa"/>
            <w:vAlign w:val="bottom"/>
            <w:tcBorders>
              <w:top w:val="single" w:sz="8" w:color="0000EE"/>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9"/>
              </w:rPr>
              <w:t>Offer Statistics and Expected Timetable</w:t>
            </w:r>
          </w:p>
        </w:tc>
        <w:tc>
          <w:tcPr>
            <w:tcW w:w="1120" w:type="dxa"/>
            <w:vAlign w:val="bottom"/>
            <w:tcBorders>
              <w:top w:val="single" w:sz="8" w:color="0000EE"/>
            </w:tcBorders>
            <w:gridSpan w:val="6"/>
          </w:tcPr>
          <w:p>
            <w:pPr>
              <w:spacing w:after="0"/>
              <w:rPr>
                <w:sz w:val="17"/>
                <w:szCs w:val="17"/>
                <w:color w:val="auto"/>
              </w:rPr>
            </w:pPr>
          </w:p>
        </w:tc>
        <w:tc>
          <w:tcPr>
            <w:tcW w:w="3400" w:type="dxa"/>
            <w:vAlign w:val="bottom"/>
            <w:gridSpan w:val="6"/>
          </w:tcPr>
          <w:p>
            <w:pPr>
              <w:spacing w:after="0"/>
              <w:rPr>
                <w:sz w:val="17"/>
                <w:szCs w:val="17"/>
                <w:color w:val="auto"/>
              </w:rPr>
            </w:pPr>
          </w:p>
        </w:tc>
        <w:tc>
          <w:tcPr>
            <w:tcW w:w="2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196"/>
        </w:trPr>
        <w:tc>
          <w:tcPr>
            <w:tcW w:w="12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080" w:type="dxa"/>
            <w:vAlign w:val="bottom"/>
            <w:gridSpan w:val="6"/>
          </w:tcPr>
          <w:p>
            <w:pPr>
              <w:ind w:left="80"/>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160" w:type="dxa"/>
            <w:vAlign w:val="bottom"/>
          </w:tcPr>
          <w:p>
            <w:pPr>
              <w:spacing w:after="0"/>
              <w:rPr>
                <w:sz w:val="17"/>
                <w:szCs w:val="17"/>
                <w:color w:val="auto"/>
              </w:rPr>
            </w:pPr>
          </w:p>
        </w:tc>
        <w:tc>
          <w:tcPr>
            <w:tcW w:w="740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Key Information</w:t>
            </w:r>
          </w:p>
        </w:tc>
        <w:tc>
          <w:tcPr>
            <w:tcW w:w="2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20"/>
        </w:trPr>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080" w:type="dxa"/>
            <w:vAlign w:val="bottom"/>
            <w:gridSpan w:val="6"/>
          </w:tcPr>
          <w:p>
            <w:pPr>
              <w:ind w:left="80"/>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160" w:type="dxa"/>
            <w:vAlign w:val="bottom"/>
          </w:tcPr>
          <w:p>
            <w:pPr>
              <w:spacing w:after="0"/>
              <w:rPr>
                <w:sz w:val="17"/>
                <w:szCs w:val="17"/>
                <w:color w:val="auto"/>
              </w:rPr>
            </w:pPr>
          </w:p>
        </w:tc>
        <w:tc>
          <w:tcPr>
            <w:tcW w:w="210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Information on the Company</w:t>
            </w:r>
          </w:p>
        </w:tc>
        <w:tc>
          <w:tcPr>
            <w:tcW w:w="5300" w:type="dxa"/>
            <w:vAlign w:val="bottom"/>
            <w:gridSpan w:val="15"/>
          </w:tcPr>
          <w:p>
            <w:pPr>
              <w:spacing w:after="0"/>
              <w:rPr>
                <w:sz w:val="17"/>
                <w:szCs w:val="17"/>
                <w:color w:val="auto"/>
              </w:rPr>
            </w:pPr>
          </w:p>
        </w:tc>
        <w:tc>
          <w:tcPr>
            <w:tcW w:w="2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84</w:t>
            </w:r>
          </w:p>
        </w:tc>
      </w:tr>
      <w:tr>
        <w:trPr>
          <w:trHeight w:val="196"/>
        </w:trPr>
        <w:tc>
          <w:tcPr>
            <w:tcW w:w="12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080" w:type="dxa"/>
            <w:vAlign w:val="bottom"/>
            <w:gridSpan w:val="6"/>
          </w:tcPr>
          <w:p>
            <w:pPr>
              <w:ind w:left="80"/>
              <w:spacing w:after="0" w:line="196" w:lineRule="exact"/>
              <w:rPr>
                <w:sz w:val="20"/>
                <w:szCs w:val="20"/>
                <w:color w:val="auto"/>
              </w:rPr>
            </w:pPr>
            <w:r>
              <w:rPr>
                <w:rFonts w:ascii="Times New Roman" w:cs="Times New Roman" w:eastAsia="Times New Roman" w:hAnsi="Times New Roman"/>
                <w:sz w:val="18"/>
                <w:szCs w:val="18"/>
                <w:color w:val="auto"/>
              </w:rPr>
              <w:t>Item 4A.</w:t>
            </w:r>
          </w:p>
        </w:tc>
        <w:tc>
          <w:tcPr>
            <w:tcW w:w="160" w:type="dxa"/>
            <w:vAlign w:val="bottom"/>
          </w:tcPr>
          <w:p>
            <w:pPr>
              <w:spacing w:after="0"/>
              <w:rPr>
                <w:sz w:val="17"/>
                <w:szCs w:val="17"/>
                <w:color w:val="auto"/>
              </w:rPr>
            </w:pPr>
          </w:p>
        </w:tc>
        <w:tc>
          <w:tcPr>
            <w:tcW w:w="740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Unresolved Staff Comments</w:t>
            </w:r>
          </w:p>
        </w:tc>
        <w:tc>
          <w:tcPr>
            <w:tcW w:w="2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143</w:t>
            </w:r>
          </w:p>
        </w:tc>
      </w:tr>
      <w:tr>
        <w:trPr>
          <w:trHeight w:val="20"/>
        </w:trPr>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080" w:type="dxa"/>
            <w:vAlign w:val="bottom"/>
            <w:gridSpan w:val="6"/>
          </w:tcPr>
          <w:p>
            <w:pPr>
              <w:ind w:left="80"/>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160" w:type="dxa"/>
            <w:vAlign w:val="bottom"/>
          </w:tcPr>
          <w:p>
            <w:pPr>
              <w:spacing w:after="0"/>
              <w:rPr>
                <w:sz w:val="17"/>
                <w:szCs w:val="17"/>
                <w:color w:val="auto"/>
              </w:rPr>
            </w:pPr>
          </w:p>
        </w:tc>
        <w:tc>
          <w:tcPr>
            <w:tcW w:w="338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9"/>
              </w:rPr>
              <w:t>Operating and Financial Review and Prospects</w:t>
            </w:r>
          </w:p>
        </w:tc>
        <w:tc>
          <w:tcPr>
            <w:tcW w:w="4020" w:type="dxa"/>
            <w:vAlign w:val="bottom"/>
            <w:gridSpan w:val="10"/>
          </w:tcPr>
          <w:p>
            <w:pPr>
              <w:spacing w:after="0"/>
              <w:rPr>
                <w:sz w:val="17"/>
                <w:szCs w:val="17"/>
                <w:color w:val="auto"/>
              </w:rPr>
            </w:pPr>
          </w:p>
        </w:tc>
        <w:tc>
          <w:tcPr>
            <w:tcW w:w="2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144</w:t>
            </w:r>
          </w:p>
        </w:tc>
      </w:tr>
      <w:tr>
        <w:trPr>
          <w:trHeight w:val="196"/>
        </w:trPr>
        <w:tc>
          <w:tcPr>
            <w:tcW w:w="12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080" w:type="dxa"/>
            <w:vAlign w:val="bottom"/>
            <w:gridSpan w:val="6"/>
          </w:tcPr>
          <w:p>
            <w:pPr>
              <w:ind w:left="80"/>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160" w:type="dxa"/>
            <w:vAlign w:val="bottom"/>
          </w:tcPr>
          <w:p>
            <w:pPr>
              <w:spacing w:after="0"/>
              <w:rPr>
                <w:sz w:val="17"/>
                <w:szCs w:val="17"/>
                <w:color w:val="auto"/>
              </w:rPr>
            </w:pPr>
          </w:p>
        </w:tc>
        <w:tc>
          <w:tcPr>
            <w:tcW w:w="740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Directors, Senior Management and Employees</w:t>
            </w:r>
          </w:p>
        </w:tc>
        <w:tc>
          <w:tcPr>
            <w:tcW w:w="2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171</w:t>
            </w:r>
          </w:p>
        </w:tc>
      </w:tr>
      <w:tr>
        <w:trPr>
          <w:trHeight w:val="20"/>
        </w:trPr>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080" w:type="dxa"/>
            <w:vAlign w:val="bottom"/>
            <w:gridSpan w:val="6"/>
          </w:tcPr>
          <w:p>
            <w:pPr>
              <w:ind w:left="80"/>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160" w:type="dxa"/>
            <w:vAlign w:val="bottom"/>
          </w:tcPr>
          <w:p>
            <w:pPr>
              <w:spacing w:after="0"/>
              <w:rPr>
                <w:sz w:val="17"/>
                <w:szCs w:val="17"/>
                <w:color w:val="auto"/>
              </w:rPr>
            </w:pPr>
          </w:p>
        </w:tc>
        <w:tc>
          <w:tcPr>
            <w:tcW w:w="740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Major Shareholders and Related Party Transactions</w:t>
            </w:r>
          </w:p>
        </w:tc>
        <w:tc>
          <w:tcPr>
            <w:tcW w:w="2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183</w:t>
            </w:r>
          </w:p>
        </w:tc>
      </w:tr>
      <w:tr>
        <w:trPr>
          <w:trHeight w:val="196"/>
        </w:trPr>
        <w:tc>
          <w:tcPr>
            <w:tcW w:w="12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080" w:type="dxa"/>
            <w:vAlign w:val="bottom"/>
            <w:gridSpan w:val="6"/>
          </w:tcPr>
          <w:p>
            <w:pPr>
              <w:ind w:left="80"/>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160" w:type="dxa"/>
            <w:vAlign w:val="bottom"/>
          </w:tcPr>
          <w:p>
            <w:pPr>
              <w:spacing w:after="0"/>
              <w:rPr>
                <w:sz w:val="17"/>
                <w:szCs w:val="17"/>
                <w:color w:val="auto"/>
              </w:rPr>
            </w:pPr>
          </w:p>
        </w:tc>
        <w:tc>
          <w:tcPr>
            <w:tcW w:w="1600" w:type="dxa"/>
            <w:vAlign w:val="bottom"/>
            <w:tcBorders>
              <w:top w:val="single" w:sz="8" w:color="0000EE"/>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Financial Information</w:t>
            </w:r>
          </w:p>
        </w:tc>
        <w:tc>
          <w:tcPr>
            <w:tcW w:w="2100" w:type="dxa"/>
            <w:vAlign w:val="bottom"/>
            <w:tcBorders>
              <w:top w:val="single" w:sz="8" w:color="0000EE"/>
            </w:tcBorders>
            <w:gridSpan w:val="14"/>
          </w:tcPr>
          <w:p>
            <w:pPr>
              <w:spacing w:after="0"/>
              <w:rPr>
                <w:sz w:val="17"/>
                <w:szCs w:val="17"/>
                <w:color w:val="auto"/>
              </w:rPr>
            </w:pPr>
          </w:p>
        </w:tc>
        <w:tc>
          <w:tcPr>
            <w:tcW w:w="3700" w:type="dxa"/>
            <w:vAlign w:val="bottom"/>
            <w:gridSpan w:val="8"/>
          </w:tcPr>
          <w:p>
            <w:pPr>
              <w:spacing w:after="0"/>
              <w:rPr>
                <w:sz w:val="17"/>
                <w:szCs w:val="17"/>
                <w:color w:val="auto"/>
              </w:rPr>
            </w:pPr>
          </w:p>
        </w:tc>
        <w:tc>
          <w:tcPr>
            <w:tcW w:w="2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184</w:t>
            </w:r>
          </w:p>
        </w:tc>
      </w:tr>
      <w:tr>
        <w:trPr>
          <w:trHeight w:val="196"/>
        </w:trPr>
        <w:tc>
          <w:tcPr>
            <w:tcW w:w="12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080" w:type="dxa"/>
            <w:vAlign w:val="bottom"/>
            <w:gridSpan w:val="6"/>
          </w:tcPr>
          <w:p>
            <w:pPr>
              <w:ind w:left="80"/>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160" w:type="dxa"/>
            <w:vAlign w:val="bottom"/>
          </w:tcPr>
          <w:p>
            <w:pPr>
              <w:spacing w:after="0"/>
              <w:rPr>
                <w:sz w:val="17"/>
                <w:szCs w:val="17"/>
                <w:color w:val="auto"/>
              </w:rPr>
            </w:pPr>
          </w:p>
        </w:tc>
        <w:tc>
          <w:tcPr>
            <w:tcW w:w="158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The Offer and Listing</w:t>
            </w:r>
          </w:p>
        </w:tc>
        <w:tc>
          <w:tcPr>
            <w:tcW w:w="5820" w:type="dxa"/>
            <w:vAlign w:val="bottom"/>
            <w:gridSpan w:val="23"/>
          </w:tcPr>
          <w:p>
            <w:pPr>
              <w:spacing w:after="0"/>
              <w:rPr>
                <w:sz w:val="17"/>
                <w:szCs w:val="17"/>
                <w:color w:val="auto"/>
              </w:rPr>
            </w:pPr>
          </w:p>
        </w:tc>
        <w:tc>
          <w:tcPr>
            <w:tcW w:w="2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186</w:t>
            </w:r>
          </w:p>
        </w:tc>
      </w:tr>
      <w:tr>
        <w:trPr>
          <w:trHeight w:val="196"/>
        </w:trPr>
        <w:tc>
          <w:tcPr>
            <w:tcW w:w="12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080" w:type="dxa"/>
            <w:vAlign w:val="bottom"/>
            <w:gridSpan w:val="6"/>
          </w:tcPr>
          <w:p>
            <w:pPr>
              <w:ind w:left="80"/>
              <w:spacing w:after="0" w:line="196" w:lineRule="exact"/>
              <w:rPr>
                <w:sz w:val="20"/>
                <w:szCs w:val="20"/>
                <w:color w:val="auto"/>
              </w:rPr>
            </w:pPr>
            <w:r>
              <w:rPr>
                <w:rFonts w:ascii="Times New Roman" w:cs="Times New Roman" w:eastAsia="Times New Roman" w:hAnsi="Times New Roman"/>
                <w:sz w:val="18"/>
                <w:szCs w:val="18"/>
                <w:color w:val="auto"/>
              </w:rPr>
              <w:t>Item 10.</w:t>
            </w:r>
          </w:p>
        </w:tc>
        <w:tc>
          <w:tcPr>
            <w:tcW w:w="160" w:type="dxa"/>
            <w:vAlign w:val="bottom"/>
          </w:tcPr>
          <w:p>
            <w:pPr>
              <w:spacing w:after="0"/>
              <w:rPr>
                <w:sz w:val="17"/>
                <w:szCs w:val="17"/>
                <w:color w:val="auto"/>
              </w:rPr>
            </w:pPr>
          </w:p>
        </w:tc>
        <w:tc>
          <w:tcPr>
            <w:tcW w:w="168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Additional Information</w:t>
            </w:r>
          </w:p>
        </w:tc>
        <w:tc>
          <w:tcPr>
            <w:tcW w:w="5720" w:type="dxa"/>
            <w:vAlign w:val="bottom"/>
            <w:gridSpan w:val="20"/>
          </w:tcPr>
          <w:p>
            <w:pPr>
              <w:spacing w:after="0"/>
              <w:rPr>
                <w:sz w:val="17"/>
                <w:szCs w:val="17"/>
                <w:color w:val="auto"/>
              </w:rPr>
            </w:pPr>
          </w:p>
        </w:tc>
        <w:tc>
          <w:tcPr>
            <w:tcW w:w="2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186</w:t>
            </w:r>
          </w:p>
        </w:tc>
      </w:tr>
      <w:tr>
        <w:trPr>
          <w:trHeight w:val="196"/>
        </w:trPr>
        <w:tc>
          <w:tcPr>
            <w:tcW w:w="12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080" w:type="dxa"/>
            <w:vAlign w:val="bottom"/>
            <w:gridSpan w:val="6"/>
          </w:tcPr>
          <w:p>
            <w:pPr>
              <w:ind w:left="80"/>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160" w:type="dxa"/>
            <w:vAlign w:val="bottom"/>
          </w:tcPr>
          <w:p>
            <w:pPr>
              <w:spacing w:after="0"/>
              <w:rPr>
                <w:sz w:val="17"/>
                <w:szCs w:val="17"/>
                <w:color w:val="auto"/>
              </w:rPr>
            </w:pPr>
          </w:p>
        </w:tc>
        <w:tc>
          <w:tcPr>
            <w:tcW w:w="740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2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200</w:t>
            </w:r>
          </w:p>
        </w:tc>
      </w:tr>
      <w:tr>
        <w:trPr>
          <w:trHeight w:val="196"/>
        </w:trPr>
        <w:tc>
          <w:tcPr>
            <w:tcW w:w="12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080" w:type="dxa"/>
            <w:vAlign w:val="bottom"/>
            <w:gridSpan w:val="6"/>
          </w:tcPr>
          <w:p>
            <w:pPr>
              <w:ind w:left="80"/>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160" w:type="dxa"/>
            <w:vAlign w:val="bottom"/>
          </w:tcPr>
          <w:p>
            <w:pPr>
              <w:spacing w:after="0"/>
              <w:rPr>
                <w:sz w:val="17"/>
                <w:szCs w:val="17"/>
                <w:color w:val="auto"/>
              </w:rPr>
            </w:pPr>
          </w:p>
        </w:tc>
        <w:tc>
          <w:tcPr>
            <w:tcW w:w="4300" w:type="dxa"/>
            <w:vAlign w:val="bottom"/>
            <w:tcBorders>
              <w:top w:val="single" w:sz="8" w:color="0000EE"/>
            </w:tcBorders>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Description of Securities Other than Equity Securities</w:t>
            </w:r>
          </w:p>
        </w:tc>
        <w:tc>
          <w:tcPr>
            <w:tcW w:w="3100" w:type="dxa"/>
            <w:vAlign w:val="bottom"/>
            <w:gridSpan w:val="5"/>
          </w:tcPr>
          <w:p>
            <w:pPr>
              <w:spacing w:after="0"/>
              <w:rPr>
                <w:sz w:val="17"/>
                <w:szCs w:val="17"/>
                <w:color w:val="auto"/>
              </w:rPr>
            </w:pPr>
          </w:p>
        </w:tc>
        <w:tc>
          <w:tcPr>
            <w:tcW w:w="2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201</w:t>
            </w:r>
          </w:p>
        </w:tc>
      </w:tr>
      <w:tr>
        <w:trPr>
          <w:trHeight w:val="196"/>
        </w:trPr>
        <w:tc>
          <w:tcPr>
            <w:tcW w:w="120" w:type="dxa"/>
            <w:vAlign w:val="bottom"/>
          </w:tcPr>
          <w:p>
            <w:pPr>
              <w:spacing w:after="0"/>
              <w:rPr>
                <w:sz w:val="17"/>
                <w:szCs w:val="17"/>
                <w:color w:val="auto"/>
              </w:rPr>
            </w:pPr>
          </w:p>
        </w:tc>
        <w:tc>
          <w:tcPr>
            <w:tcW w:w="46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6"/>
              </w:rPr>
              <w:t>Part II</w:t>
            </w:r>
          </w:p>
        </w:tc>
        <w:tc>
          <w:tcPr>
            <w:tcW w:w="900" w:type="dxa"/>
            <w:vAlign w:val="bottom"/>
            <w:gridSpan w:val="4"/>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205</w:t>
            </w:r>
          </w:p>
        </w:tc>
      </w:tr>
      <w:tr>
        <w:trPr>
          <w:trHeight w:val="196"/>
        </w:trPr>
        <w:tc>
          <w:tcPr>
            <w:tcW w:w="12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080" w:type="dxa"/>
            <w:vAlign w:val="bottom"/>
            <w:gridSpan w:val="6"/>
          </w:tcPr>
          <w:p>
            <w:pPr>
              <w:ind w:left="80"/>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160" w:type="dxa"/>
            <w:vAlign w:val="bottom"/>
          </w:tcPr>
          <w:p>
            <w:pPr>
              <w:spacing w:after="0"/>
              <w:rPr>
                <w:sz w:val="17"/>
                <w:szCs w:val="17"/>
                <w:color w:val="auto"/>
              </w:rPr>
            </w:pPr>
          </w:p>
        </w:tc>
        <w:tc>
          <w:tcPr>
            <w:tcW w:w="740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Defaults, Dividend Arrearages and Delinquencies</w:t>
            </w:r>
          </w:p>
        </w:tc>
        <w:tc>
          <w:tcPr>
            <w:tcW w:w="2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205</w:t>
            </w:r>
          </w:p>
        </w:tc>
      </w:tr>
      <w:tr>
        <w:trPr>
          <w:trHeight w:val="20"/>
        </w:trPr>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4"/>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8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080" w:type="dxa"/>
            <w:vAlign w:val="bottom"/>
            <w:gridSpan w:val="6"/>
          </w:tcPr>
          <w:p>
            <w:pPr>
              <w:ind w:left="80"/>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160" w:type="dxa"/>
            <w:vAlign w:val="bottom"/>
          </w:tcPr>
          <w:p>
            <w:pPr>
              <w:spacing w:after="0"/>
              <w:rPr>
                <w:sz w:val="17"/>
                <w:szCs w:val="17"/>
                <w:color w:val="auto"/>
              </w:rPr>
            </w:pPr>
          </w:p>
        </w:tc>
        <w:tc>
          <w:tcPr>
            <w:tcW w:w="740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Material Modifications to the Rights of Security Holders and Use of Proceeds.</w:t>
            </w:r>
          </w:p>
        </w:tc>
        <w:tc>
          <w:tcPr>
            <w:tcW w:w="2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205</w:t>
            </w:r>
          </w:p>
        </w:tc>
      </w:tr>
      <w:tr>
        <w:trPr>
          <w:trHeight w:val="196"/>
        </w:trPr>
        <w:tc>
          <w:tcPr>
            <w:tcW w:w="12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080" w:type="dxa"/>
            <w:vAlign w:val="bottom"/>
            <w:gridSpan w:val="6"/>
          </w:tcPr>
          <w:p>
            <w:pPr>
              <w:ind w:left="80"/>
              <w:spacing w:after="0" w:line="196" w:lineRule="exact"/>
              <w:rPr>
                <w:sz w:val="20"/>
                <w:szCs w:val="20"/>
                <w:color w:val="auto"/>
              </w:rPr>
            </w:pPr>
            <w:r>
              <w:rPr>
                <w:rFonts w:ascii="Times New Roman" w:cs="Times New Roman" w:eastAsia="Times New Roman" w:hAnsi="Times New Roman"/>
                <w:sz w:val="18"/>
                <w:szCs w:val="18"/>
                <w:color w:val="auto"/>
              </w:rPr>
              <w:t>Item 15.</w:t>
            </w:r>
          </w:p>
        </w:tc>
        <w:tc>
          <w:tcPr>
            <w:tcW w:w="160" w:type="dxa"/>
            <w:vAlign w:val="bottom"/>
          </w:tcPr>
          <w:p>
            <w:pPr>
              <w:spacing w:after="0"/>
              <w:rPr>
                <w:sz w:val="17"/>
                <w:szCs w:val="17"/>
                <w:color w:val="auto"/>
              </w:rPr>
            </w:pPr>
          </w:p>
        </w:tc>
        <w:tc>
          <w:tcPr>
            <w:tcW w:w="1780" w:type="dxa"/>
            <w:vAlign w:val="bottom"/>
            <w:tcBorders>
              <w:top w:val="single" w:sz="8" w:color="0000EE"/>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Controls and Procedures</w:t>
            </w:r>
          </w:p>
        </w:tc>
        <w:tc>
          <w:tcPr>
            <w:tcW w:w="3860" w:type="dxa"/>
            <w:vAlign w:val="bottom"/>
            <w:tcBorders>
              <w:top w:val="single" w:sz="8" w:color="0000EE"/>
            </w:tcBorders>
            <w:gridSpan w:val="16"/>
          </w:tcPr>
          <w:p>
            <w:pPr>
              <w:spacing w:after="0"/>
              <w:rPr>
                <w:sz w:val="17"/>
                <w:szCs w:val="17"/>
                <w:color w:val="auto"/>
              </w:rPr>
            </w:pPr>
          </w:p>
        </w:tc>
        <w:tc>
          <w:tcPr>
            <w:tcW w:w="1760" w:type="dxa"/>
            <w:vAlign w:val="bottom"/>
          </w:tcPr>
          <w:p>
            <w:pPr>
              <w:spacing w:after="0"/>
              <w:rPr>
                <w:sz w:val="17"/>
                <w:szCs w:val="17"/>
                <w:color w:val="auto"/>
              </w:rPr>
            </w:pPr>
          </w:p>
        </w:tc>
        <w:tc>
          <w:tcPr>
            <w:tcW w:w="2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206</w:t>
            </w:r>
          </w:p>
        </w:tc>
      </w:tr>
      <w:tr>
        <w:trPr>
          <w:trHeight w:val="196"/>
        </w:trPr>
        <w:tc>
          <w:tcPr>
            <w:tcW w:w="12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080" w:type="dxa"/>
            <w:vAlign w:val="bottom"/>
            <w:gridSpan w:val="6"/>
          </w:tcPr>
          <w:p>
            <w:pPr>
              <w:ind w:left="80"/>
              <w:spacing w:after="0" w:line="196" w:lineRule="exact"/>
              <w:rPr>
                <w:sz w:val="20"/>
                <w:szCs w:val="20"/>
                <w:color w:val="auto"/>
              </w:rPr>
            </w:pPr>
            <w:r>
              <w:rPr>
                <w:rFonts w:ascii="Times New Roman" w:cs="Times New Roman" w:eastAsia="Times New Roman" w:hAnsi="Times New Roman"/>
                <w:sz w:val="18"/>
                <w:szCs w:val="18"/>
                <w:color w:val="auto"/>
              </w:rPr>
              <w:t>Item 16A.</w:t>
            </w:r>
          </w:p>
        </w:tc>
        <w:tc>
          <w:tcPr>
            <w:tcW w:w="160" w:type="dxa"/>
            <w:vAlign w:val="bottom"/>
          </w:tcPr>
          <w:p>
            <w:pPr>
              <w:spacing w:after="0"/>
              <w:rPr>
                <w:sz w:val="17"/>
                <w:szCs w:val="17"/>
                <w:color w:val="auto"/>
              </w:rPr>
            </w:pPr>
          </w:p>
        </w:tc>
        <w:tc>
          <w:tcPr>
            <w:tcW w:w="250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Audit Committee Financial Expert</w:t>
            </w:r>
          </w:p>
        </w:tc>
        <w:tc>
          <w:tcPr>
            <w:tcW w:w="4900" w:type="dxa"/>
            <w:vAlign w:val="bottom"/>
            <w:gridSpan w:val="14"/>
          </w:tcPr>
          <w:p>
            <w:pPr>
              <w:spacing w:after="0"/>
              <w:rPr>
                <w:sz w:val="17"/>
                <w:szCs w:val="17"/>
                <w:color w:val="auto"/>
              </w:rPr>
            </w:pPr>
          </w:p>
        </w:tc>
        <w:tc>
          <w:tcPr>
            <w:tcW w:w="2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206</w:t>
            </w:r>
          </w:p>
        </w:tc>
      </w:tr>
      <w:tr>
        <w:trPr>
          <w:trHeight w:val="196"/>
        </w:trPr>
        <w:tc>
          <w:tcPr>
            <w:tcW w:w="12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080" w:type="dxa"/>
            <w:vAlign w:val="bottom"/>
            <w:gridSpan w:val="6"/>
          </w:tcPr>
          <w:p>
            <w:pPr>
              <w:ind w:left="80"/>
              <w:spacing w:after="0" w:line="196" w:lineRule="exact"/>
              <w:rPr>
                <w:sz w:val="20"/>
                <w:szCs w:val="20"/>
                <w:color w:val="auto"/>
              </w:rPr>
            </w:pPr>
            <w:r>
              <w:rPr>
                <w:rFonts w:ascii="Times New Roman" w:cs="Times New Roman" w:eastAsia="Times New Roman" w:hAnsi="Times New Roman"/>
                <w:sz w:val="18"/>
                <w:szCs w:val="18"/>
                <w:color w:val="auto"/>
              </w:rPr>
              <w:t>Item 16B.</w:t>
            </w:r>
          </w:p>
        </w:tc>
        <w:tc>
          <w:tcPr>
            <w:tcW w:w="160" w:type="dxa"/>
            <w:vAlign w:val="bottom"/>
          </w:tcPr>
          <w:p>
            <w:pPr>
              <w:spacing w:after="0"/>
              <w:rPr>
                <w:sz w:val="17"/>
                <w:szCs w:val="17"/>
                <w:color w:val="auto"/>
              </w:rPr>
            </w:pPr>
          </w:p>
        </w:tc>
        <w:tc>
          <w:tcPr>
            <w:tcW w:w="108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Code of Ethics</w:t>
            </w:r>
          </w:p>
        </w:tc>
        <w:tc>
          <w:tcPr>
            <w:tcW w:w="6320" w:type="dxa"/>
            <w:vAlign w:val="bottom"/>
            <w:gridSpan w:val="28"/>
          </w:tcPr>
          <w:p>
            <w:pPr>
              <w:spacing w:after="0"/>
              <w:rPr>
                <w:sz w:val="17"/>
                <w:szCs w:val="17"/>
                <w:color w:val="auto"/>
              </w:rPr>
            </w:pPr>
          </w:p>
        </w:tc>
        <w:tc>
          <w:tcPr>
            <w:tcW w:w="2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206</w:t>
            </w:r>
          </w:p>
        </w:tc>
      </w:tr>
      <w:tr>
        <w:trPr>
          <w:trHeight w:val="196"/>
        </w:trPr>
        <w:tc>
          <w:tcPr>
            <w:tcW w:w="12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080" w:type="dxa"/>
            <w:vAlign w:val="bottom"/>
            <w:gridSpan w:val="6"/>
          </w:tcPr>
          <w:p>
            <w:pPr>
              <w:ind w:left="80"/>
              <w:spacing w:after="0" w:line="196" w:lineRule="exact"/>
              <w:rPr>
                <w:sz w:val="20"/>
                <w:szCs w:val="20"/>
                <w:color w:val="auto"/>
              </w:rPr>
            </w:pPr>
            <w:r>
              <w:rPr>
                <w:rFonts w:ascii="Times New Roman" w:cs="Times New Roman" w:eastAsia="Times New Roman" w:hAnsi="Times New Roman"/>
                <w:sz w:val="18"/>
                <w:szCs w:val="18"/>
                <w:color w:val="auto"/>
              </w:rPr>
              <w:t>Item 16C.</w:t>
            </w:r>
          </w:p>
        </w:tc>
        <w:tc>
          <w:tcPr>
            <w:tcW w:w="160" w:type="dxa"/>
            <w:vAlign w:val="bottom"/>
          </w:tcPr>
          <w:p>
            <w:pPr>
              <w:spacing w:after="0"/>
              <w:rPr>
                <w:sz w:val="17"/>
                <w:szCs w:val="17"/>
                <w:color w:val="auto"/>
              </w:rPr>
            </w:pPr>
          </w:p>
        </w:tc>
        <w:tc>
          <w:tcPr>
            <w:tcW w:w="286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9"/>
              </w:rPr>
              <w:t>Principal Accountant Fees and Services</w:t>
            </w:r>
          </w:p>
        </w:tc>
        <w:tc>
          <w:tcPr>
            <w:tcW w:w="4540" w:type="dxa"/>
            <w:vAlign w:val="bottom"/>
            <w:gridSpan w:val="13"/>
          </w:tcPr>
          <w:p>
            <w:pPr>
              <w:spacing w:after="0"/>
              <w:rPr>
                <w:sz w:val="17"/>
                <w:szCs w:val="17"/>
                <w:color w:val="auto"/>
              </w:rPr>
            </w:pPr>
          </w:p>
        </w:tc>
        <w:tc>
          <w:tcPr>
            <w:tcW w:w="2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206</w:t>
            </w:r>
          </w:p>
        </w:tc>
      </w:tr>
      <w:tr>
        <w:trPr>
          <w:trHeight w:val="196"/>
        </w:trPr>
        <w:tc>
          <w:tcPr>
            <w:tcW w:w="12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080" w:type="dxa"/>
            <w:vAlign w:val="bottom"/>
            <w:gridSpan w:val="6"/>
          </w:tcPr>
          <w:p>
            <w:pPr>
              <w:ind w:left="80"/>
              <w:spacing w:after="0" w:line="196" w:lineRule="exact"/>
              <w:rPr>
                <w:sz w:val="20"/>
                <w:szCs w:val="20"/>
                <w:color w:val="auto"/>
              </w:rPr>
            </w:pPr>
            <w:r>
              <w:rPr>
                <w:rFonts w:ascii="Times New Roman" w:cs="Times New Roman" w:eastAsia="Times New Roman" w:hAnsi="Times New Roman"/>
                <w:sz w:val="18"/>
                <w:szCs w:val="18"/>
                <w:color w:val="auto"/>
              </w:rPr>
              <w:t>Item 16D.</w:t>
            </w:r>
          </w:p>
        </w:tc>
        <w:tc>
          <w:tcPr>
            <w:tcW w:w="160" w:type="dxa"/>
            <w:vAlign w:val="bottom"/>
          </w:tcPr>
          <w:p>
            <w:pPr>
              <w:spacing w:after="0"/>
              <w:rPr>
                <w:sz w:val="17"/>
                <w:szCs w:val="17"/>
                <w:color w:val="auto"/>
              </w:rPr>
            </w:pPr>
          </w:p>
        </w:tc>
        <w:tc>
          <w:tcPr>
            <w:tcW w:w="4460" w:type="dxa"/>
            <w:vAlign w:val="bottom"/>
            <w:tcBorders>
              <w:bottom w:val="single" w:sz="8" w:color="0000EE"/>
            </w:tcBorders>
            <w:gridSpan w:val="27"/>
          </w:tcPr>
          <w:p>
            <w:pPr>
              <w:spacing w:after="0" w:line="196" w:lineRule="exact"/>
              <w:rPr>
                <w:sz w:val="20"/>
                <w:szCs w:val="20"/>
                <w:color w:val="auto"/>
              </w:rPr>
            </w:pPr>
            <w:r>
              <w:rPr>
                <w:rFonts w:ascii="Times New Roman" w:cs="Times New Roman" w:eastAsia="Times New Roman" w:hAnsi="Times New Roman"/>
                <w:sz w:val="18"/>
                <w:szCs w:val="18"/>
                <w:color w:val="0000EE"/>
                <w:w w:val="99"/>
              </w:rPr>
              <w:t>Exemptions from the Listing Standards for Audit Committees</w:t>
            </w:r>
          </w:p>
        </w:tc>
        <w:tc>
          <w:tcPr>
            <w:tcW w:w="2940" w:type="dxa"/>
            <w:vAlign w:val="bottom"/>
            <w:gridSpan w:val="4"/>
          </w:tcPr>
          <w:p>
            <w:pPr>
              <w:spacing w:after="0"/>
              <w:rPr>
                <w:sz w:val="17"/>
                <w:szCs w:val="17"/>
                <w:color w:val="auto"/>
              </w:rPr>
            </w:pPr>
          </w:p>
        </w:tc>
        <w:tc>
          <w:tcPr>
            <w:tcW w:w="2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207</w:t>
            </w:r>
          </w:p>
        </w:tc>
      </w:tr>
      <w:tr>
        <w:trPr>
          <w:trHeight w:val="196"/>
        </w:trPr>
        <w:tc>
          <w:tcPr>
            <w:tcW w:w="12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080" w:type="dxa"/>
            <w:vAlign w:val="bottom"/>
            <w:gridSpan w:val="6"/>
          </w:tcPr>
          <w:p>
            <w:pPr>
              <w:ind w:left="80"/>
              <w:spacing w:after="0" w:line="196" w:lineRule="exact"/>
              <w:rPr>
                <w:sz w:val="20"/>
                <w:szCs w:val="20"/>
                <w:color w:val="auto"/>
              </w:rPr>
            </w:pPr>
            <w:r>
              <w:rPr>
                <w:rFonts w:ascii="Times New Roman" w:cs="Times New Roman" w:eastAsia="Times New Roman" w:hAnsi="Times New Roman"/>
                <w:sz w:val="18"/>
                <w:szCs w:val="18"/>
                <w:color w:val="auto"/>
              </w:rPr>
              <w:t>Item 16E.</w:t>
            </w:r>
          </w:p>
        </w:tc>
        <w:tc>
          <w:tcPr>
            <w:tcW w:w="160" w:type="dxa"/>
            <w:vAlign w:val="bottom"/>
          </w:tcPr>
          <w:p>
            <w:pPr>
              <w:spacing w:after="0"/>
              <w:rPr>
                <w:sz w:val="17"/>
                <w:szCs w:val="17"/>
                <w:color w:val="auto"/>
              </w:rPr>
            </w:pPr>
          </w:p>
        </w:tc>
        <w:tc>
          <w:tcPr>
            <w:tcW w:w="740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Purchases of Equity Securities by the Issuer and Affiliated Purchasers</w:t>
            </w:r>
          </w:p>
        </w:tc>
        <w:tc>
          <w:tcPr>
            <w:tcW w:w="2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207</w:t>
            </w:r>
          </w:p>
        </w:tc>
      </w:tr>
      <w:tr>
        <w:trPr>
          <w:trHeight w:val="196"/>
        </w:trPr>
        <w:tc>
          <w:tcPr>
            <w:tcW w:w="12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080" w:type="dxa"/>
            <w:vAlign w:val="bottom"/>
            <w:gridSpan w:val="6"/>
          </w:tcPr>
          <w:p>
            <w:pPr>
              <w:ind w:left="80"/>
              <w:spacing w:after="0" w:line="196" w:lineRule="exact"/>
              <w:rPr>
                <w:sz w:val="20"/>
                <w:szCs w:val="20"/>
                <w:color w:val="auto"/>
              </w:rPr>
            </w:pPr>
            <w:r>
              <w:rPr>
                <w:rFonts w:ascii="Times New Roman" w:cs="Times New Roman" w:eastAsia="Times New Roman" w:hAnsi="Times New Roman"/>
                <w:sz w:val="18"/>
                <w:szCs w:val="18"/>
                <w:color w:val="auto"/>
              </w:rPr>
              <w:t>Item 16F.</w:t>
            </w:r>
          </w:p>
        </w:tc>
        <w:tc>
          <w:tcPr>
            <w:tcW w:w="160" w:type="dxa"/>
            <w:vAlign w:val="bottom"/>
          </w:tcPr>
          <w:p>
            <w:pPr>
              <w:spacing w:after="0"/>
              <w:rPr>
                <w:sz w:val="17"/>
                <w:szCs w:val="17"/>
                <w:color w:val="auto"/>
              </w:rPr>
            </w:pPr>
          </w:p>
        </w:tc>
        <w:tc>
          <w:tcPr>
            <w:tcW w:w="3360" w:type="dxa"/>
            <w:vAlign w:val="bottom"/>
            <w:tcBorders>
              <w:top w:val="single" w:sz="8" w:color="0000EE"/>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Change in Registrant’s Certifying Accountant</w:t>
            </w:r>
          </w:p>
        </w:tc>
        <w:tc>
          <w:tcPr>
            <w:tcW w:w="1660" w:type="dxa"/>
            <w:vAlign w:val="bottom"/>
            <w:tcBorders>
              <w:top w:val="single" w:sz="8" w:color="0000EE"/>
            </w:tcBorders>
            <w:gridSpan w:val="9"/>
          </w:tcPr>
          <w:p>
            <w:pPr>
              <w:spacing w:after="0"/>
              <w:rPr>
                <w:sz w:val="17"/>
                <w:szCs w:val="17"/>
                <w:color w:val="auto"/>
              </w:rPr>
            </w:pPr>
          </w:p>
        </w:tc>
        <w:tc>
          <w:tcPr>
            <w:tcW w:w="2380" w:type="dxa"/>
            <w:vAlign w:val="bottom"/>
            <w:gridSpan w:val="2"/>
          </w:tcPr>
          <w:p>
            <w:pPr>
              <w:spacing w:after="0"/>
              <w:rPr>
                <w:sz w:val="17"/>
                <w:szCs w:val="17"/>
                <w:color w:val="auto"/>
              </w:rPr>
            </w:pPr>
          </w:p>
        </w:tc>
        <w:tc>
          <w:tcPr>
            <w:tcW w:w="2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208</w:t>
            </w:r>
          </w:p>
        </w:tc>
      </w:tr>
      <w:tr>
        <w:trPr>
          <w:trHeight w:val="196"/>
        </w:trPr>
        <w:tc>
          <w:tcPr>
            <w:tcW w:w="12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080" w:type="dxa"/>
            <w:vAlign w:val="bottom"/>
            <w:gridSpan w:val="6"/>
          </w:tcPr>
          <w:p>
            <w:pPr>
              <w:ind w:left="80"/>
              <w:spacing w:after="0" w:line="196" w:lineRule="exact"/>
              <w:rPr>
                <w:sz w:val="20"/>
                <w:szCs w:val="20"/>
                <w:color w:val="auto"/>
              </w:rPr>
            </w:pPr>
            <w:r>
              <w:rPr>
                <w:rFonts w:ascii="Times New Roman" w:cs="Times New Roman" w:eastAsia="Times New Roman" w:hAnsi="Times New Roman"/>
                <w:sz w:val="18"/>
                <w:szCs w:val="18"/>
                <w:color w:val="auto"/>
              </w:rPr>
              <w:t>Item 16G.</w:t>
            </w:r>
          </w:p>
        </w:tc>
        <w:tc>
          <w:tcPr>
            <w:tcW w:w="160" w:type="dxa"/>
            <w:vAlign w:val="bottom"/>
          </w:tcPr>
          <w:p>
            <w:pPr>
              <w:spacing w:after="0"/>
              <w:rPr>
                <w:sz w:val="17"/>
                <w:szCs w:val="17"/>
                <w:color w:val="auto"/>
              </w:rPr>
            </w:pPr>
          </w:p>
        </w:tc>
        <w:tc>
          <w:tcPr>
            <w:tcW w:w="164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Corporate Governance</w:t>
            </w:r>
          </w:p>
        </w:tc>
        <w:tc>
          <w:tcPr>
            <w:tcW w:w="5760" w:type="dxa"/>
            <w:vAlign w:val="bottom"/>
            <w:gridSpan w:val="21"/>
          </w:tcPr>
          <w:p>
            <w:pPr>
              <w:spacing w:after="0"/>
              <w:rPr>
                <w:sz w:val="17"/>
                <w:szCs w:val="17"/>
                <w:color w:val="auto"/>
              </w:rPr>
            </w:pPr>
          </w:p>
        </w:tc>
        <w:tc>
          <w:tcPr>
            <w:tcW w:w="2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208</w:t>
            </w:r>
          </w:p>
        </w:tc>
      </w:tr>
      <w:tr>
        <w:trPr>
          <w:trHeight w:val="196"/>
        </w:trPr>
        <w:tc>
          <w:tcPr>
            <w:tcW w:w="12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080" w:type="dxa"/>
            <w:vAlign w:val="bottom"/>
            <w:gridSpan w:val="6"/>
          </w:tcPr>
          <w:p>
            <w:pPr>
              <w:ind w:left="80"/>
              <w:spacing w:after="0" w:line="196" w:lineRule="exact"/>
              <w:rPr>
                <w:sz w:val="20"/>
                <w:szCs w:val="20"/>
                <w:color w:val="auto"/>
              </w:rPr>
            </w:pPr>
            <w:r>
              <w:rPr>
                <w:rFonts w:ascii="Times New Roman" w:cs="Times New Roman" w:eastAsia="Times New Roman" w:hAnsi="Times New Roman"/>
                <w:sz w:val="18"/>
                <w:szCs w:val="18"/>
                <w:color w:val="auto"/>
              </w:rPr>
              <w:t>Item 16H.</w:t>
            </w:r>
          </w:p>
        </w:tc>
        <w:tc>
          <w:tcPr>
            <w:tcW w:w="160" w:type="dxa"/>
            <w:vAlign w:val="bottom"/>
          </w:tcPr>
          <w:p>
            <w:pPr>
              <w:spacing w:after="0"/>
              <w:rPr>
                <w:sz w:val="17"/>
                <w:szCs w:val="17"/>
                <w:color w:val="auto"/>
              </w:rPr>
            </w:pPr>
          </w:p>
        </w:tc>
        <w:tc>
          <w:tcPr>
            <w:tcW w:w="740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Mine Safety Disclosure</w:t>
            </w:r>
          </w:p>
        </w:tc>
        <w:tc>
          <w:tcPr>
            <w:tcW w:w="2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208</w:t>
            </w:r>
          </w:p>
        </w:tc>
      </w:tr>
      <w:tr>
        <w:trPr>
          <w:trHeight w:val="20"/>
        </w:trPr>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6"/>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80" w:type="dxa"/>
            <w:vAlign w:val="bottom"/>
            <w:gridSpan w:val="15"/>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080" w:type="dxa"/>
            <w:vAlign w:val="bottom"/>
            <w:gridSpan w:val="6"/>
          </w:tcPr>
          <w:p>
            <w:pPr>
              <w:ind w:left="80"/>
              <w:spacing w:after="0" w:line="196" w:lineRule="exact"/>
              <w:rPr>
                <w:sz w:val="20"/>
                <w:szCs w:val="20"/>
                <w:color w:val="auto"/>
              </w:rPr>
            </w:pPr>
            <w:r>
              <w:rPr>
                <w:rFonts w:ascii="Times New Roman" w:cs="Times New Roman" w:eastAsia="Times New Roman" w:hAnsi="Times New Roman"/>
                <w:sz w:val="18"/>
                <w:szCs w:val="18"/>
                <w:color w:val="auto"/>
              </w:rPr>
              <w:t>Item 16I.</w:t>
            </w:r>
          </w:p>
        </w:tc>
        <w:tc>
          <w:tcPr>
            <w:tcW w:w="160" w:type="dxa"/>
            <w:vAlign w:val="bottom"/>
          </w:tcPr>
          <w:p>
            <w:pPr>
              <w:spacing w:after="0"/>
              <w:rPr>
                <w:sz w:val="17"/>
                <w:szCs w:val="17"/>
                <w:color w:val="auto"/>
              </w:rPr>
            </w:pPr>
          </w:p>
        </w:tc>
        <w:tc>
          <w:tcPr>
            <w:tcW w:w="4900" w:type="dxa"/>
            <w:vAlign w:val="bottom"/>
            <w:tcBorders>
              <w:bottom w:val="single" w:sz="8" w:color="0000EE"/>
            </w:tcBorders>
            <w:gridSpan w:val="28"/>
          </w:tcPr>
          <w:p>
            <w:pPr>
              <w:spacing w:after="0" w:line="196" w:lineRule="exact"/>
              <w:rPr>
                <w:sz w:val="20"/>
                <w:szCs w:val="20"/>
                <w:color w:val="auto"/>
              </w:rPr>
            </w:pPr>
            <w:r>
              <w:rPr>
                <w:rFonts w:ascii="Times New Roman" w:cs="Times New Roman" w:eastAsia="Times New Roman" w:hAnsi="Times New Roman"/>
                <w:sz w:val="18"/>
                <w:szCs w:val="18"/>
                <w:color w:val="0000EE"/>
                <w:w w:val="99"/>
              </w:rPr>
              <w:t>Disclosure Regarding Foreign Jurisdictions that Prevent Inspections</w:t>
            </w:r>
          </w:p>
        </w:tc>
        <w:tc>
          <w:tcPr>
            <w:tcW w:w="2500" w:type="dxa"/>
            <w:vAlign w:val="bottom"/>
            <w:gridSpan w:val="3"/>
          </w:tcPr>
          <w:p>
            <w:pPr>
              <w:spacing w:after="0"/>
              <w:rPr>
                <w:sz w:val="17"/>
                <w:szCs w:val="17"/>
                <w:color w:val="auto"/>
              </w:rPr>
            </w:pPr>
          </w:p>
        </w:tc>
        <w:tc>
          <w:tcPr>
            <w:tcW w:w="2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208</w:t>
            </w:r>
          </w:p>
        </w:tc>
      </w:tr>
      <w:tr>
        <w:trPr>
          <w:trHeight w:val="196"/>
        </w:trPr>
        <w:tc>
          <w:tcPr>
            <w:tcW w:w="12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080" w:type="dxa"/>
            <w:vAlign w:val="bottom"/>
            <w:gridSpan w:val="6"/>
          </w:tcPr>
          <w:p>
            <w:pPr>
              <w:ind w:left="80"/>
              <w:spacing w:after="0" w:line="196" w:lineRule="exact"/>
              <w:rPr>
                <w:sz w:val="20"/>
                <w:szCs w:val="20"/>
                <w:color w:val="auto"/>
              </w:rPr>
            </w:pPr>
            <w:r>
              <w:rPr>
                <w:rFonts w:ascii="Times New Roman" w:cs="Times New Roman" w:eastAsia="Times New Roman" w:hAnsi="Times New Roman"/>
                <w:sz w:val="18"/>
                <w:szCs w:val="18"/>
                <w:color w:val="auto"/>
              </w:rPr>
              <w:t>Item 16J.</w:t>
            </w:r>
          </w:p>
        </w:tc>
        <w:tc>
          <w:tcPr>
            <w:tcW w:w="160" w:type="dxa"/>
            <w:vAlign w:val="bottom"/>
          </w:tcPr>
          <w:p>
            <w:pPr>
              <w:spacing w:after="0"/>
              <w:rPr>
                <w:sz w:val="17"/>
                <w:szCs w:val="17"/>
                <w:color w:val="auto"/>
              </w:rPr>
            </w:pPr>
          </w:p>
        </w:tc>
        <w:tc>
          <w:tcPr>
            <w:tcW w:w="740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Insider Trading Policies</w:t>
            </w:r>
          </w:p>
        </w:tc>
        <w:tc>
          <w:tcPr>
            <w:tcW w:w="2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209</w:t>
            </w:r>
          </w:p>
        </w:tc>
      </w:tr>
      <w:tr>
        <w:trPr>
          <w:trHeight w:val="196"/>
        </w:trPr>
        <w:tc>
          <w:tcPr>
            <w:tcW w:w="12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080" w:type="dxa"/>
            <w:vAlign w:val="bottom"/>
            <w:gridSpan w:val="6"/>
          </w:tcPr>
          <w:p>
            <w:pPr>
              <w:ind w:left="80"/>
              <w:spacing w:after="0" w:line="196" w:lineRule="exact"/>
              <w:rPr>
                <w:sz w:val="20"/>
                <w:szCs w:val="20"/>
                <w:color w:val="auto"/>
              </w:rPr>
            </w:pPr>
            <w:r>
              <w:rPr>
                <w:rFonts w:ascii="Times New Roman" w:cs="Times New Roman" w:eastAsia="Times New Roman" w:hAnsi="Times New Roman"/>
                <w:sz w:val="18"/>
                <w:szCs w:val="18"/>
                <w:color w:val="auto"/>
              </w:rPr>
              <w:t>Item 16K.</w:t>
            </w:r>
          </w:p>
        </w:tc>
        <w:tc>
          <w:tcPr>
            <w:tcW w:w="160" w:type="dxa"/>
            <w:vAlign w:val="bottom"/>
          </w:tcPr>
          <w:p>
            <w:pPr>
              <w:spacing w:after="0"/>
              <w:rPr>
                <w:sz w:val="17"/>
                <w:szCs w:val="17"/>
                <w:color w:val="auto"/>
              </w:rPr>
            </w:pPr>
          </w:p>
        </w:tc>
        <w:tc>
          <w:tcPr>
            <w:tcW w:w="1720" w:type="dxa"/>
            <w:vAlign w:val="bottom"/>
            <w:tcBorders>
              <w:top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Cybersecurity</w:t>
            </w:r>
          </w:p>
        </w:tc>
        <w:tc>
          <w:tcPr>
            <w:tcW w:w="5680" w:type="dxa"/>
            <w:vAlign w:val="bottom"/>
            <w:gridSpan w:val="18"/>
          </w:tcPr>
          <w:p>
            <w:pPr>
              <w:spacing w:after="0"/>
              <w:rPr>
                <w:sz w:val="17"/>
                <w:szCs w:val="17"/>
                <w:color w:val="auto"/>
              </w:rPr>
            </w:pPr>
          </w:p>
        </w:tc>
        <w:tc>
          <w:tcPr>
            <w:tcW w:w="2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209</w:t>
            </w:r>
          </w:p>
        </w:tc>
      </w:tr>
      <w:tr>
        <w:trPr>
          <w:trHeight w:val="196"/>
        </w:trPr>
        <w:tc>
          <w:tcPr>
            <w:tcW w:w="120" w:type="dxa"/>
            <w:vAlign w:val="bottom"/>
          </w:tcPr>
          <w:p>
            <w:pPr>
              <w:spacing w:after="0"/>
              <w:rPr>
                <w:sz w:val="17"/>
                <w:szCs w:val="17"/>
                <w:color w:val="auto"/>
              </w:rPr>
            </w:pPr>
          </w:p>
        </w:tc>
        <w:tc>
          <w:tcPr>
            <w:tcW w:w="52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7"/>
              </w:rPr>
              <w:t>Part III</w:t>
            </w:r>
          </w:p>
        </w:tc>
        <w:tc>
          <w:tcPr>
            <w:tcW w:w="840" w:type="dxa"/>
            <w:vAlign w:val="bottom"/>
            <w:gridSpan w:val="3"/>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210</w:t>
            </w:r>
          </w:p>
        </w:tc>
      </w:tr>
      <w:tr>
        <w:trPr>
          <w:trHeight w:val="196"/>
        </w:trPr>
        <w:tc>
          <w:tcPr>
            <w:tcW w:w="12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080" w:type="dxa"/>
            <w:vAlign w:val="bottom"/>
            <w:gridSpan w:val="6"/>
          </w:tcPr>
          <w:p>
            <w:pPr>
              <w:ind w:left="80"/>
              <w:spacing w:after="0" w:line="196" w:lineRule="exact"/>
              <w:rPr>
                <w:sz w:val="20"/>
                <w:szCs w:val="20"/>
                <w:color w:val="auto"/>
              </w:rPr>
            </w:pPr>
            <w:r>
              <w:rPr>
                <w:rFonts w:ascii="Times New Roman" w:cs="Times New Roman" w:eastAsia="Times New Roman" w:hAnsi="Times New Roman"/>
                <w:sz w:val="18"/>
                <w:szCs w:val="18"/>
                <w:color w:val="auto"/>
              </w:rPr>
              <w:t>Item 17.</w:t>
            </w:r>
          </w:p>
        </w:tc>
        <w:tc>
          <w:tcPr>
            <w:tcW w:w="160" w:type="dxa"/>
            <w:vAlign w:val="bottom"/>
          </w:tcPr>
          <w:p>
            <w:pPr>
              <w:spacing w:after="0"/>
              <w:rPr>
                <w:sz w:val="17"/>
                <w:szCs w:val="17"/>
                <w:color w:val="auto"/>
              </w:rPr>
            </w:pPr>
          </w:p>
        </w:tc>
        <w:tc>
          <w:tcPr>
            <w:tcW w:w="152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Financial Statements</w:t>
            </w:r>
          </w:p>
        </w:tc>
        <w:tc>
          <w:tcPr>
            <w:tcW w:w="5880" w:type="dxa"/>
            <w:vAlign w:val="bottom"/>
            <w:gridSpan w:val="25"/>
          </w:tcPr>
          <w:p>
            <w:pPr>
              <w:spacing w:after="0"/>
              <w:rPr>
                <w:sz w:val="17"/>
                <w:szCs w:val="17"/>
                <w:color w:val="auto"/>
              </w:rPr>
            </w:pPr>
          </w:p>
        </w:tc>
        <w:tc>
          <w:tcPr>
            <w:tcW w:w="2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210</w:t>
            </w:r>
          </w:p>
        </w:tc>
      </w:tr>
      <w:tr>
        <w:trPr>
          <w:trHeight w:val="196"/>
        </w:trPr>
        <w:tc>
          <w:tcPr>
            <w:tcW w:w="12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080" w:type="dxa"/>
            <w:vAlign w:val="bottom"/>
            <w:gridSpan w:val="6"/>
          </w:tcPr>
          <w:p>
            <w:pPr>
              <w:ind w:left="80"/>
              <w:spacing w:after="0" w:line="196" w:lineRule="exact"/>
              <w:rPr>
                <w:sz w:val="20"/>
                <w:szCs w:val="20"/>
                <w:color w:val="auto"/>
              </w:rPr>
            </w:pPr>
            <w:r>
              <w:rPr>
                <w:rFonts w:ascii="Times New Roman" w:cs="Times New Roman" w:eastAsia="Times New Roman" w:hAnsi="Times New Roman"/>
                <w:sz w:val="18"/>
                <w:szCs w:val="18"/>
                <w:color w:val="auto"/>
              </w:rPr>
              <w:t>Item 18.</w:t>
            </w:r>
          </w:p>
        </w:tc>
        <w:tc>
          <w:tcPr>
            <w:tcW w:w="160" w:type="dxa"/>
            <w:vAlign w:val="bottom"/>
          </w:tcPr>
          <w:p>
            <w:pPr>
              <w:spacing w:after="0"/>
              <w:rPr>
                <w:sz w:val="17"/>
                <w:szCs w:val="17"/>
                <w:color w:val="auto"/>
              </w:rPr>
            </w:pPr>
          </w:p>
        </w:tc>
        <w:tc>
          <w:tcPr>
            <w:tcW w:w="740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Financial Statements</w:t>
            </w:r>
          </w:p>
        </w:tc>
        <w:tc>
          <w:tcPr>
            <w:tcW w:w="2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210</w:t>
            </w:r>
          </w:p>
        </w:tc>
      </w:tr>
      <w:tr>
        <w:trPr>
          <w:trHeight w:val="196"/>
        </w:trPr>
        <w:tc>
          <w:tcPr>
            <w:tcW w:w="12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080" w:type="dxa"/>
            <w:vAlign w:val="bottom"/>
            <w:gridSpan w:val="6"/>
          </w:tcPr>
          <w:p>
            <w:pPr>
              <w:ind w:left="80"/>
              <w:spacing w:after="0" w:line="196" w:lineRule="exact"/>
              <w:rPr>
                <w:sz w:val="20"/>
                <w:szCs w:val="20"/>
                <w:color w:val="auto"/>
              </w:rPr>
            </w:pPr>
            <w:r>
              <w:rPr>
                <w:rFonts w:ascii="Times New Roman" w:cs="Times New Roman" w:eastAsia="Times New Roman" w:hAnsi="Times New Roman"/>
                <w:sz w:val="18"/>
                <w:szCs w:val="18"/>
                <w:color w:val="auto"/>
              </w:rPr>
              <w:t>Item 19.</w:t>
            </w:r>
          </w:p>
        </w:tc>
        <w:tc>
          <w:tcPr>
            <w:tcW w:w="160" w:type="dxa"/>
            <w:vAlign w:val="bottom"/>
          </w:tcPr>
          <w:p>
            <w:pPr>
              <w:spacing w:after="0"/>
              <w:rPr>
                <w:sz w:val="17"/>
                <w:szCs w:val="17"/>
                <w:color w:val="auto"/>
              </w:rPr>
            </w:pPr>
          </w:p>
        </w:tc>
        <w:tc>
          <w:tcPr>
            <w:tcW w:w="150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Exhibits</w:t>
            </w:r>
          </w:p>
        </w:tc>
        <w:tc>
          <w:tcPr>
            <w:tcW w:w="5900" w:type="dxa"/>
            <w:vAlign w:val="bottom"/>
            <w:gridSpan w:val="26"/>
          </w:tcPr>
          <w:p>
            <w:pPr>
              <w:spacing w:after="0"/>
              <w:rPr>
                <w:sz w:val="17"/>
                <w:szCs w:val="17"/>
                <w:color w:val="auto"/>
              </w:rPr>
            </w:pPr>
          </w:p>
        </w:tc>
        <w:tc>
          <w:tcPr>
            <w:tcW w:w="2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210</w:t>
            </w:r>
          </w:p>
        </w:tc>
      </w:tr>
      <w:tr>
        <w:trPr>
          <w:trHeight w:val="196"/>
        </w:trPr>
        <w:tc>
          <w:tcPr>
            <w:tcW w:w="120" w:type="dxa"/>
            <w:vAlign w:val="bottom"/>
          </w:tcPr>
          <w:p>
            <w:pPr>
              <w:spacing w:after="0"/>
              <w:rPr>
                <w:sz w:val="17"/>
                <w:szCs w:val="17"/>
                <w:color w:val="auto"/>
              </w:rPr>
            </w:pPr>
          </w:p>
        </w:tc>
        <w:tc>
          <w:tcPr>
            <w:tcW w:w="110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6"/>
              </w:rPr>
              <w:t>SIGNATURES</w:t>
            </w:r>
          </w:p>
        </w:tc>
        <w:tc>
          <w:tcPr>
            <w:tcW w:w="26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223</w:t>
            </w:r>
          </w:p>
        </w:tc>
      </w:tr>
    </w:tbl>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73"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this annual report, except where the context otherwise requires and for purposes of this annual report only:</w:t>
      </w:r>
    </w:p>
    <w:p>
      <w:pPr>
        <w:spacing w:after="0" w:line="131" w:lineRule="exact"/>
        <w:rPr>
          <w:sz w:val="20"/>
          <w:szCs w:val="20"/>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“ADSs” refer to our American depositary shares, each ADSs representing eight Class A ordinary shares;</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“Baidu General Business” refers to Baidu Core. Starting from the fourth quarter of 2025, we redefined Baidu Core as Baidu General Business;</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“China” or “PRC” refers to the People’s Republic of China, including Hong Kong, Macau and Taiwan; and “Chinese mainland” refers to the People’s Republic of China, excluding Hong Kong, Macau and Taiwan;</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ordinary shares” refer to Class A ordinary shares of the share capital of our company with a par value of US$0.000000625 each, conferring a holder of a Class A ordinary share one vote per share on all matters submitted for voting at general meetings of our company;</w:t>
      </w:r>
    </w:p>
    <w:p>
      <w:pPr>
        <w:spacing w:after="0" w:line="67" w:lineRule="exact"/>
        <w:rPr>
          <w:rFonts w:ascii="Times New Roman" w:cs="Times New Roman" w:eastAsia="Times New Roman" w:hAnsi="Times New Roman"/>
          <w:sz w:val="18"/>
          <w:szCs w:val="18"/>
          <w:color w:val="auto"/>
        </w:rPr>
      </w:pPr>
    </w:p>
    <w:p>
      <w:pPr>
        <w:jc w:val="both"/>
        <w:ind w:left="1080" w:hanging="424"/>
        <w:spacing w:after="0" w:line="266"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B ordinary shares” refer to Class B ordinary shares of the share capital of our company with a par value of US$0.000000625 each, conferring weighted voting rights in our company such that a holder of a Class B ordinary share is entitled to 10 votes per share on all matters submitted for voting at general meetings of our company;</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“Hong Kong” or “HK” or “Hong Kong S.A.R.” refers to the Hong Kong Special Administrative Region of the PRC;</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“Hong Kong Listing Rules” refer to the Rules Governing the Listing of Securities on The Stock Exchange of Hong Kong Limited, as amended or supplemented from time to time;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“Hong Kong Share Registrar” refers to Computershare Hong Kong Investor Services Limited;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“Hong Kong Stock Exchange” refers to The Stock Exchange of Hong Kong Limited;</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 Board” refers to the stock market (excluding the option market) operated by the Hong Kong Stock Exchange which is independent from and operated in parallel with the Growth Enterprise Market of the Hong Kong Stock Exchange;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“MAU,” or monthly active user, refers to the number of mobile devices that launched our mobile apps during a given month;</w:t>
      </w:r>
    </w:p>
    <w:p>
      <w:pPr>
        <w:spacing w:after="0" w:line="130" w:lineRule="exact"/>
        <w:rPr>
          <w:rFonts w:ascii="Times New Roman" w:cs="Times New Roman" w:eastAsia="Times New Roman" w:hAnsi="Times New Roman"/>
          <w:sz w:val="18"/>
          <w:szCs w:val="18"/>
          <w:color w:val="auto"/>
        </w:rPr>
      </w:pPr>
    </w:p>
    <w:p>
      <w:pPr>
        <w:jc w:val="both"/>
        <w:ind w:left="1080" w:hanging="424"/>
        <w:spacing w:after="0" w:line="261"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company” refers to Baidu, Inc., which is not a PRC operating company but a Cayman Islands holding company with operations primarily conducted through (i) our Chinese mainland subsidiaries and (ii) contractual arrangements with the variable interest entities, or the VIEs, based in Chinese mainland. This structure entails unique risks to investors, see “Item 3.D. Key Information—Risk Factors— Risks Related to our Corporate Structure” for more details;</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“RMB” or “Renminbi” refers to the legal currency of Chinese mainland;</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“SFO” refers to the Securities and Futures Ordinance (Chapter 571 of the Laws of Hong Kong), as amended or supplemented from time to time;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or “ordinary shares” refer to our ordinary shares, which include both Class A ordinary shares and Class B ordinary shares;</w:t>
      </w:r>
    </w:p>
    <w:p>
      <w:pPr>
        <w:spacing w:after="0" w:line="130" w:lineRule="exact"/>
        <w:rPr>
          <w:rFonts w:ascii="Times New Roman" w:cs="Times New Roman" w:eastAsia="Times New Roman" w:hAnsi="Times New Roman"/>
          <w:sz w:val="18"/>
          <w:szCs w:val="18"/>
          <w:color w:val="auto"/>
        </w:rPr>
      </w:pPr>
    </w:p>
    <w:p>
      <w:pPr>
        <w:jc w:val="both"/>
        <w:ind w:left="1080" w:right="20" w:hanging="424"/>
        <w:spacing w:after="0" w:line="266"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“user traffic” or “traffic” refers generally to page views of a website, with “page views” measuring the number of web pages viewed by internet users over a specified period of time except that multiple page views of the same page viewed by the same user on the same day are counted only once;</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GAAP” refers to generally accepted accounting principles in the United States;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40"/>
          </w:cols>
          <w:pgMar w:left="320" w:top="482" w:right="4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080" w:hanging="424"/>
        <w:spacing w:after="0" w:line="255"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 “our,” or “Baidu” refers to Baidu, Inc., its subsidiaries, and, in the context of describing our operations and consolidated financial information, the variable interest entities established in Chinese mainland and other consolidated affiliated entities in which we do not have any equity ownership but whose financial results have been consolidated into our consolidated financial statements based solely on contractual arrangements in accordance with U.S. GAAP. These variable interest entities include, but are not limited to, Beijing Baidu Netcom Science Technology Co., Ltd., or Baidu Netcom, Beijing Perusal Technology Co., Ltd., or Beijing Perusal, Beijing iQIYI Science &amp; Technology Co., Ltd., or Beijing iQIYI. See “Item 4. Information on the Company—C. Organizational Structure” for an illustrative diagram of our corporate structure;</w:t>
      </w:r>
    </w:p>
    <w:p>
      <w:pPr>
        <w:spacing w:after="0" w:line="94"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“iQIYI” refers to iQIYI, Inc., a company incorporated in the Cayman Islands listed on Nasdaq under the symbol “IQ” and one of our subsidiaries;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“dollars,” “US$” or “U.S. dollars” refers to the legal currency of the United States; and</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discrepancies in any table between the amounts identified as total amounts and the sum of the amounts listed therein are due to rounding.</w:t>
      </w:r>
    </w:p>
    <w:p>
      <w:pPr>
        <w:spacing w:after="0" w:line="162"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On March 1, 2021, Baidu, Inc. effected a change to its authorized share capital by 1-to-80 subdivision of shares. Concurrently, Baidu, Inc. effected a proportionate change in ADS to Class A ordinary share ratio from 10 ADSs representing 1 Class A ordinary share to each ADS representing 8 Class A ordinary shares, or the Share Subdivision. Such changes been reflected retroactively throughout this document.</w:t>
      </w: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FORWARD-LOOKING INFORMATION</w:t>
      </w:r>
    </w:p>
    <w:p>
      <w:pPr>
        <w:spacing w:after="0" w:line="229"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This annual report on Form 20-F contains forward-looking statements that reflect our current expectations and views of future events. These statements are made under the “safe harbor” provisions of the U.S. Private Securities Litigation Reform Act of 1995. You can identify these forward-looking statements by terminology such as “may,” “will,” “expect,” “anticipate,” “future,” “intend,” “plan,” “believe,” “estimate,” “is/are likely to” or other similar expressions. We have based these forward-looking statements largely on our current expectations and projections about future events and financial trends that we believe may affect our financial condition, results of operations, business strategy and financial needs. These forward-looking statements include, but are not limited to:</w:t>
      </w:r>
    </w:p>
    <w:p>
      <w:pPr>
        <w:spacing w:after="0" w:line="93" w:lineRule="exact"/>
        <w:rPr>
          <w:sz w:val="20"/>
          <w:szCs w:val="20"/>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operations and business prospects;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and operating strategies and our ability to implement such strategies;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manage our operations and business;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for, among other things, capital, technology and skilled personnel;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control costs and utilize assets;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conduct investments and acquisitions, obtain regulatory approvals from government authorities, as well as integrate acquired target(s);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regulatory and operating conditions in the industry and geographical markets in which we operate;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dividend policy;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risks and uncertainties described in “Item 3.D. Key Information—Risk Factors.”</w:t>
      </w:r>
    </w:p>
    <w:p>
      <w:pPr>
        <w:spacing w:after="0" w:line="225"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We would like to caution you not to place undue reliance on these forward-looking statements and you should read these statements in conjunction with the risk factors disclosed in “Item 3.D. Key Information—Risk Factors.” Those risks are not exhaustive. We operate in a rapidly evolving environment. New risks emerge from time to time and it is impossible for our management to predict all risk factors, nor can we assess the impact of all factors on our business or the extent to which any factor, or combination of factors, may cause actual results to differ from those contained in any forward-looking statement. We do not undertake any obligation to update or revise the forward-looking statements except as required under applicable law.</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40"/>
          </w:cols>
          <w:pgMar w:left="320" w:top="482"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Unless otherwise noted, all translations from Renminbi to U.S. dollars and from U.S. dollars to Renminbi in this annual report are made at a rate of RMB6.9931 to US$1.00, the exchange rate in effect as of December 31, 2025 as set forth in the H.10 statistical release of The Board of Governors of the Federal Reserve System. We make no representation that any Renminbi or U.S. dollar amounts could have been, or could be, converted into U.S. dollars or Renminbi, as the case may be, at any particular rate, or at all.</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PART I</w:t>
      </w:r>
    </w:p>
    <w:p>
      <w:pPr>
        <w:sectPr>
          <w:pgSz w:w="11900" w:h="16838" w:orient="portrait"/>
          <w:cols w:equalWidth="0" w:num="1">
            <w:col w:w="11140"/>
          </w:cols>
          <w:pgMar w:left="320" w:top="482" w:right="439" w:bottom="1440" w:gutter="0" w:footer="0" w:header="0"/>
        </w:sectPr>
      </w:pPr>
    </w:p>
    <w:p>
      <w:pPr>
        <w:spacing w:after="0" w:line="2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ITEM 1.</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IDENTITY OF DIRECTORS, SENIOR MANAGEMENT AND ADVISERS</w:t>
      </w:r>
    </w:p>
    <w:p>
      <w:pPr>
        <w:spacing w:after="0" w:line="121" w:lineRule="exact"/>
        <w:rPr>
          <w:sz w:val="20"/>
          <w:szCs w:val="20"/>
          <w:color w:val="auto"/>
        </w:rPr>
      </w:pPr>
    </w:p>
    <w:p>
      <w:pPr>
        <w:sectPr>
          <w:pgSz w:w="11900" w:h="16838" w:orient="portrait"/>
          <w:cols w:equalWidth="0" w:num="2">
            <w:col w:w="760" w:space="440"/>
            <w:col w:w="9940"/>
          </w:cols>
          <w:pgMar w:left="320" w:top="482" w:right="439" w:bottom="1440" w:gutter="0" w:footer="0" w:header="0"/>
          <w:type w:val="continuous"/>
        </w:sectPr>
      </w:pPr>
    </w:p>
    <w:p>
      <w:pPr>
        <w:ind w:left="560"/>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1140"/>
          </w:cols>
          <w:pgMar w:left="320" w:top="482" w:right="439" w:bottom="1440" w:gutter="0" w:footer="0" w:header="0"/>
          <w:type w:val="continuous"/>
        </w:sectPr>
      </w:pPr>
    </w:p>
    <w:p>
      <w:pPr>
        <w:spacing w:after="0" w:line="3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ITEM 2.</w:t>
      </w:r>
    </w:p>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OFFER STATISTICS AND EXPECTED TIMETABLE</w:t>
      </w:r>
    </w:p>
    <w:p>
      <w:pPr>
        <w:spacing w:after="0" w:line="133" w:lineRule="exact"/>
        <w:rPr>
          <w:sz w:val="20"/>
          <w:szCs w:val="20"/>
          <w:color w:val="auto"/>
        </w:rPr>
      </w:pPr>
    </w:p>
    <w:p>
      <w:pPr>
        <w:sectPr>
          <w:pgSz w:w="11900" w:h="16838" w:orient="portrait"/>
          <w:cols w:equalWidth="0" w:num="2">
            <w:col w:w="760" w:space="440"/>
            <w:col w:w="9940"/>
          </w:cols>
          <w:pgMar w:left="320" w:top="482" w:right="439" w:bottom="1440" w:gutter="0" w:footer="0" w:header="0"/>
          <w:type w:val="continuous"/>
        </w:sectPr>
      </w:pPr>
    </w:p>
    <w:p>
      <w:pPr>
        <w:ind w:left="5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KEY INFORMATION</w:t>
      </w:r>
    </w:p>
    <w:p>
      <w:pPr>
        <w:sectPr>
          <w:pgSz w:w="11900" w:h="16838" w:orient="portrait"/>
          <w:cols w:equalWidth="0" w:num="1">
            <w:col w:w="11140"/>
          </w:cols>
          <w:pgMar w:left="320" w:top="482" w:right="439" w:bottom="1440" w:gutter="0" w:footer="0" w:header="0"/>
          <w:type w:val="continuous"/>
        </w:sectPr>
      </w:pP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Corporate Structure and Contractual Arrangements with the Variable Interest Entities</w:t>
      </w:r>
    </w:p>
    <w:p>
      <w:pPr>
        <w:spacing w:after="0" w:line="121" w:lineRule="exact"/>
        <w:rPr>
          <w:sz w:val="20"/>
          <w:szCs w:val="20"/>
          <w:color w:val="auto"/>
        </w:rPr>
      </w:pPr>
    </w:p>
    <w:p>
      <w:pPr>
        <w:jc w:val="both"/>
        <w:ind w:left="120" w:firstLine="440"/>
        <w:spacing w:after="0" w:line="252" w:lineRule="auto"/>
        <w:rPr>
          <w:sz w:val="20"/>
          <w:szCs w:val="20"/>
          <w:color w:val="auto"/>
        </w:rPr>
      </w:pPr>
      <w:r>
        <w:rPr>
          <w:rFonts w:ascii="Times New Roman" w:cs="Times New Roman" w:eastAsia="Times New Roman" w:hAnsi="Times New Roman"/>
          <w:sz w:val="18"/>
          <w:szCs w:val="18"/>
          <w:color w:val="auto"/>
        </w:rPr>
        <w:t>Baidu, Inc. is not a PRC operating company but a Cayman Islands holding company with operations primarily conducted through (i) our subsidiaries incorporated in Chinese mainland, or Chinese mainland subsidiaries, and (ii) contractual arrangements with the variable interest entities based in Chinese mainland. Our internet content services, value-added telecommunication-based services, internet map services, online audio and video services and mobile application distribution businesses in Chinese mainland have been conducted through the applicable VIEs in order to comply with the laws and regulations of Chinese mainland, which restrict and impose conditions on foreign direct investment in companies involved in the provision of such businesses. Accordingly, we operate these businesses in Chinese mainland through the variable interest entities, and rely on contractual arrangements among Baidu, Inc./iQIYI, Inc./certain offshore subsidiaries of Baidu, Inc., our Chinese mainland subsidiaries, the variable interest entities and their nominee shareholders to control the business operations of the variable interest entities. External revenues contributed by the variable interest entities accounted for 45%, 44% and 50% of our total external revenues for the years ended December 31, 2023, 2024 and 2025, respectively. As used in this annual report, “our company” refers to Baidu, Inc., whereas “we,” “us,” “our,” or “Baidu” refers to Baidu, Inc., its subsidiaries, and, in the context of describing our operations and consolidated financial information, the variable interest entities established in Chinese mainland and other consolidated entities in which we do not have any equity ownership but whose financial results have been consolidated into our consolidated financial statements based solely on contractual arrangements in accordance with U.S. GAAP. Investors in our ADSs are not purchasing equity interest in the variable interest entities in Chinese mainland but instead are purchasing equity interest in a holding company incorporated in the Cayman Islands.</w:t>
      </w:r>
    </w:p>
    <w:p>
      <w:pPr>
        <w:spacing w:after="0" w:line="197"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Baidu, Inc./iQIYI, Inc./certain offshore subsidiaries of Baidu, Inc., our Chinese mainland subsidiaries, the variable interest entities and their nominee shareholders have entered into a series of contractual agreements. These contractual arrangements:</w:t>
      </w:r>
    </w:p>
    <w:p>
      <w:pPr>
        <w:spacing w:after="0" w:line="67" w:lineRule="exact"/>
        <w:rPr>
          <w:sz w:val="20"/>
          <w:szCs w:val="20"/>
          <w:color w:val="auto"/>
        </w:rPr>
      </w:pPr>
    </w:p>
    <w:p>
      <w:pPr>
        <w:ind w:left="1080" w:right="2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enable us to receive the economic benefits that could potentially be significant to the variable interest entities in consideration for the services provided by our subsidiaries;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assigned all of the voting rights underlying the nominee shareholders’ equity interest in the variable interest entities to us; and</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enable us to hold an exclusive option to purchase all or part of the equity interests in the variable interest entities when and to the extent permitted by the laws of Chinese mainland.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40"/>
          </w:cols>
          <w:pgMar w:left="320" w:top="482" w:right="4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These contractual arrangements generally include shareholder voting rights trust agreements or proxy agreements, exclusive equity purchase and transfer option agreements or exclusive purchase option agreements, loan agreements, operating agreements or business operation agreements, exclusive technology consulting and services agreements, and equity pledge agreements, as the case may be. As for some of the variable interest entities, our subsidiaries have entered into additional business cooperation agreements, power of attorney, license agreements and/or commitment letters (as the case may be) with these variable interest entities and their respective shareholders. Terms contained in each set of contractual arrangements with the variable interest entities and their respective shareholders are substantially similar. As a result of the contractual arrangements, the shareholders of the variable interest entities effectively assigned all of their voting rights underlying their equity interest in the variable interest entities to the primary beneficiaries of these companies, which gives our company or its subsidiaries/iQIYI the power to direct the activities that most significantly impact the variable interest entities’ economic performance. The individual nominee shareholders of Baidu Netcom, Beijing Perusal and Beijing iQIYI, the variable interest entities, are directors or employees of us or iQIYI. We or iQIYI consider such people suitable to act as the nominee shareholders of these variable interest entities because of, among other considerations, their contribution to us or iQIYI, their competence and their length of service with and loyalty to us or iQIYI. For more details of these contractual arrangements, see “Item 4. Information on the Company—C. Organizational Structure— Contractual Arrangements with the Variable Interest Entities and Other Consolidated Affiliated Entities and their Shareholders.”</w:t>
      </w:r>
    </w:p>
    <w:p>
      <w:pPr>
        <w:spacing w:after="0" w:line="187"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However, the contractual arrangements may not be as effective as direct ownership in providing us with control over the variable interest entities and we may incur substantial costs to enforce the terms of the arrangements. If the variable interest entities or the nominee shareholders fail to perform their respective obligations under the contractual arrangements, we could be limited in our ability to enforce the contractual arrangements that effectively assigned us the voting rights in the variable interest entities, and these agreements have not been tested in the courts of Chinese mainland. Furthermore, if we are unable to maintain such effective assignment, we would not be able to continue to consolidate the financial results of these entities in our financial statements. See “Item 3.D. Key Information—Risk Factors—Risks Related to Our Corporate Structure—Our contractual arrangements with the variable interest entities in Chinese mainland and the individual nominee shareholders may not be as effective in providing control over these entities as direct ownership” and “Item 3.D. Key Information—Risk Factors—Risks Related to Our Corporate Structure—The individual nominee shareholders of the variable interest entities may have potential conflicts of interest with us, which may adversely affect our business. We do not have any arrangements in place to address such potential conflicts.”</w:t>
      </w:r>
    </w:p>
    <w:p>
      <w:pPr>
        <w:spacing w:after="0" w:line="194"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There are also substantial uncertainties regarding the interpretation and application of current and future laws, regulations and rules of Chinese mainland regarding the status of the rights of our Cayman Islands holding company with respect to its contractual arrangements with the variable interest entities and their nominee shareholders. It is uncertain whether any new laws or regulations of Chinese mainland relating to variable interest entity structures will be adopted or if adopted, what they would provide. If we or any of the variable interest entities is found to be in violation of any existing or future laws or regulations of Chinese mainland, or fail to obtain or maintain any of the required permits or approvals, the PRC regulatory authorities would have broad discretion in accordance with the applicable laws and regulations to take action in dealing with such violations or failures. See “Item 3.D. Key Information—Risk Factors—Risks Related to Our Corporate Structure—Laws and regulations of Chinese mainland governing our businesses and the validity of certain of our contractual arrangements are uncertain. If we are found to be in violation, we could be subject to sanctions. In addition, changes in the laws and regulations of Chinese mainland or changes in interpretations thereof may materially and adversely affect our business.”</w:t>
      </w:r>
    </w:p>
    <w:p>
      <w:pPr>
        <w:spacing w:after="0" w:line="194" w:lineRule="exact"/>
        <w:rPr>
          <w:sz w:val="20"/>
          <w:szCs w:val="20"/>
          <w:color w:val="auto"/>
        </w:rPr>
      </w:pPr>
    </w:p>
    <w:p>
      <w:pPr>
        <w:jc w:val="both"/>
        <w:ind w:left="120" w:firstLine="440"/>
        <w:spacing w:after="0" w:line="252" w:lineRule="auto"/>
        <w:rPr>
          <w:sz w:val="20"/>
          <w:szCs w:val="20"/>
          <w:color w:val="auto"/>
        </w:rPr>
      </w:pPr>
      <w:r>
        <w:rPr>
          <w:rFonts w:ascii="Times New Roman" w:cs="Times New Roman" w:eastAsia="Times New Roman" w:hAnsi="Times New Roman"/>
          <w:sz w:val="18"/>
          <w:szCs w:val="18"/>
          <w:color w:val="auto"/>
        </w:rPr>
        <w:t>Our operations are primarily conducted in Chinese mainland through (i) our Chinese mainland subsidiaries and (ii) contractual arrangements with the variable interest entities based in Chinese mainland, and revenues are primarily generated from Chinese mainland. Though the PRC Foreign Investment Law does not explicitly classify contractual arrangements as a form of foreign investment, the definition of “foreign investment” thereunder is relatively wide and contains a catch-all provision which includes investments made by foreign investors through means stipulated in laws or administrative regulations or other methods prescribed by the State Council. Therefore, there is no assurance that foreign investment via contractual arrangement would not be interpreted as a type of indirect foreign investment activities in the future. If any of the variable interest entities were deemed as a foreign-invested enterprise under any such future laws, administrative regulations or provisions and any of our business would be included in any negative list or other form of restrictions on foreign investment, we may need to take further actions to comply with such future laws, administrative regulations or provisions. Such actions may have a material and adverse impact on our business, financial condition, result of operations and prospects. In addition, if the PRC regulatory authorities were to find our legal structure and contractual arrangements to be in violation of any laws, administrative regulations or provisions of Chinese mainland, we are uncertain what impact of above PRC regulatory authorities’ actions would have on us and our ability to consolidate the variable interest entities in the consolidated financial statements. For more details, see “Item 3.D. Key Information—Risk Factors—Risks Related to Doing Business in China—Uncertainties exist with respect to the interpretation and implementation of the PRC Foreign Investment Law and its implementation regulations and how it may impact the viability of our current corporate structure, corporate governance and business operations.”</w:t>
      </w:r>
    </w:p>
    <w:p>
      <w:pPr>
        <w:spacing w:after="0" w:line="12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40"/>
          </w:cols>
          <w:pgMar w:left="320" w:top="482"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both"/>
        <w:ind w:left="120" w:firstLine="440"/>
        <w:spacing w:after="0" w:line="252" w:lineRule="auto"/>
        <w:rPr>
          <w:sz w:val="20"/>
          <w:szCs w:val="20"/>
          <w:color w:val="auto"/>
        </w:rPr>
      </w:pPr>
      <w:r>
        <w:rPr>
          <w:rFonts w:ascii="Times New Roman" w:cs="Times New Roman" w:eastAsia="Times New Roman" w:hAnsi="Times New Roman"/>
          <w:sz w:val="18"/>
          <w:szCs w:val="18"/>
          <w:color w:val="auto"/>
        </w:rPr>
        <w:t>Our corporate structure is subject to risks associated with our contractual arrangements with the variable interest entities. Our company and its investors may never have a direct ownership interest in the businesses that are conducted by the variable interest entities. Uncertainties in the PRC legal system could limit our ability to enforce these contractual arrangements, and these contractual arrangements have not been tested in a court of law. If the PRC government finds that the agreements that establish the structure for operating our business in Chinese mainland do not comply with the laws and regulations of Chinese mainland, or if these regulations or the interpretation of existing regulations change or are interpreted differently in the future, we and the variable interest entities could be subject to severe penalties or be forced to relinquish our interests in those operations. This would result in the variable interest entities being deconsolidated. The majority of our assets, including the necessary licenses to conduct business in Chinese mainland, are held by the variable interest entities. A significant part of our revenues are generated by the variable interest entities. An event that results in the deconsolidation of the variable interest entities would have a material effect on our operations and result in the value of the securities of our company diminish substantially or even become worthless. Our company, our Chinese mainland subsidiaries and the variable interest entities, and investors of our company face uncertainty about potential future actions by the PRC government that could affect the enforceability of the contractual arrangements with the variable interest entities and, consequently, significantly affect the financial performance of the variable interest entities and our company as a whole. Baidu, Inc. may not be able to repay its indebtedness, and the Class A ordinary shares or ADSs of our company may decline in value or become worthless, if we are unable to assert our contractual control rights over the assets of our Chinese mainland subsidiaries and the variable interest entities that conduct all or substantially all of our operations. For a detailed description of the risks associated with our corporate structure, please refer to risks disclosed under “Item 3.D. Key Information—Risk Factors—Risks Related to Our Corporate Structure.”</w:t>
      </w:r>
    </w:p>
    <w:p>
      <w:pPr>
        <w:spacing w:after="0" w:line="195"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Our company and the variable interest entities face various risks and uncertainties related to doing business in China. For example, we face risks associated with regulatory approvals on offshore offerings, antimonopoly regulatory actions, and oversight on cybersecurity and data privacy. These risks could result in a material adverse change in our operations and the value of our ADSs, significantly limit or completely hinder our ability to continue to offer securities to investors, or adversely affect the value of such securities. For a detailed description of risks related to doing business in China, see “Item 3.D. Key Information—Risk Factors—Risks Related to Doing Business in China.”</w:t>
      </w:r>
    </w:p>
    <w:p>
      <w:pPr>
        <w:spacing w:after="0" w:line="183"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PRC government’s certain administrative measures in regulating (i) our operations and (ii) offerings conducted overseas by, and foreign investment in, China-based issuers, could significantly limit or completely hinder our ability to offer or continue to offer securities to investors. Implementation of industry-wide regulations, including data security or anti-monopoly related regulations, in this nature may result in adverse effect on the value of such securities. For more details, see “Item 3.D. Key Information—Risk Factors—Risks Related to Doing Business in China—Any failure to meet the PRC government’s complex regulatory requirements on our business operation could have a material adverse effect on our operations and the value of our securities.”</w:t>
      </w:r>
    </w:p>
    <w:p>
      <w:pPr>
        <w:spacing w:after="0" w:line="187"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Risks and uncertainties arising from the PRC legal system, including risks and uncertainties regarding the enforcement of laws and quickly evolving rules and regulations in Chinese mainland, could result in a material adverse change in our operations and the value of our ADSs. For more details, see “Item 3.D. Key Information—Risk Factors—Risks Related to Doing Business in China—Uncertainties exist with respect to the interpretation and implementation of the PRC Foreign Investment Law and its implementation regulations and how it may impact the viability of our current corporate structure, corporate governance and business operations.”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40"/>
          </w:cols>
          <w:pgMar w:left="320" w:top="482" w:right="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Holding Foreign Companies Accountable Act</w:t>
      </w:r>
    </w:p>
    <w:p>
      <w:pPr>
        <w:spacing w:after="0" w:line="121" w:lineRule="exact"/>
        <w:rPr>
          <w:sz w:val="20"/>
          <w:szCs w:val="20"/>
          <w:color w:val="auto"/>
        </w:rPr>
      </w:pPr>
    </w:p>
    <w:p>
      <w:pPr>
        <w:jc w:val="both"/>
        <w:ind w:left="120" w:firstLine="440"/>
        <w:spacing w:after="0" w:line="251" w:lineRule="auto"/>
        <w:rPr>
          <w:sz w:val="20"/>
          <w:szCs w:val="20"/>
          <w:color w:val="auto"/>
        </w:rPr>
      </w:pPr>
      <w:r>
        <w:rPr>
          <w:rFonts w:ascii="Times New Roman" w:cs="Times New Roman" w:eastAsia="Times New Roman" w:hAnsi="Times New Roman"/>
          <w:sz w:val="18"/>
          <w:szCs w:val="18"/>
          <w:color w:val="auto"/>
        </w:rPr>
        <w:t>Pursuant to the Holding Foreign Companies Accountable Act, which was enacted on December 18, 2020 and further amended by the Consolidated Appropriations Act, 2023 signed into law on December 29, 2022, or the HFCAA, if the Securities and Exchange Commission, or the SEC, determines that we have filed audit reports issued by a registered public accounting firm that has not been subject to inspections by the Public Company Accounting Oversight Board, or the PCAOB, for two consecutive years, the SEC will prohibit our shares or the ADSs from being traded on a national securities exchange or in the over-the-counter trading market in the United States. On December 16, 2021, the PCAOB issued a report to notify the SEC of its determination that the PCAOB was unable to inspect or investigate completely registered public accounting firms headquartered in Chinese mainland and Hong Kong, including our auditor. In April 2022, the SEC conclusively listed us as a Commission-Identified Issuer under the HFCAA following the filing of our annual report on Form 20-F for the fiscal year ended December 31, 2021. On December 15, 2022, the PCAOB issued a report that vacated its December 16, 2021 determination and removed Chinese mainland and Hong Kong from the list of jurisdictions where it is unable to inspect or investigate completely registered public accounting firms. For this reason, we were not identified as a Commission-Identified Issuer under the HFCAA after we filed our annual report on Form 20-F for the fiscal year ended December 31, 2022, and subsequently for the fiscal years ended December 31, 2023 and 2024 and do not expect to be so identified after we file this annual report on Form 20-F for the fiscal year ended December 31, 2025. Each year, the PCAOB will determine whether it can inspect and investigate completely audit firms in Chinese mainland and Hong Kong, among other jurisdictions. If the PCAOB determines in the future that it no longer has full access to inspect and investigate completely accounting firms in Chinese mainland and Hong Kong and we use an accounting firm headquartered in one of these jurisdictions to issue an audit report on our financial statements filed with the SEC, we would be identified as a Commission-Identified Issuer following the filing of the annual report on Form 20-F for the relevant fiscal year. There can be no assurance that we would not be identified as a Commission-Identified Issuer for any future fiscal year, and if we were so identified for two consecutive years, we would become subject to the prohibition on trading under the HFCAA. See “Item 3.D. Key Information —Risk Factors—Risks Related to Doing Business in China—The PCAOB had historically been unable to inspect our auditor in relation to their audit work performed for our financial statements and the inability of the PCAOB to conduct inspections of our auditor in the past has deprived our investors with the benefits of such inspections.” and “Item 3.D. Key Information—Risk Factors—Risks Related to Doing Business in China—Our ADSs may be prohibited from trading in the United States under the HFCAA in the future if the PCAOB is unable to inspect or investigate completely auditors located in China. The delisting or prohibition of trading of the ADSs, or the threat of their being delisted or prohibited from trading, may materially and adversely affect the value of your investment.”</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Permissions Required from the PRC Government Authorities for Our Operations</w:t>
      </w:r>
    </w:p>
    <w:p>
      <w:pPr>
        <w:spacing w:after="0" w:line="121" w:lineRule="exact"/>
        <w:rPr>
          <w:sz w:val="20"/>
          <w:szCs w:val="20"/>
          <w:color w:val="auto"/>
        </w:rPr>
      </w:pPr>
    </w:p>
    <w:p>
      <w:pPr>
        <w:jc w:val="both"/>
        <w:ind w:left="120" w:firstLine="440"/>
        <w:spacing w:after="0" w:line="252" w:lineRule="auto"/>
        <w:rPr>
          <w:sz w:val="20"/>
          <w:szCs w:val="20"/>
          <w:color w:val="auto"/>
        </w:rPr>
      </w:pPr>
      <w:r>
        <w:rPr>
          <w:rFonts w:ascii="Times New Roman" w:cs="Times New Roman" w:eastAsia="Times New Roman" w:hAnsi="Times New Roman"/>
          <w:sz w:val="18"/>
          <w:szCs w:val="18"/>
          <w:color w:val="auto"/>
        </w:rPr>
        <w:t>We conduct our business primarily through our subsidiaries and the variable interest entities in Chinese mainland. Our operations in Chinese mainland are governed by the laws and regulations of Chinese mainland. As of the date of this annual report, our Chinese mainland subsidiaries and the variable interest entities have obtained the requisite licenses and permits from the PRC government authorities that are material for the business operations of our subsidiaries and the variable interest entities in Chinese mainland, including, among others, the Value-Added Telecommunication Business Operating License, the Internet News Information Service License, the Short Messaging Service Access Code Certificate, the Online Audio/Video Program Transmission License, the Radio and Television Program Production License, the Surveying and Mapping Qualification Certificate for internet map services, the Internet Culture Business Permit, the Publication Business Operating License, the Filing Certificate for Internet Drug and Medical Devices Information Services/the Filing Certificate for Internet Drug Information Services, the Human Resource Services License, the Filing Certificate for Business of Category II Medical Devices, the Registration Certificate for Medical Devices, the Filing Certificate for Sales of Pre-Packaged Foods, the Medicine Business License, the Filing Certificate for the Publication Online Transaction Platform, the Internet Domain Name Services License, the Medical Device Operation License, the Filing Certificate for Third-Party Platform Provider of Online Trading Service for Drugs and the Filing Certificate for Third-Party Platform Provider of Online Trading Service for Medical Device, the Practice License of Medical Institutions, the Internet Religious Information Service License, the Filing Information Form of Third Party Platform Providers of Online Food Trading, the Filing Certificate for Customs Clearance, the Filing Certificate of a Consignee or Consignor of Imported or Exported Goods, the Foreign-Related Investigation License, the Filing Certificate of Used Motor Vehicle Business Operators, the Online Taxi-Hailing Operation License and certain permits for road testing and demonstration application and/or commercial operations of autonomous driving vehicles. Given the uncertainties of interpretation and implementation of relevant laws and regulations and the enforcement practice by the government authorities, we may be required to obtain additional licenses, permits, filings or approvals for our businesses and services in the future. For more detailed information, see “Item 3.D. Key Information—Risk Factors—Risks Related to Doing Business in China—We may be adversely affected by the complexity, uncertainties and changes in the regulations of internet, artificial intelligence and related business and companies in Chinese mainland.”</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40"/>
          </w:cols>
          <w:pgMar w:left="320" w:top="482" w:right="4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Furthermore, in connection with our historical issuance of securities to foreign investors, we, our Chinese mainland subsidiaries and the variable interest entities, (i) are not required to obtain permission from the China Securities Regulatory Commission, or the CSRC, (ii) are not required to go through a cybersecurity review by the Cyberspace Administration of China, or the CAC, and (iii) have not been asked to obtain permission from the CSRC or the CAC by any PRC government authority.</w:t>
      </w:r>
    </w:p>
    <w:p>
      <w:pPr>
        <w:spacing w:after="0" w:line="180"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However, the PRC government has promulgated certain regulations and rules to exert more oversight and control over offerings that are conducted overseas and/or foreign investment in China-based issuers. On February 17, 2023, the CSRC released the Trial Administrative Measures of Overseas Securities Offering and Listing by Domestic Companies and five supporting guidelines, or, collectively, the Filing Rules, which took effect on March 31, 2023. According to the Filing Rules, domestic companies in Chinese mainland that directly or indirectly offer or list their securities in an overseas market are required to file with the CSRC. In addition, an overseas listed company must also submit the filing with respect to its follow-on offerings, issuance of convertible corporate bonds and exchangeable bonds, and other equivalent offering activities, within a specific time frame requested under the Filing Rules. Therefore, we will be required to file with the CSRC for our overseas offering of equity and equity linked securities in the future within the applicable scope of the Filing Rules. For more detailed information, see “Item 3.D. Key Information—Risk Factors— Risks Related to Doing Business in China—The approval of and/or filing with the CSRC or other PRC government authorities may be required in connection with our offshore offerings under the laws of Chinese mainland, and, if required, we cannot predict whether or for how long we will be able to obtain such approval or complete such filing.”</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Cash Flows through Our Organization</w:t>
      </w:r>
    </w:p>
    <w:p>
      <w:pPr>
        <w:spacing w:after="0" w:line="121"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Baidu, Inc. is a holding company with no operations of its own. We conduct our operations in Chinese mainland primarily through our subsidiaries and the variable interest entities in Chinese mainland. As a result, although other means are available for us to obtain financing at the holding company level, Baidu, Inc.’s ability to pay dividends to the shareholders and to service any debt it may incur may depend upon dividends paid by our Chinese mainland subsidiaries and license and service fees paid by the variable interest entities. If any of our subsidiaries incurs debt on its own behalf, the instruments governing such debt may restrict its ability to pay dividends to Baidu, Inc. In addition, our Chinese mainland subsidiaries are permitted to pay dividends to Baidu, Inc. only out of their retained earnings, if any, as determined in accordance with PRC accounting standards and regulations. Further, our Chinese mainland subsidiaries and the variable interest entities are required to make appropriations to certain statutory reserve funds or may make appropriations to certain discretionary funds, which are not distributable as cash dividends except in the event of a solvent liquidation of the companies. For more details, see “Item 5.B. Operating and Financial Review and Prospects—Liquidity and Capital Resources—Holding Company Structure.”</w:t>
      </w:r>
    </w:p>
    <w:p>
      <w:pPr>
        <w:spacing w:after="0" w:line="194"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Under the laws and regulations of Chinese mainland, our Chinese mainland subsidiaries and the variable interest entities are subject to certain restrictions with respect to paying dividends or otherwise transferring any of their net assets to us. Remittance of dividends by a wholly foreign-owned enterprise out of Chinese mainland is also subject to examination by the banks designated by State Administration of Foreign Exchange, or SAFE. The amounts restricted include the paid-up capital and the statutory reserve funds of our Chinese mainland subsidiaries and the net assets of the variable interest entities in which we have no legal ownership, totaling RMB48.0 billion, RMB48.1 billion and RMB40.4 billion (US$5.8 billion) as of December 31, 2023, 2024 and 2025, respectively. For risks relating to the fund flows of our operations in Chinese mainland, see “Item 3.D. Key Information—Risk Factors—Risks Related to Doing Business in China—Our subsidiaries and the variable interest entities in Chinese mainland are subject to restrictions on paying dividends and making other payments to our holding company.”</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40"/>
          </w:cols>
          <w:pgMar w:left="320" w:top="482" w:right="4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From 2023 to 2025, certain of our Chinese mainland subsidiaries have declared and distributed profits earned to Baidu (Hong Kong) Limited for an aggregate amount of RMB24.7 billion (US$3.5 billion). These dividend payments are subject to withholding tax. In addition, in 2024 and 2025, Baidu, Inc. received RMB15.2 billion and RMB6.5 billion (US$933 million), respectively, as cash distributions from one of its subsidiaries. We have made tax provisions based on the corresponding tax rate. Undistributed profits earned by foreign-invested enterprises prior to January 1, 2008 are exempted from any withholding tax. However, if our Chinese mainland subsidiaries further declare and distribute profits earned after January 1, 2008 in the future, the dividend payments will be subject to withholding tax, which will increase our tax liability and reduce the amount of cash available to our company. For the potential distributable profits to be distributed to our qualified Hong Kong incorporated subsidiary, the deferred tax liabilities are accrued at a 5% withholding tax rate or the statutory withholding tax rate. For more information on related risks, please see “Item 3.D. Key Information —Risk Factors—Risks Related to Doing Business in China—If our Chinese mainland subsidiaries declare and distribute dividends to their respective offshore parent companies, we will be required to pay more taxes, which could have a material and adverse effect on our result of operations.”</w:t>
      </w:r>
    </w:p>
    <w:p>
      <w:pPr>
        <w:spacing w:after="0" w:line="194"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Under the laws of Chinese mainland, Baidu, Inc. may provide funding to our Chinese mainland subsidiaries only through capital contributions or loans, and to the variable interest entities only through loans, subject to satisfaction of applicable government registration and approval requirements.</w:t>
      </w:r>
    </w:p>
    <w:p>
      <w:pPr>
        <w:spacing w:after="0" w:line="162"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2023, 2024 and 2025, the variable interest entities received RMB1.5 billion, RMB9.8 billion and RMB20.7 billion (US$3.0 billion), respectively, as capital contributions or loans from other subsidiaries of Baidu, Inc. and the variable interest entities repaid principal amount of RMB5.2 billion, RMB698 million and RMB1.8 billion (US$259 million), respectively, to other subsidiaries.</w:t>
      </w:r>
    </w:p>
    <w:p>
      <w:pPr>
        <w:spacing w:after="0" w:line="176"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2023, 2024 and 2025, the wholly owned subsidiaries of Baidu Inc. that are the Primary Beneficiaries of VIEs provided loans with principal amount of nil, RMB11 million and RMB471 million (US$67 million), respectively, to the variable interest entities and nil was repaid by the variable interest entities.</w:t>
      </w:r>
    </w:p>
    <w:p>
      <w:pPr>
        <w:spacing w:after="0" w:line="176"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2023, 2024 and 2025, the Primary Beneficiaries of VIEs designated its subsidiaries to provide loans totaling RMB58 million, RMB434 million and nil, respectively, to the nominee shareholders to fund the capitalization of the variable interest entities for which the Primary Beneficiaries of VIEs does not intend to seek repayment, and nil was repaid by the nominee shareholders.</w:t>
      </w:r>
    </w:p>
    <w:p>
      <w:pPr>
        <w:spacing w:after="0" w:line="176"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2023, 2024 and 2025, the variable interest entities provided loans with principal amount of nil, RMB360 million and nil, respectively, to Baidu, Inc. and Baidu, Inc. repaid principal amount of nil, nil and RMB352 million (US$50 million), respectively, to the variable interest entities.</w:t>
      </w:r>
    </w:p>
    <w:p>
      <w:pPr>
        <w:spacing w:after="0" w:line="176"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2023, 2024 and 2025, the variable interest entities provided loans with principal amount of nil, nil and RMB354 million (US$51 million), respectively, to the Primary Beneficiaries of VIEs and nil was repaid by the Primary Beneficiaries of VIEs.</w:t>
      </w:r>
    </w:p>
    <w:p>
      <w:pPr>
        <w:spacing w:after="0" w:line="162"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2023, 2024 and 2025, the variable interest entities provided loans of nil, nil and RMB878 million (US$126 million) to other subsidiaries of Baidu, Inc. and other subsidiaries repaid principal amount of RMB345 million, nil and nil, respectively, to the variable interest entities.</w:t>
      </w:r>
    </w:p>
    <w:p>
      <w:pPr>
        <w:spacing w:after="0" w:line="176"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Baidu, Inc. has not declared or paid any cash dividends. In the first quarter of 2026, our board approved the adoption of a dividend policy for our ordinary shares. We expect to declare the first payment of dividend in 2026. The declaration, timing, and amount of any future dividend will be subject to the determination of the board at its discretion based on factors such as our financial performance, capital requirements, prevailing market conditions and other considerations that the board deems relevant. A formal announcement of the dividend will be made after the board’s review and approval. See “Item 8. Financial Information—A. Consolidated Statements and Other Financial Information—Dividend Policy.” For Chinese mainland and United States federal income tax considerations of an investment in our ADSs, see “Item 10. Additional Information—E. Taxation.”</w:t>
      </w:r>
    </w:p>
    <w:p>
      <w:pPr>
        <w:spacing w:after="0" w:line="332" w:lineRule="exact"/>
        <w:rPr>
          <w:sz w:val="20"/>
          <w:szCs w:val="20"/>
          <w:color w:val="auto"/>
        </w:rPr>
      </w:pPr>
    </w:p>
    <w:p>
      <w:pPr>
        <w:ind w:left="540" w:hanging="424"/>
        <w:spacing w:after="0"/>
        <w:tabs>
          <w:tab w:leader="none" w:pos="5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[Reserved]</w:t>
      </w:r>
    </w:p>
    <w:p>
      <w:pPr>
        <w:spacing w:after="0" w:line="121" w:lineRule="exact"/>
        <w:rPr>
          <w:sz w:val="20"/>
          <w:szCs w:val="20"/>
          <w:color w:val="auto"/>
        </w:rPr>
      </w:pPr>
    </w:p>
    <w:p>
      <w:pPr>
        <w:jc w:val="both"/>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following table presents the selected consolidated financial information for our company. The selected consolidated statements of comprehensive income data and cash flow data for the three years ended December 31, 2023, 2024 and 2025 and the consolidated balance sheets data as of December 31, 2024 and 2025 have been derived from our audited consolidated financial statements, which are included in this annual report beginning on page F-1. The selected consolidated statements of comprehensive income data and cash flow data for the years ended December 31, 2021 and 2022 and the selected consolidated balance sheets data as of December 31, 2021, 2022 and 2023 have been derived from our audited consolidated financial statements for the years ended December 31, 2021, 2022 and 2023, which are not included in this annual report. Our historical results do not necessarily indicate results expected for any future periods. The selected consolidated financial data should be read in conjunction with, and are qualified in their entirety by reference to, our audited consolidated financial statements and related notes and “Item 5. Operating and Financial Review and Prospects” below. Our audited consolidated financial statements are prepared and presented in accordance with U.S. GAAP.</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40"/>
          </w:cols>
          <w:pgMar w:left="320" w:top="482" w:right="4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614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5"/>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6140" w:type="dxa"/>
            <w:vAlign w:val="bottom"/>
          </w:tcPr>
          <w:p>
            <w:pPr>
              <w:spacing w:after="0"/>
              <w:rPr>
                <w:sz w:val="12"/>
                <w:szCs w:val="12"/>
                <w:color w:val="auto"/>
              </w:rPr>
            </w:pPr>
          </w:p>
        </w:tc>
        <w:tc>
          <w:tcPr>
            <w:tcW w:w="6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220" w:type="dxa"/>
            <w:vAlign w:val="bottom"/>
          </w:tcPr>
          <w:p>
            <w:pPr>
              <w:spacing w:after="0"/>
              <w:rPr>
                <w:sz w:val="12"/>
                <w:szCs w:val="12"/>
                <w:color w:val="auto"/>
              </w:rPr>
            </w:pPr>
          </w:p>
        </w:tc>
        <w:tc>
          <w:tcPr>
            <w:tcW w:w="6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2"/>
                <w:szCs w:val="12"/>
                <w:color w:val="auto"/>
              </w:rPr>
            </w:pPr>
          </w:p>
        </w:tc>
        <w:tc>
          <w:tcPr>
            <w:tcW w:w="800" w:type="dxa"/>
            <w:vAlign w:val="bottom"/>
            <w:gridSpan w:val="2"/>
          </w:tcPr>
          <w:p>
            <w:pPr>
              <w:jc w:val="center"/>
              <w:ind w:left="5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2"/>
                <w:szCs w:val="12"/>
                <w:color w:val="auto"/>
              </w:rPr>
            </w:pPr>
          </w:p>
        </w:tc>
        <w:tc>
          <w:tcPr>
            <w:tcW w:w="6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60" w:type="dxa"/>
            <w:vAlign w:val="bottom"/>
          </w:tcPr>
          <w:p>
            <w:pPr>
              <w:spacing w:after="0"/>
              <w:rPr>
                <w:sz w:val="12"/>
                <w:szCs w:val="12"/>
                <w:color w:val="auto"/>
              </w:rPr>
            </w:pPr>
          </w:p>
        </w:tc>
        <w:tc>
          <w:tcPr>
            <w:tcW w:w="88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2"/>
        </w:trPr>
        <w:tc>
          <w:tcPr>
            <w:tcW w:w="614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Borders>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Borders>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160" w:type="dxa"/>
            <w:vAlign w:val="bottom"/>
            <w:tcBorders>
              <w:bottom w:val="single" w:sz="8" w:color="auto"/>
            </w:tcBorders>
          </w:tcPr>
          <w:p>
            <w:pPr>
              <w:spacing w:after="0"/>
              <w:rPr>
                <w:sz w:val="12"/>
                <w:szCs w:val="12"/>
                <w:color w:val="auto"/>
              </w:rPr>
            </w:pPr>
          </w:p>
        </w:tc>
        <w:tc>
          <w:tcPr>
            <w:tcW w:w="880" w:type="dxa"/>
            <w:vAlign w:val="bottom"/>
            <w:tcBorders>
              <w:top w:val="single" w:sz="8" w:color="auto"/>
              <w:bottom w:val="single" w:sz="8" w:color="auto"/>
            </w:tcBorders>
            <w:gridSpan w:val="2"/>
          </w:tcPr>
          <w:p>
            <w:pPr>
              <w:jc w:val="right"/>
              <w:ind w:right="38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540" w:type="dxa"/>
            <w:vAlign w:val="bottom"/>
            <w:tcBorders>
              <w:top w:val="single" w:sz="8" w:color="auto"/>
              <w:bottom w:val="single" w:sz="8" w:color="auto"/>
            </w:tcBorders>
          </w:tcPr>
          <w:p>
            <w:pPr>
              <w:jc w:val="right"/>
              <w:ind w:right="51"/>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20" w:type="dxa"/>
            <w:vAlign w:val="bottom"/>
          </w:tcPr>
          <w:p>
            <w:pPr>
              <w:spacing w:after="0"/>
              <w:rPr>
                <w:sz w:val="12"/>
                <w:szCs w:val="12"/>
                <w:color w:val="auto"/>
              </w:rPr>
            </w:pPr>
          </w:p>
        </w:tc>
      </w:tr>
      <w:tr>
        <w:trPr>
          <w:trHeight w:val="142"/>
        </w:trPr>
        <w:tc>
          <w:tcPr>
            <w:tcW w:w="6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360" w:type="dxa"/>
            <w:vAlign w:val="bottom"/>
            <w:gridSpan w:val="9"/>
          </w:tcPr>
          <w:p>
            <w:pPr>
              <w:jc w:val="center"/>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 except per share and per ADS data)</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Data:</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3"/>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124,493</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123,675</w:t>
            </w:r>
          </w:p>
        </w:tc>
        <w:tc>
          <w:tcPr>
            <w:tcW w:w="9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134,598</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133,125</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129,079</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18,458</w:t>
            </w: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6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 of revenue</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64,314</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63,935</w:t>
            </w:r>
          </w:p>
        </w:tc>
        <w:tc>
          <w:tcPr>
            <w:tcW w:w="9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65,031</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66,102</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72,436</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10,358</w:t>
            </w:r>
          </w:p>
        </w:tc>
      </w:tr>
      <w:tr>
        <w:trPr>
          <w:trHeight w:val="216"/>
        </w:trPr>
        <w:tc>
          <w:tcPr>
            <w:tcW w:w="6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24,723</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20,514</w:t>
            </w:r>
          </w:p>
        </w:tc>
        <w:tc>
          <w:tcPr>
            <w:tcW w:w="9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23,519</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23,620</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25,843</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3,696</w:t>
            </w:r>
          </w:p>
        </w:tc>
      </w:tr>
      <w:tr>
        <w:trPr>
          <w:trHeight w:val="216"/>
        </w:trPr>
        <w:tc>
          <w:tcPr>
            <w:tcW w:w="6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24,938</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23,315</w:t>
            </w:r>
          </w:p>
        </w:tc>
        <w:tc>
          <w:tcPr>
            <w:tcW w:w="9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24,192</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22,133</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20,433</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2,922</w:t>
            </w:r>
          </w:p>
        </w:tc>
      </w:tr>
      <w:tr>
        <w:trPr>
          <w:trHeight w:val="216"/>
        </w:trPr>
        <w:tc>
          <w:tcPr>
            <w:tcW w:w="6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16,190</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2,315</w:t>
            </w:r>
          </w:p>
        </w:tc>
      </w:tr>
      <w:tr>
        <w:trPr>
          <w:trHeight w:val="230"/>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113,975</w:t>
            </w:r>
          </w:p>
        </w:tc>
        <w:tc>
          <w:tcPr>
            <w:tcW w:w="2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107,764</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112,742</w:t>
            </w:r>
          </w:p>
        </w:tc>
        <w:tc>
          <w:tcPr>
            <w:tcW w:w="16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111,855</w:t>
            </w:r>
          </w:p>
        </w:tc>
        <w:tc>
          <w:tcPr>
            <w:tcW w:w="16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134,902</w:t>
            </w:r>
          </w:p>
        </w:tc>
        <w:tc>
          <w:tcPr>
            <w:tcW w:w="220" w:type="dxa"/>
            <w:vAlign w:val="bottom"/>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19,291</w:t>
            </w:r>
          </w:p>
        </w:tc>
        <w:tc>
          <w:tcPr>
            <w:tcW w:w="120" w:type="dxa"/>
            <w:vAlign w:val="bottom"/>
          </w:tcPr>
          <w:p>
            <w:pPr>
              <w:spacing w:after="0"/>
              <w:rPr>
                <w:sz w:val="20"/>
                <w:szCs w:val="20"/>
                <w:color w:val="auto"/>
              </w:rPr>
            </w:pP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10,518</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15,911</w:t>
            </w:r>
          </w:p>
        </w:tc>
        <w:tc>
          <w:tcPr>
            <w:tcW w:w="9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21,856</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21,270</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(5,823)</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(833)</w:t>
            </w:r>
          </w:p>
        </w:tc>
      </w:tr>
      <w:tr>
        <w:trPr>
          <w:trHeight w:val="230"/>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Total other income (loss), net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2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(5,799)</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3,342</w:t>
            </w:r>
          </w:p>
        </w:tc>
        <w:tc>
          <w:tcPr>
            <w:tcW w:w="16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7,352</w:t>
            </w:r>
          </w:p>
        </w:tc>
        <w:tc>
          <w:tcPr>
            <w:tcW w:w="16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12,539</w:t>
            </w:r>
          </w:p>
        </w:tc>
        <w:tc>
          <w:tcPr>
            <w:tcW w:w="220" w:type="dxa"/>
            <w:vAlign w:val="bottom"/>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1,793</w:t>
            </w:r>
          </w:p>
        </w:tc>
        <w:tc>
          <w:tcPr>
            <w:tcW w:w="120" w:type="dxa"/>
            <w:vAlign w:val="bottom"/>
          </w:tcPr>
          <w:p>
            <w:pPr>
              <w:spacing w:after="0"/>
              <w:rPr>
                <w:sz w:val="20"/>
                <w:szCs w:val="20"/>
                <w:color w:val="auto"/>
              </w:rPr>
            </w:pP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10,778</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10,112</w:t>
            </w:r>
          </w:p>
        </w:tc>
        <w:tc>
          <w:tcPr>
            <w:tcW w:w="9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25,198</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28,622</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6,716</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960</w:t>
            </w:r>
          </w:p>
        </w:tc>
      </w:tr>
      <w:tr>
        <w:trPr>
          <w:trHeight w:val="230"/>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3,187</w:t>
            </w:r>
          </w:p>
        </w:tc>
        <w:tc>
          <w:tcPr>
            <w:tcW w:w="2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2,578</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3,649</w:t>
            </w:r>
          </w:p>
        </w:tc>
        <w:tc>
          <w:tcPr>
            <w:tcW w:w="16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4,447</w:t>
            </w:r>
          </w:p>
        </w:tc>
        <w:tc>
          <w:tcPr>
            <w:tcW w:w="16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220" w:type="dxa"/>
            <w:vAlign w:val="bottom"/>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20" w:type="dxa"/>
            <w:vAlign w:val="bottom"/>
          </w:tcPr>
          <w:p>
            <w:pPr>
              <w:spacing w:after="0"/>
              <w:rPr>
                <w:sz w:val="20"/>
                <w:szCs w:val="20"/>
                <w:color w:val="auto"/>
              </w:rPr>
            </w:pP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7,591</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7,534</w:t>
            </w:r>
          </w:p>
        </w:tc>
        <w:tc>
          <w:tcPr>
            <w:tcW w:w="9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21,549</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24,175</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5,457</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780</w:t>
            </w:r>
          </w:p>
        </w:tc>
      </w:tr>
      <w:tr>
        <w:trPr>
          <w:trHeight w:val="230"/>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(2,635)</w:t>
            </w:r>
          </w:p>
        </w:tc>
        <w:tc>
          <w:tcPr>
            <w:tcW w:w="2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16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6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20" w:type="dxa"/>
            <w:vAlign w:val="bottom"/>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20"/>
                <w:szCs w:val="20"/>
                <w:color w:val="auto"/>
              </w:rPr>
            </w:pP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Baidu, Inc.</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10,226</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7,559</w:t>
            </w:r>
          </w:p>
        </w:tc>
        <w:tc>
          <w:tcPr>
            <w:tcW w:w="9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20,315</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23,760</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5,589</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799</w:t>
            </w:r>
          </w:p>
        </w:tc>
      </w:tr>
      <w:tr>
        <w:trPr>
          <w:trHeight w:val="20"/>
        </w:trPr>
        <w:tc>
          <w:tcPr>
            <w:tcW w:w="6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8"/>
        </w:trPr>
        <w:tc>
          <w:tcPr>
            <w:tcW w:w="614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2"/>
        </w:trPr>
        <w:tc>
          <w:tcPr>
            <w:tcW w:w="6140" w:type="dxa"/>
            <w:vAlign w:val="bottom"/>
          </w:tcPr>
          <w:p>
            <w:pPr>
              <w:spacing w:after="0"/>
              <w:rPr>
                <w:sz w:val="12"/>
                <w:szCs w:val="12"/>
                <w:color w:val="auto"/>
              </w:rPr>
            </w:pPr>
          </w:p>
        </w:tc>
        <w:tc>
          <w:tcPr>
            <w:tcW w:w="6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220" w:type="dxa"/>
            <w:vAlign w:val="bottom"/>
          </w:tcPr>
          <w:p>
            <w:pPr>
              <w:spacing w:after="0"/>
              <w:rPr>
                <w:sz w:val="12"/>
                <w:szCs w:val="12"/>
                <w:color w:val="auto"/>
              </w:rPr>
            </w:pPr>
          </w:p>
        </w:tc>
        <w:tc>
          <w:tcPr>
            <w:tcW w:w="6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2"/>
                <w:szCs w:val="12"/>
                <w:color w:val="auto"/>
              </w:rPr>
            </w:pPr>
          </w:p>
        </w:tc>
        <w:tc>
          <w:tcPr>
            <w:tcW w:w="800" w:type="dxa"/>
            <w:vAlign w:val="bottom"/>
            <w:gridSpan w:val="2"/>
          </w:tcPr>
          <w:p>
            <w:pPr>
              <w:jc w:val="center"/>
              <w:ind w:left="5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2"/>
                <w:szCs w:val="12"/>
                <w:color w:val="auto"/>
              </w:rPr>
            </w:pPr>
          </w:p>
        </w:tc>
        <w:tc>
          <w:tcPr>
            <w:tcW w:w="6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60" w:type="dxa"/>
            <w:vAlign w:val="bottom"/>
          </w:tcPr>
          <w:p>
            <w:pPr>
              <w:spacing w:after="0"/>
              <w:rPr>
                <w:sz w:val="12"/>
                <w:szCs w:val="12"/>
                <w:color w:val="auto"/>
              </w:rPr>
            </w:pPr>
          </w:p>
        </w:tc>
        <w:tc>
          <w:tcPr>
            <w:tcW w:w="88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2"/>
        </w:trPr>
        <w:tc>
          <w:tcPr>
            <w:tcW w:w="614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Borders>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Borders>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160" w:type="dxa"/>
            <w:vAlign w:val="bottom"/>
            <w:tcBorders>
              <w:bottom w:val="single" w:sz="8" w:color="auto"/>
            </w:tcBorders>
          </w:tcPr>
          <w:p>
            <w:pPr>
              <w:spacing w:after="0"/>
              <w:rPr>
                <w:sz w:val="12"/>
                <w:szCs w:val="12"/>
                <w:color w:val="auto"/>
              </w:rPr>
            </w:pPr>
          </w:p>
        </w:tc>
        <w:tc>
          <w:tcPr>
            <w:tcW w:w="880" w:type="dxa"/>
            <w:vAlign w:val="bottom"/>
            <w:tcBorders>
              <w:top w:val="single" w:sz="8" w:color="auto"/>
              <w:bottom w:val="single" w:sz="8" w:color="auto"/>
            </w:tcBorders>
            <w:gridSpan w:val="2"/>
          </w:tcPr>
          <w:p>
            <w:pPr>
              <w:jc w:val="right"/>
              <w:ind w:right="38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540" w:type="dxa"/>
            <w:vAlign w:val="bottom"/>
            <w:tcBorders>
              <w:top w:val="single" w:sz="8" w:color="auto"/>
              <w:bottom w:val="single" w:sz="8" w:color="auto"/>
            </w:tcBorders>
          </w:tcPr>
          <w:p>
            <w:pPr>
              <w:jc w:val="right"/>
              <w:ind w:right="51"/>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20" w:type="dxa"/>
            <w:vAlign w:val="bottom"/>
          </w:tcPr>
          <w:p>
            <w:pPr>
              <w:spacing w:after="0"/>
              <w:rPr>
                <w:sz w:val="12"/>
                <w:szCs w:val="12"/>
                <w:color w:val="auto"/>
              </w:rPr>
            </w:pPr>
          </w:p>
        </w:tc>
      </w:tr>
      <w:tr>
        <w:trPr>
          <w:trHeight w:val="142"/>
        </w:trPr>
        <w:tc>
          <w:tcPr>
            <w:tcW w:w="6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gridSpan w:val="4"/>
          </w:tcPr>
          <w:p>
            <w:pPr>
              <w:jc w:val="center"/>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 Balance Sheets Data:</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36,850</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53,156</w:t>
            </w:r>
          </w:p>
        </w:tc>
        <w:tc>
          <w:tcPr>
            <w:tcW w:w="9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25,231</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24,832</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24,606</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3,519</w:t>
            </w: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10,821</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11,330</w:t>
            </w:r>
          </w:p>
        </w:tc>
        <w:tc>
          <w:tcPr>
            <w:tcW w:w="9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11,503</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11,697</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225</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investments, net</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143,243</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120,839</w:t>
            </w:r>
          </w:p>
        </w:tc>
        <w:tc>
          <w:tcPr>
            <w:tcW w:w="9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168,670</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102,608</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90,661</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12,964</w:t>
            </w: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380,034</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390,973</w:t>
            </w:r>
          </w:p>
        </w:tc>
        <w:tc>
          <w:tcPr>
            <w:tcW w:w="9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406,759</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427,780</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449,157</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64,229</w:t>
            </w: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Short-term loans</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4,168</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5,343</w:t>
            </w:r>
          </w:p>
        </w:tc>
        <w:tc>
          <w:tcPr>
            <w:tcW w:w="9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10,257</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10,669</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7,626</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1,091</w:t>
            </w: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loans, current portion</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7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168</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14,765</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2,111</w:t>
            </w: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Long-term loans</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12,629</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13,722</w:t>
            </w:r>
          </w:p>
        </w:tc>
        <w:tc>
          <w:tcPr>
            <w:tcW w:w="9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14,223</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15,596</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3,369</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482</w:t>
            </w: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payable, current portion</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10,505</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6,904</w:t>
            </w:r>
          </w:p>
        </w:tc>
        <w:tc>
          <w:tcPr>
            <w:tcW w:w="9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6,029</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8,026</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4,560</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652</w:t>
            </w: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Notes payable</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43,120</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39,893</w:t>
            </w:r>
          </w:p>
        </w:tc>
        <w:tc>
          <w:tcPr>
            <w:tcW w:w="9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34,990</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27,996</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51,021</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7,296</w:t>
            </w:r>
          </w:p>
        </w:tc>
      </w:tr>
      <w:tr>
        <w:trPr>
          <w:trHeight w:val="216"/>
        </w:trPr>
        <w:tc>
          <w:tcPr>
            <w:tcW w:w="61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Convertible senior notes, current portion</w:t>
            </w:r>
            <w:r>
              <w:rPr>
                <w:rFonts w:ascii="Times New Roman" w:cs="Times New Roman" w:eastAsia="Times New Roman" w:hAnsi="Times New Roman"/>
                <w:sz w:val="25"/>
                <w:szCs w:val="25"/>
                <w:color w:val="auto"/>
                <w:vertAlign w:val="superscript"/>
              </w:rPr>
              <w:t>(1)</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8,305</w:t>
            </w:r>
          </w:p>
        </w:tc>
        <w:tc>
          <w:tcPr>
            <w:tcW w:w="9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2,802</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242</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1,459</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209</w:t>
            </w:r>
          </w:p>
        </w:tc>
      </w:tr>
      <w:tr>
        <w:trPr>
          <w:trHeight w:val="216"/>
        </w:trPr>
        <w:tc>
          <w:tcPr>
            <w:tcW w:w="61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Convertible senior notes</w:t>
            </w:r>
            <w:r>
              <w:rPr>
                <w:rFonts w:ascii="Times New Roman" w:cs="Times New Roman" w:eastAsia="Times New Roman" w:hAnsi="Times New Roman"/>
                <w:sz w:val="25"/>
                <w:szCs w:val="25"/>
                <w:color w:val="auto"/>
                <w:vertAlign w:val="superscript"/>
              </w:rPr>
              <w:t>(1)</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12,652</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9,568</w:t>
            </w:r>
          </w:p>
        </w:tc>
        <w:tc>
          <w:tcPr>
            <w:tcW w:w="9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8,144</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8,351</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6,712</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960</w:t>
            </w: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156,082</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153,168</w:t>
            </w:r>
          </w:p>
        </w:tc>
        <w:tc>
          <w:tcPr>
            <w:tcW w:w="9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144,151</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144,168</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159,431</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22,798</w:t>
            </w:r>
          </w:p>
        </w:tc>
      </w:tr>
      <w:tr>
        <w:trPr>
          <w:trHeight w:val="238"/>
        </w:trPr>
        <w:tc>
          <w:tcPr>
            <w:tcW w:w="6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Baidu, Inc. shareholders’ equity</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211,459</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223,478</w:t>
            </w:r>
          </w:p>
        </w:tc>
        <w:tc>
          <w:tcPr>
            <w:tcW w:w="9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243,626</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263,620</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266,330</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38,085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71755</wp:posOffset>
            </wp:positionV>
            <wp:extent cx="7715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22" w:lineRule="exact"/>
        <w:rPr>
          <w:sz w:val="20"/>
          <w:szCs w:val="20"/>
          <w:color w:val="auto"/>
        </w:rPr>
      </w:pPr>
    </w:p>
    <w:p>
      <w:pPr>
        <w:jc w:val="both"/>
        <w:ind w:left="540" w:hanging="424"/>
        <w:spacing w:after="0" w:line="236" w:lineRule="auto"/>
        <w:tabs>
          <w:tab w:leader="none" w:pos="5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We adopted ASU No. 2020-06, </w:t>
      </w:r>
      <w:r>
        <w:rPr>
          <w:rFonts w:ascii="Times New Roman" w:cs="Times New Roman" w:eastAsia="Times New Roman" w:hAnsi="Times New Roman"/>
          <w:sz w:val="14"/>
          <w:szCs w:val="14"/>
          <w:i w:val="1"/>
          <w:iCs w:val="1"/>
          <w:color w:val="auto"/>
        </w:rPr>
        <w:t>Accounting for Convertible Instruments and Contracts in an Entity’s Own Equity</w:t>
      </w:r>
      <w:r>
        <w:rPr>
          <w:rFonts w:ascii="Times New Roman" w:cs="Times New Roman" w:eastAsia="Times New Roman" w:hAnsi="Times New Roman"/>
          <w:sz w:val="14"/>
          <w:szCs w:val="14"/>
          <w:color w:val="auto"/>
        </w:rPr>
        <w:t>, or ASU 2020-06, on January 1, 2022 using a modified retrospective transition method. Following the adoption of ASU 2020-06, all of the proceeds received from the issuance of the existing notes have been recorded as a liability on the balance sheet in accordance with ASC 470-20. The difference between the principal amount of each of the existing notes and net proceeds from the issuance is considered debt discount and is amortized at their respective effective interest rates to accrete the carrying value of the existing notes to its face value on the respective put dates of the existing notes.</w:t>
      </w:r>
    </w:p>
    <w:p>
      <w:pPr>
        <w:spacing w:after="0" w:line="1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40"/>
          </w:cols>
          <w:pgMar w:left="320" w:top="482" w:right="4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626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5"/>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6260" w:type="dxa"/>
            <w:vAlign w:val="bottom"/>
          </w:tcPr>
          <w:p>
            <w:pPr>
              <w:spacing w:after="0"/>
              <w:rPr>
                <w:sz w:val="12"/>
                <w:szCs w:val="12"/>
                <w:color w:val="auto"/>
              </w:rPr>
            </w:pPr>
          </w:p>
        </w:tc>
        <w:tc>
          <w:tcPr>
            <w:tcW w:w="620" w:type="dxa"/>
            <w:vAlign w:val="bottom"/>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2"/>
                <w:szCs w:val="12"/>
                <w:color w:val="auto"/>
              </w:rPr>
            </w:pPr>
          </w:p>
        </w:tc>
        <w:tc>
          <w:tcPr>
            <w:tcW w:w="560" w:type="dxa"/>
            <w:vAlign w:val="bottom"/>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2"/>
                <w:szCs w:val="12"/>
                <w:color w:val="auto"/>
              </w:rPr>
            </w:pPr>
          </w:p>
        </w:tc>
        <w:tc>
          <w:tcPr>
            <w:tcW w:w="740" w:type="dxa"/>
            <w:vAlign w:val="bottom"/>
            <w:gridSpan w:val="2"/>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2"/>
                <w:szCs w:val="12"/>
                <w:color w:val="auto"/>
              </w:rPr>
            </w:pPr>
          </w:p>
        </w:tc>
        <w:tc>
          <w:tcPr>
            <w:tcW w:w="620" w:type="dxa"/>
            <w:vAlign w:val="bottom"/>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2"/>
        </w:trPr>
        <w:tc>
          <w:tcPr>
            <w:tcW w:w="626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Borders>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36"/>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Borders>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Borders>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96"/>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500" w:type="dxa"/>
            <w:vAlign w:val="bottom"/>
            <w:tcBorders>
              <w:top w:val="single" w:sz="8" w:color="auto"/>
              <w:bottom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20" w:type="dxa"/>
            <w:vAlign w:val="bottom"/>
          </w:tcPr>
          <w:p>
            <w:pPr>
              <w:spacing w:after="0"/>
              <w:rPr>
                <w:sz w:val="12"/>
                <w:szCs w:val="12"/>
                <w:color w:val="auto"/>
              </w:rPr>
            </w:pPr>
          </w:p>
        </w:tc>
      </w:tr>
      <w:tr>
        <w:trPr>
          <w:trHeight w:val="142"/>
        </w:trPr>
        <w:tc>
          <w:tcPr>
            <w:tcW w:w="6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4"/>
          </w:tcPr>
          <w:p>
            <w:pPr>
              <w:jc w:val="right"/>
              <w:ind w:right="58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8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 Cash Flow Data:</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by/(used in) operating activities</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20,122</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26,170</w:t>
            </w:r>
          </w:p>
        </w:tc>
        <w:tc>
          <w:tcPr>
            <w:tcW w:w="9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36,615</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21,234</w:t>
            </w:r>
          </w:p>
        </w:tc>
        <w:tc>
          <w:tcPr>
            <w:tcW w:w="86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(3,013)</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(431)</w:t>
            </w: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(31,444)</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(3,944)</w:t>
            </w:r>
          </w:p>
        </w:tc>
        <w:tc>
          <w:tcPr>
            <w:tcW w:w="9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(50,397)</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(8,555)</w:t>
            </w:r>
          </w:p>
        </w:tc>
        <w:tc>
          <w:tcPr>
            <w:tcW w:w="8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(25,136)</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(3,594)</w:t>
            </w: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by/(used in) financing activities</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23,396</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(6,390)</w:t>
            </w:r>
          </w:p>
        </w:tc>
        <w:tc>
          <w:tcPr>
            <w:tcW w:w="9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(14,162)</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(13,759)</w:t>
            </w:r>
          </w:p>
        </w:tc>
        <w:tc>
          <w:tcPr>
            <w:tcW w:w="860" w:type="dxa"/>
            <w:vAlign w:val="bottom"/>
          </w:tcPr>
          <w:p>
            <w:pPr>
              <w:jc w:val="right"/>
              <w:ind w:right="156"/>
              <w:spacing w:after="0"/>
              <w:rPr>
                <w:sz w:val="20"/>
                <w:szCs w:val="20"/>
                <w:color w:val="auto"/>
              </w:rPr>
            </w:pPr>
            <w:r>
              <w:rPr>
                <w:rFonts w:ascii="Times New Roman" w:cs="Times New Roman" w:eastAsia="Times New Roman" w:hAnsi="Times New Roman"/>
                <w:sz w:val="18"/>
                <w:szCs w:val="18"/>
                <w:color w:val="auto"/>
              </w:rPr>
              <w:t>17,142</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2,451</w:t>
            </w: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increase/(decrease) in cash, cash equivalents and restricted cash</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11,131</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17,565</w:t>
            </w:r>
          </w:p>
        </w:tc>
        <w:tc>
          <w:tcPr>
            <w:tcW w:w="9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(27,662)</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(985)</w:t>
            </w:r>
          </w:p>
        </w:tc>
        <w:tc>
          <w:tcPr>
            <w:tcW w:w="8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(11,758)</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(1,681)</w:t>
            </w: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Financial Information Related to the Variable Interest Entities</w:t>
      </w:r>
    </w:p>
    <w:p>
      <w:pPr>
        <w:spacing w:after="0" w:line="121"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following tables present the condensed consolidating schedule of financial performance, financial position and cash flows for Baidu, Inc., its wholly owned subsidiaries that are the Primary Beneficiaries of the VIEs under U.S. GAAP, or the Primary Beneficiaries of VIEs excluding Baidu, Inc., its other subsidiaries that are not the Primary Beneficiaries of VIEs, or the “Other Subsidiaries, the VIEs and VIEs’ subsidiaries that we consolidate for the periods and as of the dates presented.</w:t>
      </w:r>
    </w:p>
    <w:p>
      <w:pPr>
        <w:spacing w:after="0" w:line="85" w:lineRule="exact"/>
        <w:rPr>
          <w:sz w:val="20"/>
          <w:szCs w:val="20"/>
          <w:color w:val="auto"/>
        </w:rPr>
      </w:pPr>
    </w:p>
    <w:p>
      <w:pPr>
        <w:jc w:val="both"/>
        <w:ind w:left="1080" w:right="20" w:hanging="424"/>
        <w:spacing w:after="0" w:line="266"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“Baidu, Inc.” is our holding company in the Cayman Islands, and the primary beneficiary of the VIEs including Baidu Netcom, Beijing Perusal, and other VIEs. “Primary Beneficiaries of VIEs excluding Baidu, Inc.” mainly refer to iQIYI, Inc., the primary beneficiary of Beijing iQIYI and other iQIYI VIEs.</w:t>
      </w:r>
    </w:p>
    <w:p>
      <w:pPr>
        <w:spacing w:after="0" w:line="81" w:lineRule="exact"/>
        <w:rPr>
          <w:rFonts w:ascii="Times New Roman" w:cs="Times New Roman" w:eastAsia="Times New Roman" w:hAnsi="Times New Roman"/>
          <w:sz w:val="18"/>
          <w:szCs w:val="18"/>
          <w:color w:val="auto"/>
        </w:rPr>
      </w:pPr>
    </w:p>
    <w:p>
      <w:pPr>
        <w:jc w:val="both"/>
        <w:ind w:left="1080" w:hanging="424"/>
        <w:spacing w:after="0" w:line="255"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Subsidiaries” refer to the sum of non-VIE subsidiaries, which mainly include Baidu Online Network Technology (Beijing) Co., Ltd., or Baidu Online, Baidu (China) Co., Ltd., or Baidu China, Baidu.com Times Technology (Beijing) Co., Ltd., or Baidu Times, Beijing QIYI Century Science &amp; Technology Co., Ltd., or Beijing QIYI Century, a wholly-owned foreign enterprise of iQIYI, Inc., and other wholly-owned subsidiaries, which mainly provide online marketing services to external customers. In addition, as instructed by the primary beneficiaries of the VIEs, certain wholly-owned subsidiaries including Baidu Online and Beijing QIYI Century also provide long-term loans to the nominee shareholders of the VIEs to fund the capitalization of these entities as well as exclusive technology consulting and services to the VIEs.</w:t>
      </w:r>
    </w:p>
    <w:p>
      <w:pPr>
        <w:spacing w:after="0" w:line="94"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“VIEs and VIEs’ subsidiaries” refer to the sum of Baidu Netcom, Beijing Perusal, Beijing iQIYI and other iQIYI VIEs, and other VIEs.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Selected Condensed Consolidating Statements of Comprehensive Income Information</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96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3280" w:type="dxa"/>
            <w:vAlign w:val="bottom"/>
            <w:tcBorders>
              <w:bottom w:val="single" w:sz="8" w:color="auto"/>
            </w:tcBorders>
            <w:gridSpan w:val="3"/>
          </w:tcPr>
          <w:p>
            <w:pPr>
              <w:jc w:val="center"/>
              <w:ind w:right="755"/>
              <w:spacing w:after="0"/>
              <w:rPr>
                <w:sz w:val="20"/>
                <w:szCs w:val="20"/>
                <w:color w:val="auto"/>
              </w:rPr>
            </w:pPr>
            <w:r>
              <w:rPr>
                <w:rFonts w:ascii="Times New Roman" w:cs="Times New Roman" w:eastAsia="Times New Roman" w:hAnsi="Times New Roman"/>
                <w:sz w:val="14"/>
                <w:szCs w:val="14"/>
                <w:b w:val="1"/>
                <w:bCs w:val="1"/>
                <w:color w:val="auto"/>
              </w:rPr>
              <w:t>For the Year Ended December 31, 2025</w:t>
            </w:r>
          </w:p>
        </w:tc>
        <w:tc>
          <w:tcPr>
            <w:tcW w:w="9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9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Primary</w:t>
            </w:r>
          </w:p>
        </w:tc>
        <w:tc>
          <w:tcPr>
            <w:tcW w:w="10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9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Beneficiaries</w:t>
            </w:r>
          </w:p>
        </w:tc>
        <w:tc>
          <w:tcPr>
            <w:tcW w:w="1020" w:type="dxa"/>
            <w:vAlign w:val="bottom"/>
          </w:tcPr>
          <w:p>
            <w:pPr>
              <w:spacing w:after="0"/>
              <w:rPr>
                <w:sz w:val="12"/>
                <w:szCs w:val="12"/>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VIEs and</w:t>
            </w:r>
          </w:p>
        </w:tc>
        <w:tc>
          <w:tcPr>
            <w:tcW w:w="1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60" w:type="dxa"/>
            <w:vAlign w:val="bottom"/>
          </w:tcPr>
          <w:p>
            <w:pPr>
              <w:spacing w:after="0"/>
              <w:rPr>
                <w:sz w:val="12"/>
                <w:szCs w:val="12"/>
                <w:color w:val="auto"/>
              </w:rPr>
            </w:pPr>
          </w:p>
        </w:tc>
        <w:tc>
          <w:tcPr>
            <w:tcW w:w="800" w:type="dxa"/>
            <w:vAlign w:val="bottom"/>
            <w:vMerge w:val="restart"/>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Baidu</w:t>
            </w: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VIEs</w:t>
            </w:r>
          </w:p>
        </w:tc>
        <w:tc>
          <w:tcPr>
            <w:tcW w:w="1020" w:type="dxa"/>
            <w:vAlign w:val="bottom"/>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160" w:type="dxa"/>
            <w:vAlign w:val="bottom"/>
            <w:vMerge w:val="continue"/>
          </w:tcPr>
          <w:p>
            <w:pPr>
              <w:spacing w:after="0"/>
              <w:rPr>
                <w:sz w:val="12"/>
                <w:szCs w:val="12"/>
                <w:color w:val="auto"/>
              </w:rPr>
            </w:pPr>
          </w:p>
        </w:tc>
        <w:tc>
          <w:tcPr>
            <w:tcW w:w="1100" w:type="dxa"/>
            <w:vAlign w:val="bottom"/>
          </w:tcPr>
          <w:p>
            <w:pPr>
              <w:spacing w:after="0"/>
              <w:rPr>
                <w:sz w:val="12"/>
                <w:szCs w:val="12"/>
                <w:color w:val="auto"/>
              </w:rPr>
            </w:pPr>
          </w:p>
        </w:tc>
        <w:tc>
          <w:tcPr>
            <w:tcW w:w="10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49"/>
        </w:trPr>
        <w:tc>
          <w:tcPr>
            <w:tcW w:w="49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excluding</w:t>
            </w:r>
          </w:p>
        </w:tc>
        <w:tc>
          <w:tcPr>
            <w:tcW w:w="1020" w:type="dxa"/>
            <w:vAlign w:val="bottom"/>
            <w:vMerge w:val="continue"/>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VIEs’</w:t>
            </w:r>
          </w:p>
        </w:tc>
        <w:tc>
          <w:tcPr>
            <w:tcW w:w="1100" w:type="dxa"/>
            <w:vAlign w:val="bottom"/>
            <w:vMerge w:val="restart"/>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960" w:type="dxa"/>
            <w:vAlign w:val="bottom"/>
          </w:tcPr>
          <w:p>
            <w:pPr>
              <w:spacing w:after="0"/>
              <w:rPr>
                <w:sz w:val="15"/>
                <w:szCs w:val="15"/>
                <w:color w:val="auto"/>
              </w:rPr>
            </w:pPr>
          </w:p>
        </w:tc>
        <w:tc>
          <w:tcPr>
            <w:tcW w:w="800" w:type="dxa"/>
            <w:vAlign w:val="bottom"/>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Inc.</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Baidu, Inc.</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100" w:type="dxa"/>
            <w:vAlign w:val="bottom"/>
            <w:vMerge w:val="continue"/>
          </w:tcPr>
          <w:p>
            <w:pPr>
              <w:spacing w:after="0"/>
              <w:rPr>
                <w:sz w:val="15"/>
                <w:szCs w:val="15"/>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17"/>
        </w:trPr>
        <w:tc>
          <w:tcPr>
            <w:tcW w:w="496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center"/>
              <w:ind w:right="701"/>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11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49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180" w:type="dxa"/>
            <w:vAlign w:val="bottom"/>
            <w:gridSpan w:val="2"/>
          </w:tcPr>
          <w:p>
            <w:pPr>
              <w:jc w:val="center"/>
              <w:ind w:left="1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8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81,720</w:t>
            </w:r>
          </w:p>
        </w:tc>
        <w:tc>
          <w:tcPr>
            <w:tcW w:w="116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74,650</w:t>
            </w:r>
          </w:p>
        </w:tc>
        <w:tc>
          <w:tcPr>
            <w:tcW w:w="11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(27,291)</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129,079</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Share of loss of the VIEs and VIEs’ subsidiaries</w:t>
            </w:r>
          </w:p>
        </w:tc>
        <w:tc>
          <w:tcPr>
            <w:tcW w:w="8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(10,129)</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tcPr>
          <w:p>
            <w:pPr>
              <w:jc w:val="right"/>
              <w:ind w:right="161"/>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10,931</w:t>
            </w:r>
          </w:p>
        </w:tc>
        <w:tc>
          <w:tcPr>
            <w:tcW w:w="1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8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5,589</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18,842</w:t>
            </w:r>
          </w:p>
        </w:tc>
        <w:tc>
          <w:tcPr>
            <w:tcW w:w="11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(10,149)</w:t>
            </w:r>
          </w:p>
        </w:tc>
        <w:tc>
          <w:tcPr>
            <w:tcW w:w="11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(8,587)</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5,457</w:t>
            </w:r>
          </w:p>
        </w:tc>
        <w:tc>
          <w:tcPr>
            <w:tcW w:w="0" w:type="dxa"/>
            <w:vAlign w:val="bottom"/>
          </w:tcPr>
          <w:p>
            <w:pPr>
              <w:spacing w:after="0"/>
              <w:rPr>
                <w:sz w:val="1"/>
                <w:szCs w:val="1"/>
                <w:color w:val="auto"/>
              </w:rPr>
            </w:pPr>
          </w:p>
        </w:tc>
      </w:tr>
      <w:tr>
        <w:trPr>
          <w:trHeight w:val="365"/>
        </w:trPr>
        <w:tc>
          <w:tcPr>
            <w:tcW w:w="4960" w:type="dxa"/>
            <w:vAlign w:val="bottom"/>
          </w:tcPr>
          <w:p>
            <w:pPr>
              <w:spacing w:after="0"/>
              <w:rPr>
                <w:sz w:val="24"/>
                <w:szCs w:val="24"/>
                <w:color w:val="auto"/>
              </w:rPr>
            </w:pPr>
          </w:p>
        </w:tc>
        <w:tc>
          <w:tcPr>
            <w:tcW w:w="80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10</w:t>
            </w:r>
          </w:p>
        </w:tc>
        <w:tc>
          <w:tcPr>
            <w:tcW w:w="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18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3200" w:type="dxa"/>
            <w:vAlign w:val="bottom"/>
            <w:tcBorders>
              <w:bottom w:val="single" w:sz="8" w:color="auto"/>
            </w:tcBorders>
            <w:gridSpan w:val="3"/>
          </w:tcPr>
          <w:p>
            <w:pPr>
              <w:jc w:val="center"/>
              <w:ind w:right="615"/>
              <w:spacing w:after="0"/>
              <w:rPr>
                <w:sz w:val="20"/>
                <w:szCs w:val="20"/>
                <w:color w:val="auto"/>
              </w:rPr>
            </w:pPr>
            <w:r>
              <w:rPr>
                <w:rFonts w:ascii="Times New Roman" w:cs="Times New Roman" w:eastAsia="Times New Roman" w:hAnsi="Times New Roman"/>
                <w:sz w:val="14"/>
                <w:szCs w:val="14"/>
                <w:b w:val="1"/>
                <w:bCs w:val="1"/>
                <w:color w:val="auto"/>
              </w:rPr>
              <w:t>For the Year Ended December 31, 2024</w:t>
            </w:r>
          </w:p>
        </w:tc>
        <w:tc>
          <w:tcPr>
            <w:tcW w:w="9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60" w:type="dxa"/>
            <w:vAlign w:val="bottom"/>
          </w:tcPr>
          <w:p>
            <w:pPr>
              <w:jc w:val="center"/>
              <w:ind w:left="2"/>
              <w:spacing w:after="0" w:line="118" w:lineRule="exact"/>
              <w:rPr>
                <w:sz w:val="20"/>
                <w:szCs w:val="20"/>
                <w:color w:val="auto"/>
              </w:rPr>
            </w:pPr>
            <w:r>
              <w:rPr>
                <w:rFonts w:ascii="Times New Roman" w:cs="Times New Roman" w:eastAsia="Times New Roman" w:hAnsi="Times New Roman"/>
                <w:sz w:val="13"/>
                <w:szCs w:val="13"/>
                <w:b w:val="1"/>
                <w:bCs w:val="1"/>
                <w:color w:val="auto"/>
              </w:rPr>
              <w:t>Primary</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60" w:type="dxa"/>
            <w:vAlign w:val="bottom"/>
          </w:tcPr>
          <w:p>
            <w:pPr>
              <w:jc w:val="center"/>
              <w:ind w:left="22"/>
              <w:spacing w:after="0" w:line="149" w:lineRule="exact"/>
              <w:rPr>
                <w:sz w:val="20"/>
                <w:szCs w:val="20"/>
                <w:color w:val="auto"/>
              </w:rPr>
            </w:pPr>
            <w:r>
              <w:rPr>
                <w:rFonts w:ascii="Times New Roman" w:cs="Times New Roman" w:eastAsia="Times New Roman" w:hAnsi="Times New Roman"/>
                <w:sz w:val="14"/>
                <w:szCs w:val="14"/>
                <w:b w:val="1"/>
                <w:bCs w:val="1"/>
                <w:color w:val="auto"/>
              </w:rPr>
              <w:t>Beneficiaries</w:t>
            </w:r>
          </w:p>
        </w:tc>
        <w:tc>
          <w:tcPr>
            <w:tcW w:w="1040" w:type="dxa"/>
            <w:vAlign w:val="bottom"/>
          </w:tcPr>
          <w:p>
            <w:pPr>
              <w:spacing w:after="0"/>
              <w:rPr>
                <w:sz w:val="12"/>
                <w:szCs w:val="12"/>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VIEs and</w:t>
            </w:r>
          </w:p>
        </w:tc>
        <w:tc>
          <w:tcPr>
            <w:tcW w:w="1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680" w:type="dxa"/>
            <w:vAlign w:val="bottom"/>
            <w:vMerge w:val="restart"/>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Baidu</w:t>
            </w:r>
          </w:p>
        </w:tc>
        <w:tc>
          <w:tcPr>
            <w:tcW w:w="960" w:type="dxa"/>
            <w:vAlign w:val="bottom"/>
          </w:tcPr>
          <w:p>
            <w:pPr>
              <w:jc w:val="center"/>
              <w:ind w:left="22"/>
              <w:spacing w:after="0" w:line="149" w:lineRule="exact"/>
              <w:rPr>
                <w:sz w:val="20"/>
                <w:szCs w:val="20"/>
                <w:color w:val="auto"/>
              </w:rPr>
            </w:pPr>
            <w:r>
              <w:rPr>
                <w:rFonts w:ascii="Times New Roman" w:cs="Times New Roman" w:eastAsia="Times New Roman" w:hAnsi="Times New Roman"/>
                <w:sz w:val="14"/>
                <w:szCs w:val="14"/>
                <w:b w:val="1"/>
                <w:bCs w:val="1"/>
                <w:color w:val="auto"/>
              </w:rPr>
              <w:t>of VIEs</w:t>
            </w:r>
          </w:p>
        </w:tc>
        <w:tc>
          <w:tcPr>
            <w:tcW w:w="1040" w:type="dxa"/>
            <w:vAlign w:val="bottom"/>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60" w:type="dxa"/>
            <w:vAlign w:val="bottom"/>
            <w:vMerge w:val="continue"/>
          </w:tcPr>
          <w:p>
            <w:pPr>
              <w:spacing w:after="0"/>
              <w:rPr>
                <w:sz w:val="12"/>
                <w:szCs w:val="12"/>
                <w:color w:val="auto"/>
              </w:rPr>
            </w:pPr>
          </w:p>
        </w:tc>
        <w:tc>
          <w:tcPr>
            <w:tcW w:w="1100" w:type="dxa"/>
            <w:vAlign w:val="bottom"/>
          </w:tcPr>
          <w:p>
            <w:pPr>
              <w:spacing w:after="0"/>
              <w:rPr>
                <w:sz w:val="12"/>
                <w:szCs w:val="12"/>
                <w:color w:val="auto"/>
              </w:rPr>
            </w:pPr>
          </w:p>
        </w:tc>
        <w:tc>
          <w:tcPr>
            <w:tcW w:w="10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49"/>
        </w:trPr>
        <w:tc>
          <w:tcPr>
            <w:tcW w:w="51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960" w:type="dxa"/>
            <w:vAlign w:val="bottom"/>
          </w:tcPr>
          <w:p>
            <w:pPr>
              <w:jc w:val="center"/>
              <w:ind w:left="22"/>
              <w:spacing w:after="0" w:line="149" w:lineRule="exact"/>
              <w:rPr>
                <w:sz w:val="20"/>
                <w:szCs w:val="20"/>
                <w:color w:val="auto"/>
              </w:rPr>
            </w:pPr>
            <w:r>
              <w:rPr>
                <w:rFonts w:ascii="Times New Roman" w:cs="Times New Roman" w:eastAsia="Times New Roman" w:hAnsi="Times New Roman"/>
                <w:sz w:val="14"/>
                <w:szCs w:val="14"/>
                <w:b w:val="1"/>
                <w:bCs w:val="1"/>
                <w:color w:val="auto"/>
              </w:rPr>
              <w:t>excluding</w:t>
            </w:r>
          </w:p>
        </w:tc>
        <w:tc>
          <w:tcPr>
            <w:tcW w:w="1040" w:type="dxa"/>
            <w:vAlign w:val="bottom"/>
            <w:vMerge w:val="continue"/>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VIEs’</w:t>
            </w:r>
          </w:p>
        </w:tc>
        <w:tc>
          <w:tcPr>
            <w:tcW w:w="1100" w:type="dxa"/>
            <w:vAlign w:val="bottom"/>
            <w:vMerge w:val="restart"/>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180" w:type="dxa"/>
            <w:vAlign w:val="bottom"/>
          </w:tcPr>
          <w:p>
            <w:pPr>
              <w:spacing w:after="0"/>
              <w:rPr>
                <w:sz w:val="15"/>
                <w:szCs w:val="15"/>
                <w:color w:val="auto"/>
              </w:rPr>
            </w:pPr>
          </w:p>
        </w:tc>
        <w:tc>
          <w:tcPr>
            <w:tcW w:w="68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Inc.</w:t>
            </w:r>
          </w:p>
        </w:tc>
        <w:tc>
          <w:tcPr>
            <w:tcW w:w="960" w:type="dxa"/>
            <w:vAlign w:val="bottom"/>
          </w:tcPr>
          <w:p>
            <w:pPr>
              <w:jc w:val="center"/>
              <w:ind w:left="22"/>
              <w:spacing w:after="0"/>
              <w:rPr>
                <w:sz w:val="20"/>
                <w:szCs w:val="20"/>
                <w:color w:val="auto"/>
              </w:rPr>
            </w:pPr>
            <w:r>
              <w:rPr>
                <w:rFonts w:ascii="Times New Roman" w:cs="Times New Roman" w:eastAsia="Times New Roman" w:hAnsi="Times New Roman"/>
                <w:sz w:val="14"/>
                <w:szCs w:val="14"/>
                <w:b w:val="1"/>
                <w:bCs w:val="1"/>
                <w:color w:val="auto"/>
              </w:rPr>
              <w:t>Baidu, Inc.</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100" w:type="dxa"/>
            <w:vAlign w:val="bottom"/>
            <w:vMerge w:val="continue"/>
          </w:tcPr>
          <w:p>
            <w:pPr>
              <w:spacing w:after="0"/>
              <w:rPr>
                <w:sz w:val="15"/>
                <w:szCs w:val="15"/>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17"/>
        </w:trPr>
        <w:tc>
          <w:tcPr>
            <w:tcW w:w="518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center"/>
              <w:ind w:right="561"/>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11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5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100" w:type="dxa"/>
            <w:vAlign w:val="bottom"/>
            <w:gridSpan w:val="2"/>
          </w:tcPr>
          <w:p>
            <w:pPr>
              <w:jc w:val="center"/>
              <w:ind w:left="3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68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91,045</w:t>
            </w:r>
          </w:p>
        </w:tc>
        <w:tc>
          <w:tcPr>
            <w:tcW w:w="106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66,755</w:t>
            </w:r>
          </w:p>
        </w:tc>
        <w:tc>
          <w:tcPr>
            <w:tcW w:w="11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(24,680)</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133,125</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Share of income of the VIEs and VIEs’ subsidiaries</w:t>
            </w:r>
          </w:p>
        </w:tc>
        <w:tc>
          <w:tcPr>
            <w:tcW w:w="6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2,625</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04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tcPr>
          <w:p>
            <w:pPr>
              <w:jc w:val="right"/>
              <w:ind w:right="101"/>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(3,078)</w:t>
            </w:r>
          </w:p>
        </w:tc>
        <w:tc>
          <w:tcPr>
            <w:tcW w:w="1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6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23,760</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22,839</w:t>
            </w:r>
          </w:p>
        </w:tc>
        <w:tc>
          <w:tcPr>
            <w:tcW w:w="106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2,625</w:t>
            </w:r>
          </w:p>
        </w:tc>
        <w:tc>
          <w:tcPr>
            <w:tcW w:w="11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(25,717)</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24,175</w:t>
            </w:r>
          </w:p>
        </w:tc>
        <w:tc>
          <w:tcPr>
            <w:tcW w:w="0" w:type="dxa"/>
            <w:vAlign w:val="bottom"/>
          </w:tcPr>
          <w:p>
            <w:pPr>
              <w:spacing w:after="0"/>
              <w:rPr>
                <w:sz w:val="1"/>
                <w:szCs w:val="1"/>
                <w:color w:val="auto"/>
              </w:rPr>
            </w:pPr>
          </w:p>
        </w:tc>
      </w:tr>
      <w:tr>
        <w:trPr>
          <w:trHeight w:val="392"/>
        </w:trPr>
        <w:tc>
          <w:tcPr>
            <w:tcW w:w="518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3"/>
          </w:tcPr>
          <w:p>
            <w:pPr>
              <w:jc w:val="center"/>
              <w:ind w:right="615"/>
              <w:spacing w:after="0"/>
              <w:rPr>
                <w:sz w:val="20"/>
                <w:szCs w:val="20"/>
                <w:color w:val="auto"/>
              </w:rPr>
            </w:pPr>
            <w:r>
              <w:rPr>
                <w:rFonts w:ascii="Times New Roman" w:cs="Times New Roman" w:eastAsia="Times New Roman" w:hAnsi="Times New Roman"/>
                <w:sz w:val="14"/>
                <w:szCs w:val="14"/>
                <w:b w:val="1"/>
                <w:bCs w:val="1"/>
                <w:color w:val="auto"/>
              </w:rPr>
              <w:t>For the Year Ended December 31, 2023</w:t>
            </w:r>
          </w:p>
        </w:tc>
        <w:tc>
          <w:tcPr>
            <w:tcW w:w="9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5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60" w:type="dxa"/>
            <w:vAlign w:val="bottom"/>
          </w:tcPr>
          <w:p>
            <w:pPr>
              <w:jc w:val="center"/>
              <w:ind w:left="2"/>
              <w:spacing w:after="0" w:line="118" w:lineRule="exact"/>
              <w:rPr>
                <w:sz w:val="20"/>
                <w:szCs w:val="20"/>
                <w:color w:val="auto"/>
              </w:rPr>
            </w:pPr>
            <w:r>
              <w:rPr>
                <w:rFonts w:ascii="Times New Roman" w:cs="Times New Roman" w:eastAsia="Times New Roman" w:hAnsi="Times New Roman"/>
                <w:sz w:val="13"/>
                <w:szCs w:val="13"/>
                <w:b w:val="1"/>
                <w:bCs w:val="1"/>
                <w:color w:val="auto"/>
              </w:rPr>
              <w:t>Primary</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60" w:type="dxa"/>
            <w:vAlign w:val="bottom"/>
          </w:tcPr>
          <w:p>
            <w:pPr>
              <w:jc w:val="center"/>
              <w:ind w:left="22"/>
              <w:spacing w:after="0" w:line="149" w:lineRule="exact"/>
              <w:rPr>
                <w:sz w:val="20"/>
                <w:szCs w:val="20"/>
                <w:color w:val="auto"/>
              </w:rPr>
            </w:pPr>
            <w:r>
              <w:rPr>
                <w:rFonts w:ascii="Times New Roman" w:cs="Times New Roman" w:eastAsia="Times New Roman" w:hAnsi="Times New Roman"/>
                <w:sz w:val="14"/>
                <w:szCs w:val="14"/>
                <w:b w:val="1"/>
                <w:bCs w:val="1"/>
                <w:color w:val="auto"/>
              </w:rPr>
              <w:t>Beneficiaries</w:t>
            </w:r>
          </w:p>
        </w:tc>
        <w:tc>
          <w:tcPr>
            <w:tcW w:w="1040" w:type="dxa"/>
            <w:vAlign w:val="bottom"/>
          </w:tcPr>
          <w:p>
            <w:pPr>
              <w:spacing w:after="0"/>
              <w:rPr>
                <w:sz w:val="12"/>
                <w:szCs w:val="12"/>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VIEs and</w:t>
            </w:r>
          </w:p>
        </w:tc>
        <w:tc>
          <w:tcPr>
            <w:tcW w:w="1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80" w:type="dxa"/>
            <w:vAlign w:val="bottom"/>
          </w:tcPr>
          <w:p>
            <w:pPr>
              <w:spacing w:after="0"/>
              <w:rPr>
                <w:sz w:val="12"/>
                <w:szCs w:val="12"/>
                <w:color w:val="auto"/>
              </w:rPr>
            </w:pPr>
          </w:p>
        </w:tc>
        <w:tc>
          <w:tcPr>
            <w:tcW w:w="680" w:type="dxa"/>
            <w:vAlign w:val="bottom"/>
            <w:vMerge w:val="restart"/>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Baidu</w:t>
            </w:r>
          </w:p>
        </w:tc>
        <w:tc>
          <w:tcPr>
            <w:tcW w:w="960" w:type="dxa"/>
            <w:vAlign w:val="bottom"/>
          </w:tcPr>
          <w:p>
            <w:pPr>
              <w:jc w:val="center"/>
              <w:ind w:left="22"/>
              <w:spacing w:after="0" w:line="149" w:lineRule="exact"/>
              <w:rPr>
                <w:sz w:val="20"/>
                <w:szCs w:val="20"/>
                <w:color w:val="auto"/>
              </w:rPr>
            </w:pPr>
            <w:r>
              <w:rPr>
                <w:rFonts w:ascii="Times New Roman" w:cs="Times New Roman" w:eastAsia="Times New Roman" w:hAnsi="Times New Roman"/>
                <w:sz w:val="14"/>
                <w:szCs w:val="14"/>
                <w:b w:val="1"/>
                <w:bCs w:val="1"/>
                <w:color w:val="auto"/>
              </w:rPr>
              <w:t>of VIEs</w:t>
            </w:r>
          </w:p>
        </w:tc>
        <w:tc>
          <w:tcPr>
            <w:tcW w:w="1040" w:type="dxa"/>
            <w:vAlign w:val="bottom"/>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60" w:type="dxa"/>
            <w:vAlign w:val="bottom"/>
            <w:vMerge w:val="continue"/>
          </w:tcPr>
          <w:p>
            <w:pPr>
              <w:spacing w:after="0"/>
              <w:rPr>
                <w:sz w:val="12"/>
                <w:szCs w:val="12"/>
                <w:color w:val="auto"/>
              </w:rPr>
            </w:pPr>
          </w:p>
        </w:tc>
        <w:tc>
          <w:tcPr>
            <w:tcW w:w="1100" w:type="dxa"/>
            <w:vAlign w:val="bottom"/>
          </w:tcPr>
          <w:p>
            <w:pPr>
              <w:spacing w:after="0"/>
              <w:rPr>
                <w:sz w:val="12"/>
                <w:szCs w:val="12"/>
                <w:color w:val="auto"/>
              </w:rPr>
            </w:pPr>
          </w:p>
        </w:tc>
        <w:tc>
          <w:tcPr>
            <w:tcW w:w="10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960" w:type="dxa"/>
            <w:vAlign w:val="bottom"/>
          </w:tcPr>
          <w:p>
            <w:pPr>
              <w:jc w:val="center"/>
              <w:ind w:left="22"/>
              <w:spacing w:after="0" w:line="149" w:lineRule="exact"/>
              <w:rPr>
                <w:sz w:val="20"/>
                <w:szCs w:val="20"/>
                <w:color w:val="auto"/>
              </w:rPr>
            </w:pPr>
            <w:r>
              <w:rPr>
                <w:rFonts w:ascii="Times New Roman" w:cs="Times New Roman" w:eastAsia="Times New Roman" w:hAnsi="Times New Roman"/>
                <w:sz w:val="14"/>
                <w:szCs w:val="14"/>
                <w:b w:val="1"/>
                <w:bCs w:val="1"/>
                <w:color w:val="auto"/>
              </w:rPr>
              <w:t>excluding</w:t>
            </w:r>
          </w:p>
        </w:tc>
        <w:tc>
          <w:tcPr>
            <w:tcW w:w="1040" w:type="dxa"/>
            <w:vAlign w:val="bottom"/>
            <w:vMerge w:val="continue"/>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VIEs’</w:t>
            </w:r>
          </w:p>
        </w:tc>
        <w:tc>
          <w:tcPr>
            <w:tcW w:w="1100" w:type="dxa"/>
            <w:vAlign w:val="bottom"/>
            <w:vMerge w:val="restart"/>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180" w:type="dxa"/>
            <w:vAlign w:val="bottom"/>
          </w:tcPr>
          <w:p>
            <w:pPr>
              <w:spacing w:after="0"/>
              <w:rPr>
                <w:sz w:val="15"/>
                <w:szCs w:val="15"/>
                <w:color w:val="auto"/>
              </w:rPr>
            </w:pPr>
          </w:p>
        </w:tc>
        <w:tc>
          <w:tcPr>
            <w:tcW w:w="68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Inc.</w:t>
            </w:r>
          </w:p>
        </w:tc>
        <w:tc>
          <w:tcPr>
            <w:tcW w:w="960" w:type="dxa"/>
            <w:vAlign w:val="bottom"/>
          </w:tcPr>
          <w:p>
            <w:pPr>
              <w:jc w:val="center"/>
              <w:ind w:left="22"/>
              <w:spacing w:after="0"/>
              <w:rPr>
                <w:sz w:val="20"/>
                <w:szCs w:val="20"/>
                <w:color w:val="auto"/>
              </w:rPr>
            </w:pPr>
            <w:r>
              <w:rPr>
                <w:rFonts w:ascii="Times New Roman" w:cs="Times New Roman" w:eastAsia="Times New Roman" w:hAnsi="Times New Roman"/>
                <w:sz w:val="14"/>
                <w:szCs w:val="14"/>
                <w:b w:val="1"/>
                <w:bCs w:val="1"/>
                <w:color w:val="auto"/>
              </w:rPr>
              <w:t>Baidu, Inc.</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100" w:type="dxa"/>
            <w:vAlign w:val="bottom"/>
            <w:vMerge w:val="continue"/>
          </w:tcPr>
          <w:p>
            <w:pPr>
              <w:spacing w:after="0"/>
              <w:rPr>
                <w:sz w:val="15"/>
                <w:szCs w:val="15"/>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17"/>
        </w:trPr>
        <w:tc>
          <w:tcPr>
            <w:tcW w:w="518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center"/>
              <w:ind w:right="561"/>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11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5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100" w:type="dxa"/>
            <w:vAlign w:val="bottom"/>
            <w:gridSpan w:val="2"/>
          </w:tcPr>
          <w:p>
            <w:pPr>
              <w:jc w:val="center"/>
              <w:ind w:left="3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68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92,326</w:t>
            </w:r>
          </w:p>
        </w:tc>
        <w:tc>
          <w:tcPr>
            <w:tcW w:w="106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67,001</w:t>
            </w:r>
          </w:p>
        </w:tc>
        <w:tc>
          <w:tcPr>
            <w:tcW w:w="11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(24,751)</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134,598</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Share of income of the VIEs and VIEs’ subsidiaries</w:t>
            </w:r>
          </w:p>
        </w:tc>
        <w:tc>
          <w:tcPr>
            <w:tcW w:w="6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4,021</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04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tcPr>
          <w:p>
            <w:pPr>
              <w:jc w:val="right"/>
              <w:ind w:right="101"/>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(4,522)</w:t>
            </w:r>
          </w:p>
        </w:tc>
        <w:tc>
          <w:tcPr>
            <w:tcW w:w="1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6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20,315</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19,235</w:t>
            </w:r>
          </w:p>
        </w:tc>
        <w:tc>
          <w:tcPr>
            <w:tcW w:w="106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4,202</w:t>
            </w:r>
          </w:p>
        </w:tc>
        <w:tc>
          <w:tcPr>
            <w:tcW w:w="11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(24,022)</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21,549</w:t>
            </w:r>
          </w:p>
        </w:tc>
        <w:tc>
          <w:tcPr>
            <w:tcW w:w="0" w:type="dxa"/>
            <w:vAlign w:val="bottom"/>
          </w:tcPr>
          <w:p>
            <w:pPr>
              <w:spacing w:after="0"/>
              <w:rPr>
                <w:sz w:val="1"/>
                <w:szCs w:val="1"/>
                <w:color w:val="auto"/>
              </w:rPr>
            </w:pPr>
          </w:p>
        </w:tc>
      </w:tr>
      <w:tr>
        <w:trPr>
          <w:trHeight w:val="365"/>
        </w:trPr>
        <w:tc>
          <w:tcPr>
            <w:tcW w:w="5180" w:type="dxa"/>
            <w:vAlign w:val="bottom"/>
          </w:tcPr>
          <w:p>
            <w:pPr>
              <w:spacing w:after="0"/>
              <w:rPr>
                <w:sz w:val="24"/>
                <w:szCs w:val="24"/>
                <w:color w:val="auto"/>
              </w:rPr>
            </w:pPr>
          </w:p>
        </w:tc>
        <w:tc>
          <w:tcPr>
            <w:tcW w:w="680" w:type="dxa"/>
            <w:vAlign w:val="bottom"/>
          </w:tcPr>
          <w:p>
            <w:pPr>
              <w:jc w:val="right"/>
              <w:ind w:right="177"/>
              <w:spacing w:after="0"/>
              <w:rPr>
                <w:sz w:val="20"/>
                <w:szCs w:val="20"/>
                <w:color w:val="auto"/>
              </w:rPr>
            </w:pPr>
            <w:r>
              <w:rPr>
                <w:rFonts w:ascii="Times New Roman" w:cs="Times New Roman" w:eastAsia="Times New Roman" w:hAnsi="Times New Roman"/>
                <w:sz w:val="18"/>
                <w:szCs w:val="18"/>
                <w:color w:val="auto"/>
              </w:rPr>
              <w:t>11</w:t>
            </w:r>
          </w:p>
        </w:tc>
        <w:tc>
          <w:tcPr>
            <w:tcW w:w="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Selected Condensed Consolidating Balance Sheets Information</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10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5"/>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8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Primary</w:t>
            </w: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Beneficiaries</w:t>
            </w: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VIEs and</w:t>
            </w: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00" w:type="dxa"/>
            <w:vAlign w:val="bottom"/>
          </w:tcPr>
          <w:p>
            <w:pPr>
              <w:spacing w:after="0"/>
              <w:rPr>
                <w:sz w:val="12"/>
                <w:szCs w:val="12"/>
                <w:color w:val="auto"/>
              </w:rPr>
            </w:pPr>
          </w:p>
        </w:tc>
        <w:tc>
          <w:tcPr>
            <w:tcW w:w="90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Baidu,</w:t>
            </w:r>
          </w:p>
        </w:tc>
        <w:tc>
          <w:tcPr>
            <w:tcW w:w="10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of VIEs</w:t>
            </w:r>
          </w:p>
        </w:tc>
        <w:tc>
          <w:tcPr>
            <w:tcW w:w="7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48"/>
        </w:trPr>
        <w:tc>
          <w:tcPr>
            <w:tcW w:w="5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excluding</w:t>
            </w:r>
          </w:p>
        </w:tc>
        <w:tc>
          <w:tcPr>
            <w:tcW w:w="7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VIEs’</w:t>
            </w:r>
          </w:p>
        </w:tc>
        <w:tc>
          <w:tcPr>
            <w:tcW w:w="108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w w:val="99"/>
              </w:rPr>
              <w:t>Eliminations</w:t>
            </w: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100" w:type="dxa"/>
            <w:vAlign w:val="bottom"/>
          </w:tcPr>
          <w:p>
            <w:pPr>
              <w:spacing w:after="0"/>
              <w:rPr>
                <w:sz w:val="15"/>
                <w:szCs w:val="15"/>
                <w:color w:val="auto"/>
              </w:rPr>
            </w:pPr>
          </w:p>
        </w:tc>
        <w:tc>
          <w:tcPr>
            <w:tcW w:w="90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Inc.</w:t>
            </w: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Baidu, Inc.</w:t>
            </w:r>
          </w:p>
        </w:tc>
        <w:tc>
          <w:tcPr>
            <w:tcW w:w="78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20" w:type="dxa"/>
            <w:vAlign w:val="bottom"/>
          </w:tcPr>
          <w:p>
            <w:pPr>
              <w:spacing w:after="0"/>
              <w:rPr>
                <w:sz w:val="15"/>
                <w:szCs w:val="15"/>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080" w:type="dxa"/>
            <w:vAlign w:val="bottom"/>
            <w:gridSpan w:val="2"/>
            <w:vMerge w:val="continue"/>
          </w:tcPr>
          <w:p>
            <w:pPr>
              <w:spacing w:after="0"/>
              <w:rPr>
                <w:sz w:val="15"/>
                <w:szCs w:val="15"/>
                <w:color w:val="auto"/>
              </w:rPr>
            </w:pPr>
          </w:p>
        </w:tc>
        <w:tc>
          <w:tcPr>
            <w:tcW w:w="8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17"/>
        </w:trPr>
        <w:tc>
          <w:tcPr>
            <w:tcW w:w="510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gridSpan w:val="3"/>
          </w:tcPr>
          <w:p>
            <w:pPr>
              <w:jc w:val="center"/>
              <w:ind w:right="840"/>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80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5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0" w:type="dxa"/>
            <w:vAlign w:val="bottom"/>
            <w:gridSpan w:val="5"/>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6,500</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1,623</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13,680</w:t>
            </w:r>
          </w:p>
        </w:tc>
        <w:tc>
          <w:tcPr>
            <w:tcW w:w="12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2,803</w:t>
            </w: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24,606</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investments, net</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16,935</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68,978</w:t>
            </w:r>
          </w:p>
        </w:tc>
        <w:tc>
          <w:tcPr>
            <w:tcW w:w="12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4,748</w:t>
            </w:r>
          </w:p>
        </w:tc>
        <w:tc>
          <w:tcPr>
            <w:tcW w:w="10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90,661</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32</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55</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14,741</w:t>
            </w:r>
          </w:p>
        </w:tc>
        <w:tc>
          <w:tcPr>
            <w:tcW w:w="12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21,875</w:t>
            </w: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36,703</w:t>
            </w: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23,467</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1,678</w:t>
            </w: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97,399</w:t>
            </w:r>
          </w:p>
        </w:tc>
        <w:tc>
          <w:tcPr>
            <w:tcW w:w="12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29,426</w:t>
            </w:r>
          </w:p>
        </w:tc>
        <w:tc>
          <w:tcPr>
            <w:tcW w:w="10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151,970</w:t>
            </w:r>
          </w:p>
        </w:tc>
        <w:tc>
          <w:tcPr>
            <w:tcW w:w="0" w:type="dxa"/>
            <w:vAlign w:val="bottom"/>
          </w:tcPr>
          <w:p>
            <w:pPr>
              <w:spacing w:after="0"/>
              <w:rPr>
                <w:sz w:val="1"/>
                <w:szCs w:val="1"/>
                <w:color w:val="auto"/>
              </w:rPr>
            </w:pPr>
          </w:p>
        </w:tc>
      </w:tr>
      <w:tr>
        <w:trPr>
          <w:trHeight w:val="223"/>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Fixed assets, net</w:t>
            </w:r>
          </w:p>
        </w:tc>
        <w:tc>
          <w:tcPr>
            <w:tcW w:w="64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w w:val="88"/>
              </w:rPr>
              <w:t>171</w:t>
            </w:r>
          </w:p>
        </w:tc>
        <w:tc>
          <w:tcPr>
            <w:tcW w:w="26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17,024</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9,086</w:t>
            </w:r>
          </w:p>
        </w:tc>
        <w:tc>
          <w:tcPr>
            <w:tcW w:w="26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26,281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investments, net</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335</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259</w:t>
            </w: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26,672</w:t>
            </w:r>
          </w:p>
        </w:tc>
        <w:tc>
          <w:tcPr>
            <w:tcW w:w="12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17,652</w:t>
            </w:r>
          </w:p>
        </w:tc>
        <w:tc>
          <w:tcPr>
            <w:tcW w:w="10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44,918</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Long-term time deposits and held-to-maturity investments</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29,640</w:t>
            </w: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90,507</w:t>
            </w:r>
          </w:p>
        </w:tc>
        <w:tc>
          <w:tcPr>
            <w:tcW w:w="12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3,715</w:t>
            </w: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123,862</w:t>
            </w:r>
          </w:p>
        </w:tc>
        <w:tc>
          <w:tcPr>
            <w:tcW w:w="0" w:type="dxa"/>
            <w:vAlign w:val="bottom"/>
          </w:tcPr>
          <w:p>
            <w:pPr>
              <w:spacing w:after="0"/>
              <w:rPr>
                <w:sz w:val="1"/>
                <w:szCs w:val="1"/>
                <w:color w:val="auto"/>
              </w:rPr>
            </w:pPr>
          </w:p>
        </w:tc>
      </w:tr>
      <w:tr>
        <w:trPr>
          <w:trHeight w:val="198"/>
        </w:trPr>
        <w:tc>
          <w:tcPr>
            <w:tcW w:w="51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Investments in subsidiaries and contractual interests in the VIEs and</w:t>
            </w: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100" w:type="dxa"/>
            <w:vAlign w:val="bottom"/>
            <w:shd w:val="clear" w:color="auto" w:fill="CCEEFF"/>
          </w:tcPr>
          <w:p>
            <w:pPr>
              <w:ind w:left="180"/>
              <w:spacing w:after="0" w:line="235" w:lineRule="exact"/>
              <w:rPr>
                <w:sz w:val="20"/>
                <w:szCs w:val="20"/>
                <w:color w:val="auto"/>
              </w:rPr>
            </w:pPr>
            <w:r>
              <w:rPr>
                <w:rFonts w:ascii="Times New Roman" w:cs="Times New Roman" w:eastAsia="Times New Roman" w:hAnsi="Times New Roman"/>
                <w:sz w:val="18"/>
                <w:szCs w:val="18"/>
                <w:color w:val="auto"/>
              </w:rPr>
              <w:t>VIEs’ subsidiaries</w:t>
            </w:r>
            <w:r>
              <w:rPr>
                <w:rFonts w:ascii="Times New Roman" w:cs="Times New Roman" w:eastAsia="Times New Roman" w:hAnsi="Times New Roman"/>
                <w:sz w:val="26"/>
                <w:szCs w:val="26"/>
                <w:color w:val="auto"/>
                <w:vertAlign w:val="superscript"/>
              </w:rPr>
              <w:t>(1)</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293,404</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3,082</w:t>
            </w: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24,278</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(320,764)</w:t>
            </w: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64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88"/>
              </w:rPr>
              <w:t>— </w:t>
            </w:r>
          </w:p>
        </w:tc>
        <w:tc>
          <w:tcPr>
            <w:tcW w:w="26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151</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51,070</w:t>
            </w:r>
          </w:p>
        </w:tc>
        <w:tc>
          <w:tcPr>
            <w:tcW w:w="12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50,905</w:t>
            </w: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102,126</w:t>
            </w: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323,550</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3,492</w:t>
            </w: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209,551</w:t>
            </w:r>
          </w:p>
        </w:tc>
        <w:tc>
          <w:tcPr>
            <w:tcW w:w="12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81,358</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(320,764)</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297,187</w:t>
            </w:r>
          </w:p>
        </w:tc>
        <w:tc>
          <w:tcPr>
            <w:tcW w:w="0" w:type="dxa"/>
            <w:vAlign w:val="bottom"/>
          </w:tcPr>
          <w:p>
            <w:pPr>
              <w:spacing w:after="0"/>
              <w:rPr>
                <w:sz w:val="1"/>
                <w:szCs w:val="1"/>
                <w:color w:val="auto"/>
              </w:rPr>
            </w:pPr>
          </w:p>
        </w:tc>
      </w:tr>
      <w:tr>
        <w:trPr>
          <w:trHeight w:val="230"/>
        </w:trPr>
        <w:tc>
          <w:tcPr>
            <w:tcW w:w="5100" w:type="dxa"/>
            <w:vAlign w:val="bottom"/>
          </w:tcPr>
          <w:p>
            <w:pPr>
              <w:spacing w:after="0" w:line="223" w:lineRule="exact"/>
              <w:rPr>
                <w:sz w:val="20"/>
                <w:szCs w:val="20"/>
                <w:color w:val="auto"/>
              </w:rPr>
            </w:pPr>
            <w:r>
              <w:rPr>
                <w:rFonts w:ascii="Times New Roman" w:cs="Times New Roman" w:eastAsia="Times New Roman" w:hAnsi="Times New Roman"/>
                <w:sz w:val="17"/>
                <w:szCs w:val="17"/>
                <w:b w:val="1"/>
                <w:bCs w:val="1"/>
                <w:color w:val="auto"/>
              </w:rPr>
              <w:t>Amounts due from the entities within Baidu</w:t>
            </w:r>
            <w:r>
              <w:rPr>
                <w:rFonts w:ascii="Times New Roman" w:cs="Times New Roman" w:eastAsia="Times New Roman" w:hAnsi="Times New Roman"/>
                <w:sz w:val="25"/>
                <w:szCs w:val="25"/>
                <w:color w:val="auto"/>
                <w:vertAlign w:val="superscript"/>
              </w:rPr>
              <w:t>(2)</w:t>
            </w:r>
          </w:p>
        </w:tc>
        <w:tc>
          <w:tcPr>
            <w:tcW w:w="64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w w:val="88"/>
              </w:rPr>
              <w:t>— </w:t>
            </w:r>
          </w:p>
        </w:tc>
        <w:tc>
          <w:tcPr>
            <w:tcW w:w="26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24,197</w:t>
            </w:r>
          </w:p>
        </w:tc>
        <w:tc>
          <w:tcPr>
            <w:tcW w:w="26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24,533</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Borders>
              <w:top w:val="single" w:sz="8" w:color="auto"/>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w w:val="96"/>
              </w:rPr>
              <w:t>— </w:t>
            </w:r>
          </w:p>
        </w:tc>
        <w:tc>
          <w:tcPr>
            <w:tcW w:w="26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(48,730)</w:t>
            </w:r>
          </w:p>
        </w:tc>
        <w:tc>
          <w:tcPr>
            <w:tcW w:w="280" w:type="dxa"/>
            <w:vAlign w:val="bottom"/>
          </w:tcPr>
          <w:p>
            <w:pPr>
              <w:spacing w:after="0"/>
              <w:rPr>
                <w:sz w:val="20"/>
                <w:szCs w:val="20"/>
                <w:color w:val="auto"/>
              </w:rPr>
            </w:pPr>
          </w:p>
        </w:tc>
        <w:tc>
          <w:tcPr>
            <w:tcW w:w="82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w w:val="96"/>
              </w:rPr>
              <w:t>— </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347,017</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29,367</w:t>
            </w: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331,483</w:t>
            </w:r>
          </w:p>
        </w:tc>
        <w:tc>
          <w:tcPr>
            <w:tcW w:w="12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110,784</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(369,494)</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449,157</w:t>
            </w:r>
          </w:p>
        </w:tc>
        <w:tc>
          <w:tcPr>
            <w:tcW w:w="0" w:type="dxa"/>
            <w:vAlign w:val="bottom"/>
          </w:tcPr>
          <w:p>
            <w:pPr>
              <w:spacing w:after="0"/>
              <w:rPr>
                <w:sz w:val="1"/>
                <w:szCs w:val="1"/>
                <w:color w:val="auto"/>
              </w:rPr>
            </w:pPr>
          </w:p>
        </w:tc>
      </w:tr>
      <w:tr>
        <w:trPr>
          <w:trHeight w:val="20"/>
        </w:trPr>
        <w:tc>
          <w:tcPr>
            <w:tcW w:w="51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00" w:type="dxa"/>
            <w:vAlign w:val="bottom"/>
            <w:vMerge w:val="continue"/>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598</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46</w:t>
            </w: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21,090</w:t>
            </w:r>
          </w:p>
        </w:tc>
        <w:tc>
          <w:tcPr>
            <w:tcW w:w="12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17,157</w:t>
            </w:r>
          </w:p>
        </w:tc>
        <w:tc>
          <w:tcPr>
            <w:tcW w:w="10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38,891</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18,586</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1,459</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7,384</w:t>
            </w:r>
          </w:p>
        </w:tc>
        <w:tc>
          <w:tcPr>
            <w:tcW w:w="12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20,008</w:t>
            </w: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47,437</w:t>
            </w: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19,184</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1,505</w:t>
            </w: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28,474</w:t>
            </w:r>
          </w:p>
        </w:tc>
        <w:tc>
          <w:tcPr>
            <w:tcW w:w="12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37,165</w:t>
            </w:r>
          </w:p>
        </w:tc>
        <w:tc>
          <w:tcPr>
            <w:tcW w:w="10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86,328</w:t>
            </w:r>
          </w:p>
        </w:tc>
        <w:tc>
          <w:tcPr>
            <w:tcW w:w="0" w:type="dxa"/>
            <w:vAlign w:val="bottom"/>
          </w:tcPr>
          <w:p>
            <w:pPr>
              <w:spacing w:after="0"/>
              <w:rPr>
                <w:sz w:val="1"/>
                <w:szCs w:val="1"/>
                <w:color w:val="auto"/>
              </w:rPr>
            </w:pPr>
          </w:p>
        </w:tc>
      </w:tr>
      <w:tr>
        <w:trPr>
          <w:trHeight w:val="223"/>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Notes payable</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51,021</w:t>
            </w:r>
          </w:p>
        </w:tc>
        <w:tc>
          <w:tcPr>
            <w:tcW w:w="26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Borders>
              <w:top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w w:val="96"/>
              </w:rPr>
              <w:t>— </w:t>
            </w:r>
          </w:p>
        </w:tc>
        <w:tc>
          <w:tcPr>
            <w:tcW w:w="26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9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6,712</w:t>
            </w: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7,128</w:t>
            </w:r>
          </w:p>
        </w:tc>
        <w:tc>
          <w:tcPr>
            <w:tcW w:w="12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8,242</w:t>
            </w:r>
          </w:p>
        </w:tc>
        <w:tc>
          <w:tcPr>
            <w:tcW w:w="10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22,082</w:t>
            </w:r>
          </w:p>
        </w:tc>
        <w:tc>
          <w:tcPr>
            <w:tcW w:w="0" w:type="dxa"/>
            <w:vAlign w:val="bottom"/>
          </w:tcPr>
          <w:p>
            <w:pPr>
              <w:spacing w:after="0"/>
              <w:rPr>
                <w:sz w:val="1"/>
                <w:szCs w:val="1"/>
                <w:color w:val="auto"/>
              </w:rPr>
            </w:pPr>
          </w:p>
        </w:tc>
      </w:tr>
      <w:tr>
        <w:trPr>
          <w:trHeight w:val="230"/>
        </w:trPr>
        <w:tc>
          <w:tcPr>
            <w:tcW w:w="5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51,021</w:t>
            </w:r>
          </w:p>
        </w:tc>
        <w:tc>
          <w:tcPr>
            <w:tcW w:w="26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6,712</w:t>
            </w:r>
          </w:p>
        </w:tc>
        <w:tc>
          <w:tcPr>
            <w:tcW w:w="26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7,128</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8,242</w:t>
            </w:r>
          </w:p>
        </w:tc>
        <w:tc>
          <w:tcPr>
            <w:tcW w:w="26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73,103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b w:val="1"/>
                <w:bCs w:val="1"/>
                <w:color w:val="auto"/>
              </w:rPr>
              <w:t>Amounts due to the entities within Baidu</w:t>
            </w:r>
            <w:r>
              <w:rPr>
                <w:rFonts w:ascii="Times New Roman" w:cs="Times New Roman" w:eastAsia="Times New Roman" w:hAnsi="Times New Roman"/>
                <w:sz w:val="25"/>
                <w:szCs w:val="25"/>
                <w:color w:val="auto"/>
                <w:vertAlign w:val="superscript"/>
              </w:rPr>
              <w:t>(2)</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10,482</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48,146</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(58,628)</w:t>
            </w: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0"/>
        </w:trPr>
        <w:tc>
          <w:tcPr>
            <w:tcW w:w="5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80,687</w:t>
            </w:r>
          </w:p>
        </w:tc>
        <w:tc>
          <w:tcPr>
            <w:tcW w:w="26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8,217</w:t>
            </w:r>
          </w:p>
        </w:tc>
        <w:tc>
          <w:tcPr>
            <w:tcW w:w="26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35,602</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93,553</w:t>
            </w:r>
          </w:p>
        </w:tc>
        <w:tc>
          <w:tcPr>
            <w:tcW w:w="26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(58,628)</w:t>
            </w:r>
          </w:p>
        </w:tc>
        <w:tc>
          <w:tcPr>
            <w:tcW w:w="28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159,431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Redeemable noncontrolling interests</w:t>
            </w:r>
          </w:p>
        </w:tc>
        <w:tc>
          <w:tcPr>
            <w:tcW w:w="9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6,080</w:t>
            </w: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6,972</w:t>
            </w:r>
          </w:p>
        </w:tc>
        <w:tc>
          <w:tcPr>
            <w:tcW w:w="12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114</w:t>
            </w:r>
          </w:p>
        </w:tc>
        <w:tc>
          <w:tcPr>
            <w:tcW w:w="10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13,166</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Total Baidu shareholders’ equity</w:t>
            </w:r>
            <w:r>
              <w:rPr>
                <w:rFonts w:ascii="Times New Roman" w:cs="Times New Roman" w:eastAsia="Times New Roman" w:hAnsi="Times New Roman"/>
                <w:sz w:val="25"/>
                <w:szCs w:val="25"/>
                <w:color w:val="auto"/>
                <w:vertAlign w:val="superscript"/>
              </w:rPr>
              <w:t>(3)</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266,330</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7,768</w:t>
            </w: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288,881</w:t>
            </w:r>
          </w:p>
        </w:tc>
        <w:tc>
          <w:tcPr>
            <w:tcW w:w="12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14,217</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(310,866)</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266,330</w:t>
            </w:r>
          </w:p>
        </w:tc>
        <w:tc>
          <w:tcPr>
            <w:tcW w:w="0" w:type="dxa"/>
            <w:vAlign w:val="bottom"/>
          </w:tcPr>
          <w:p>
            <w:pPr>
              <w:spacing w:after="0"/>
              <w:rPr>
                <w:sz w:val="1"/>
                <w:szCs w:val="1"/>
                <w:color w:val="auto"/>
              </w:rPr>
            </w:pPr>
          </w:p>
        </w:tc>
      </w:tr>
      <w:tr>
        <w:trPr>
          <w:trHeight w:val="223"/>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6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w w:val="88"/>
              </w:rPr>
              <w:t>— </w:t>
            </w:r>
          </w:p>
        </w:tc>
        <w:tc>
          <w:tcPr>
            <w:tcW w:w="26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7,302</w:t>
            </w:r>
          </w:p>
        </w:tc>
        <w:tc>
          <w:tcPr>
            <w:tcW w:w="26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26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266,330</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15,070</w:t>
            </w: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288,909</w:t>
            </w:r>
          </w:p>
        </w:tc>
        <w:tc>
          <w:tcPr>
            <w:tcW w:w="12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17,117</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(310,866)</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276,560</w:t>
            </w:r>
          </w:p>
        </w:tc>
        <w:tc>
          <w:tcPr>
            <w:tcW w:w="0" w:type="dxa"/>
            <w:vAlign w:val="bottom"/>
          </w:tcPr>
          <w:p>
            <w:pPr>
              <w:spacing w:after="0"/>
              <w:rPr>
                <w:sz w:val="1"/>
                <w:szCs w:val="1"/>
                <w:color w:val="auto"/>
              </w:rPr>
            </w:pPr>
          </w:p>
        </w:tc>
      </w:tr>
      <w:tr>
        <w:trPr>
          <w:trHeight w:val="223"/>
        </w:trPr>
        <w:tc>
          <w:tcPr>
            <w:tcW w:w="5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redeemable noncontrolling interests, and equity</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347,017</w:t>
            </w:r>
          </w:p>
        </w:tc>
        <w:tc>
          <w:tcPr>
            <w:tcW w:w="26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29,367</w:t>
            </w:r>
          </w:p>
        </w:tc>
        <w:tc>
          <w:tcPr>
            <w:tcW w:w="26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331,483</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110,784</w:t>
            </w:r>
          </w:p>
        </w:tc>
        <w:tc>
          <w:tcPr>
            <w:tcW w:w="26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(369,494)</w:t>
            </w:r>
          </w:p>
        </w:tc>
        <w:tc>
          <w:tcPr>
            <w:tcW w:w="28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449,157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100" w:type="dxa"/>
            <w:vAlign w:val="bottom"/>
          </w:tcPr>
          <w:p>
            <w:pPr>
              <w:spacing w:after="0"/>
              <w:rPr>
                <w:sz w:val="24"/>
                <w:szCs w:val="24"/>
                <w:color w:val="auto"/>
              </w:rPr>
            </w:pPr>
          </w:p>
        </w:tc>
        <w:tc>
          <w:tcPr>
            <w:tcW w:w="6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22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8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220" w:type="dxa"/>
            <w:vAlign w:val="bottom"/>
          </w:tcPr>
          <w:p>
            <w:pPr>
              <w:spacing w:after="0"/>
              <w:rPr>
                <w:sz w:val="10"/>
                <w:szCs w:val="10"/>
                <w:color w:val="auto"/>
              </w:rPr>
            </w:pPr>
          </w:p>
        </w:tc>
        <w:tc>
          <w:tcPr>
            <w:tcW w:w="39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gridSpan w:val="2"/>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Primary</w:t>
            </w: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Beneficiaries</w:t>
            </w: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VIEs and</w:t>
            </w: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88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Baidu,</w:t>
            </w:r>
          </w:p>
        </w:tc>
        <w:tc>
          <w:tcPr>
            <w:tcW w:w="10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of VIEs</w:t>
            </w:r>
          </w:p>
        </w:tc>
        <w:tc>
          <w:tcPr>
            <w:tcW w:w="7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49"/>
        </w:trPr>
        <w:tc>
          <w:tcPr>
            <w:tcW w:w="12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excluding</w:t>
            </w:r>
          </w:p>
        </w:tc>
        <w:tc>
          <w:tcPr>
            <w:tcW w:w="7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VIEs’</w:t>
            </w:r>
          </w:p>
        </w:tc>
        <w:tc>
          <w:tcPr>
            <w:tcW w:w="108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w w:val="99"/>
              </w:rPr>
              <w:t>Eliminations</w:t>
            </w: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22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88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Inc.</w:t>
            </w: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Baidu, Inc.</w:t>
            </w:r>
          </w:p>
        </w:tc>
        <w:tc>
          <w:tcPr>
            <w:tcW w:w="78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20" w:type="dxa"/>
            <w:vAlign w:val="bottom"/>
          </w:tcPr>
          <w:p>
            <w:pPr>
              <w:spacing w:after="0"/>
              <w:rPr>
                <w:sz w:val="15"/>
                <w:szCs w:val="15"/>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080" w:type="dxa"/>
            <w:vAlign w:val="bottom"/>
            <w:gridSpan w:val="2"/>
            <w:vMerge w:val="continue"/>
          </w:tcPr>
          <w:p>
            <w:pPr>
              <w:spacing w:after="0"/>
              <w:rPr>
                <w:sz w:val="15"/>
                <w:szCs w:val="15"/>
                <w:color w:val="auto"/>
              </w:rPr>
            </w:pPr>
          </w:p>
        </w:tc>
        <w:tc>
          <w:tcPr>
            <w:tcW w:w="8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17"/>
        </w:trPr>
        <w:tc>
          <w:tcPr>
            <w:tcW w:w="1220" w:type="dxa"/>
            <w:vAlign w:val="bottom"/>
          </w:tcPr>
          <w:p>
            <w:pPr>
              <w:spacing w:after="0"/>
              <w:rPr>
                <w:sz w:val="10"/>
                <w:szCs w:val="10"/>
                <w:color w:val="auto"/>
              </w:rPr>
            </w:pPr>
          </w:p>
        </w:tc>
        <w:tc>
          <w:tcPr>
            <w:tcW w:w="394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gridSpan w:val="3"/>
          </w:tcPr>
          <w:p>
            <w:pPr>
              <w:jc w:val="center"/>
              <w:ind w:right="820"/>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80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22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80" w:type="dxa"/>
            <w:vAlign w:val="bottom"/>
            <w:gridSpan w:val="5"/>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2,383</w:t>
            </w:r>
          </w:p>
        </w:tc>
        <w:tc>
          <w:tcPr>
            <w:tcW w:w="22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936</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19,522</w:t>
            </w:r>
          </w:p>
        </w:tc>
        <w:tc>
          <w:tcPr>
            <w:tcW w:w="12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1,991</w:t>
            </w: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24,832</w:t>
            </w: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investments, net</w:t>
            </w:r>
          </w:p>
        </w:tc>
        <w:tc>
          <w:tcPr>
            <w:tcW w:w="8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16,171</w:t>
            </w: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80,964</w:t>
            </w:r>
          </w:p>
        </w:tc>
        <w:tc>
          <w:tcPr>
            <w:tcW w:w="12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5,473</w:t>
            </w:r>
          </w:p>
        </w:tc>
        <w:tc>
          <w:tcPr>
            <w:tcW w:w="10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102,608</w:t>
            </w: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Others</w:t>
            </w:r>
          </w:p>
        </w:tc>
        <w:tc>
          <w:tcPr>
            <w:tcW w:w="8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5</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39</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23,034</w:t>
            </w:r>
          </w:p>
        </w:tc>
        <w:tc>
          <w:tcPr>
            <w:tcW w:w="12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18,331</w:t>
            </w: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41,409</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39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8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18,559</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975</w:t>
            </w: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123,520</w:t>
            </w:r>
          </w:p>
        </w:tc>
        <w:tc>
          <w:tcPr>
            <w:tcW w:w="12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25,795</w:t>
            </w:r>
          </w:p>
        </w:tc>
        <w:tc>
          <w:tcPr>
            <w:tcW w:w="10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168,849</w:t>
            </w:r>
          </w:p>
        </w:tc>
        <w:tc>
          <w:tcPr>
            <w:tcW w:w="0" w:type="dxa"/>
            <w:vAlign w:val="bottom"/>
          </w:tcPr>
          <w:p>
            <w:pPr>
              <w:spacing w:after="0"/>
              <w:rPr>
                <w:sz w:val="1"/>
                <w:szCs w:val="1"/>
                <w:color w:val="auto"/>
              </w:rPr>
            </w:pPr>
          </w:p>
        </w:tc>
      </w:tr>
      <w:tr>
        <w:trPr>
          <w:trHeight w:val="223"/>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Fixed assets, net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17,306</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12,583</w:t>
            </w:r>
          </w:p>
        </w:tc>
        <w:tc>
          <w:tcPr>
            <w:tcW w:w="24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30,102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investments, net</w:t>
            </w:r>
          </w:p>
        </w:tc>
        <w:tc>
          <w:tcPr>
            <w:tcW w:w="8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850</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291</w:t>
            </w: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24,170</w:t>
            </w:r>
          </w:p>
        </w:tc>
        <w:tc>
          <w:tcPr>
            <w:tcW w:w="12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16,410</w:t>
            </w:r>
          </w:p>
        </w:tc>
        <w:tc>
          <w:tcPr>
            <w:tcW w:w="10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41,721</w:t>
            </w: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time deposits and held-to-maturity investments</w:t>
            </w:r>
          </w:p>
        </w:tc>
        <w:tc>
          <w:tcPr>
            <w:tcW w:w="8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10,970</w:t>
            </w: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84,181</w:t>
            </w:r>
          </w:p>
        </w:tc>
        <w:tc>
          <w:tcPr>
            <w:tcW w:w="12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3,384</w:t>
            </w: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98,535</w:t>
            </w:r>
          </w:p>
        </w:tc>
        <w:tc>
          <w:tcPr>
            <w:tcW w:w="0" w:type="dxa"/>
            <w:vAlign w:val="bottom"/>
          </w:tcPr>
          <w:p>
            <w:pPr>
              <w:spacing w:after="0"/>
              <w:rPr>
                <w:sz w:val="1"/>
                <w:szCs w:val="1"/>
                <w:color w:val="auto"/>
              </w:rPr>
            </w:pPr>
          </w:p>
        </w:tc>
      </w:tr>
      <w:tr>
        <w:trPr>
          <w:trHeight w:val="198"/>
        </w:trPr>
        <w:tc>
          <w:tcPr>
            <w:tcW w:w="51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Investments in subsidiaries and contractual interests in the VIEs and</w:t>
            </w: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160" w:type="dxa"/>
            <w:vAlign w:val="bottom"/>
            <w:gridSpan w:val="2"/>
            <w:shd w:val="clear" w:color="auto" w:fill="CCEEFF"/>
          </w:tcPr>
          <w:p>
            <w:pPr>
              <w:ind w:left="180"/>
              <w:spacing w:after="0" w:line="235" w:lineRule="exact"/>
              <w:rPr>
                <w:sz w:val="20"/>
                <w:szCs w:val="20"/>
                <w:color w:val="auto"/>
              </w:rPr>
            </w:pPr>
            <w:r>
              <w:rPr>
                <w:rFonts w:ascii="Times New Roman" w:cs="Times New Roman" w:eastAsia="Times New Roman" w:hAnsi="Times New Roman"/>
                <w:sz w:val="18"/>
                <w:szCs w:val="18"/>
                <w:color w:val="auto"/>
              </w:rPr>
              <w:t>VIEs’ subsidiaries</w:t>
            </w:r>
            <w:r>
              <w:rPr>
                <w:rFonts w:ascii="Times New Roman" w:cs="Times New Roman" w:eastAsia="Times New Roman" w:hAnsi="Times New Roman"/>
                <w:sz w:val="26"/>
                <w:szCs w:val="26"/>
                <w:color w:val="auto"/>
                <w:vertAlign w:val="superscript"/>
              </w:rPr>
              <w:t>(1)</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283,738</w:t>
            </w:r>
          </w:p>
        </w:tc>
        <w:tc>
          <w:tcPr>
            <w:tcW w:w="2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2,888</w:t>
            </w: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24,236</w:t>
            </w:r>
          </w:p>
        </w:tc>
        <w:tc>
          <w:tcPr>
            <w:tcW w:w="2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(310,862)</w:t>
            </w: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gridSpan w:val="2"/>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151</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46,616</w:t>
            </w:r>
          </w:p>
        </w:tc>
        <w:tc>
          <w:tcPr>
            <w:tcW w:w="12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41,806</w:t>
            </w: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88,573</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39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295,771</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3,330</w:t>
            </w: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196,509</w:t>
            </w:r>
          </w:p>
        </w:tc>
        <w:tc>
          <w:tcPr>
            <w:tcW w:w="12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74,183</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(310,862)</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258,931</w:t>
            </w:r>
          </w:p>
        </w:tc>
        <w:tc>
          <w:tcPr>
            <w:tcW w:w="0" w:type="dxa"/>
            <w:vAlign w:val="bottom"/>
          </w:tcPr>
          <w:p>
            <w:pPr>
              <w:spacing w:after="0"/>
              <w:rPr>
                <w:sz w:val="1"/>
                <w:szCs w:val="1"/>
                <w:color w:val="auto"/>
              </w:rPr>
            </w:pPr>
          </w:p>
        </w:tc>
      </w:tr>
      <w:tr>
        <w:trPr>
          <w:trHeight w:val="230"/>
        </w:trPr>
        <w:tc>
          <w:tcPr>
            <w:tcW w:w="5160" w:type="dxa"/>
            <w:vAlign w:val="bottom"/>
            <w:gridSpan w:val="2"/>
          </w:tcPr>
          <w:p>
            <w:pPr>
              <w:spacing w:after="0" w:line="223" w:lineRule="exact"/>
              <w:rPr>
                <w:sz w:val="20"/>
                <w:szCs w:val="20"/>
                <w:color w:val="auto"/>
              </w:rPr>
            </w:pPr>
            <w:r>
              <w:rPr>
                <w:rFonts w:ascii="Times New Roman" w:cs="Times New Roman" w:eastAsia="Times New Roman" w:hAnsi="Times New Roman"/>
                <w:sz w:val="17"/>
                <w:szCs w:val="17"/>
                <w:b w:val="1"/>
                <w:bCs w:val="1"/>
                <w:color w:val="auto"/>
              </w:rPr>
              <w:t>Amounts due from the entities within Baidu</w:t>
            </w:r>
            <w:r>
              <w:rPr>
                <w:rFonts w:ascii="Times New Roman" w:cs="Times New Roman" w:eastAsia="Times New Roman" w:hAnsi="Times New Roman"/>
                <w:sz w:val="25"/>
                <w:szCs w:val="25"/>
                <w:color w:val="auto"/>
                <w:vertAlign w:val="superscript"/>
              </w:rPr>
              <w:t>(2)</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23,501</w:t>
            </w:r>
          </w:p>
        </w:tc>
        <w:tc>
          <w:tcPr>
            <w:tcW w:w="24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Borders>
              <w:top w:val="single" w:sz="8" w:color="auto"/>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w w:val="96"/>
              </w:rPr>
              <w:t>— </w:t>
            </w:r>
          </w:p>
        </w:tc>
        <w:tc>
          <w:tcPr>
            <w:tcW w:w="24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(24,070)</w:t>
            </w:r>
          </w:p>
        </w:tc>
        <w:tc>
          <w:tcPr>
            <w:tcW w:w="280" w:type="dxa"/>
            <w:vAlign w:val="bottom"/>
          </w:tcPr>
          <w:p>
            <w:pPr>
              <w:spacing w:after="0"/>
              <w:rPr>
                <w:sz w:val="20"/>
                <w:szCs w:val="20"/>
                <w:color w:val="auto"/>
              </w:rPr>
            </w:pPr>
          </w:p>
        </w:tc>
        <w:tc>
          <w:tcPr>
            <w:tcW w:w="82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w w:val="96"/>
              </w:rPr>
              <w:t>— </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314,899</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27,806</w:t>
            </w: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320,029</w:t>
            </w:r>
          </w:p>
        </w:tc>
        <w:tc>
          <w:tcPr>
            <w:tcW w:w="12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99,978</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(334,932)</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427,780</w:t>
            </w: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60" w:type="dxa"/>
            <w:vAlign w:val="bottom"/>
            <w:gridSpan w:val="2"/>
            <w:vMerge w:val="continue"/>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8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698</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w:t>
            </w: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22,197</w:t>
            </w:r>
          </w:p>
        </w:tc>
        <w:tc>
          <w:tcPr>
            <w:tcW w:w="12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18,527</w:t>
            </w:r>
          </w:p>
        </w:tc>
        <w:tc>
          <w:tcPr>
            <w:tcW w:w="10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41,443</w:t>
            </w: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8,026</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242</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10,058</w:t>
            </w:r>
          </w:p>
        </w:tc>
        <w:tc>
          <w:tcPr>
            <w:tcW w:w="12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21,184</w:t>
            </w: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39,510</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39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8,724</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263</w:t>
            </w: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32,255</w:t>
            </w:r>
          </w:p>
        </w:tc>
        <w:tc>
          <w:tcPr>
            <w:tcW w:w="12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39,711</w:t>
            </w:r>
          </w:p>
        </w:tc>
        <w:tc>
          <w:tcPr>
            <w:tcW w:w="10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80,953</w:t>
            </w:r>
          </w:p>
        </w:tc>
        <w:tc>
          <w:tcPr>
            <w:tcW w:w="0" w:type="dxa"/>
            <w:vAlign w:val="bottom"/>
          </w:tcPr>
          <w:p>
            <w:pPr>
              <w:spacing w:after="0"/>
              <w:rPr>
                <w:sz w:val="1"/>
                <w:szCs w:val="1"/>
                <w:color w:val="auto"/>
              </w:rPr>
            </w:pPr>
          </w:p>
        </w:tc>
      </w:tr>
      <w:tr>
        <w:trPr>
          <w:trHeight w:val="223"/>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Notes payable</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27,996</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Borders>
              <w:top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w w:val="96"/>
              </w:rPr>
              <w:t>— </w:t>
            </w:r>
          </w:p>
        </w:tc>
        <w:tc>
          <w:tcPr>
            <w:tcW w:w="24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27,996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8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14,559</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8,351</w:t>
            </w: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4,957</w:t>
            </w:r>
          </w:p>
        </w:tc>
        <w:tc>
          <w:tcPr>
            <w:tcW w:w="12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7,352</w:t>
            </w:r>
          </w:p>
        </w:tc>
        <w:tc>
          <w:tcPr>
            <w:tcW w:w="10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35,219</w:t>
            </w:r>
          </w:p>
        </w:tc>
        <w:tc>
          <w:tcPr>
            <w:tcW w:w="0" w:type="dxa"/>
            <w:vAlign w:val="bottom"/>
          </w:tcPr>
          <w:p>
            <w:pPr>
              <w:spacing w:after="0"/>
              <w:rPr>
                <w:sz w:val="1"/>
                <w:szCs w:val="1"/>
                <w:color w:val="auto"/>
              </w:rPr>
            </w:pPr>
          </w:p>
        </w:tc>
      </w:tr>
      <w:tr>
        <w:trPr>
          <w:trHeight w:val="230"/>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42,555</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8,351</w:t>
            </w:r>
          </w:p>
        </w:tc>
        <w:tc>
          <w:tcPr>
            <w:tcW w:w="24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4,957</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7,352</w:t>
            </w:r>
          </w:p>
        </w:tc>
        <w:tc>
          <w:tcPr>
            <w:tcW w:w="24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63,215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b w:val="1"/>
                <w:bCs w:val="1"/>
                <w:color w:val="auto"/>
              </w:rPr>
              <w:t>Amounts due to the entities within Baidu</w:t>
            </w:r>
            <w:r>
              <w:rPr>
                <w:rFonts w:ascii="Times New Roman" w:cs="Times New Roman" w:eastAsia="Times New Roman" w:hAnsi="Times New Roman"/>
                <w:sz w:val="25"/>
                <w:szCs w:val="25"/>
                <w:color w:val="auto"/>
                <w:vertAlign w:val="superscript"/>
              </w:rPr>
              <w:t>(2)</w:t>
            </w:r>
          </w:p>
        </w:tc>
        <w:tc>
          <w:tcPr>
            <w:tcW w:w="8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7,543</w:t>
            </w:r>
          </w:p>
        </w:tc>
        <w:tc>
          <w:tcPr>
            <w:tcW w:w="12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26,929</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(34,472)</w:t>
            </w: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0"/>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51,279</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8,614</w:t>
            </w:r>
          </w:p>
        </w:tc>
        <w:tc>
          <w:tcPr>
            <w:tcW w:w="24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44,755</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73,992</w:t>
            </w:r>
          </w:p>
        </w:tc>
        <w:tc>
          <w:tcPr>
            <w:tcW w:w="24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(34,472)</w:t>
            </w:r>
          </w:p>
        </w:tc>
        <w:tc>
          <w:tcPr>
            <w:tcW w:w="28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144,168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Redeemable noncontrolling interests</w:t>
            </w:r>
          </w:p>
        </w:tc>
        <w:tc>
          <w:tcPr>
            <w:tcW w:w="8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5,600</w:t>
            </w: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4,156</w:t>
            </w:r>
          </w:p>
        </w:tc>
        <w:tc>
          <w:tcPr>
            <w:tcW w:w="12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114</w:t>
            </w:r>
          </w:p>
        </w:tc>
        <w:tc>
          <w:tcPr>
            <w:tcW w:w="10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9,870</w:t>
            </w: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Total Baidu shareholders’ equity</w:t>
            </w:r>
            <w:r>
              <w:rPr>
                <w:rFonts w:ascii="Times New Roman" w:cs="Times New Roman" w:eastAsia="Times New Roman" w:hAnsi="Times New Roman"/>
                <w:sz w:val="25"/>
                <w:szCs w:val="25"/>
                <w:color w:val="auto"/>
                <w:vertAlign w:val="superscript"/>
              </w:rPr>
              <w:t>(3)</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263,620</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6,275</w:t>
            </w: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271,085</w:t>
            </w:r>
          </w:p>
        </w:tc>
        <w:tc>
          <w:tcPr>
            <w:tcW w:w="12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23,100</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(300,460)</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263,620</w:t>
            </w: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gridSpan w:val="2"/>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7,317</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c>
          <w:tcPr>
            <w:tcW w:w="12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2,772</w:t>
            </w: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10,122</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39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263,620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13,592</w:t>
            </w: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271,118</w:t>
            </w:r>
          </w:p>
        </w:tc>
        <w:tc>
          <w:tcPr>
            <w:tcW w:w="12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25,872</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(300,460)</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273,742</w:t>
            </w:r>
          </w:p>
        </w:tc>
        <w:tc>
          <w:tcPr>
            <w:tcW w:w="0" w:type="dxa"/>
            <w:vAlign w:val="bottom"/>
          </w:tcPr>
          <w:p>
            <w:pPr>
              <w:spacing w:after="0"/>
              <w:rPr>
                <w:sz w:val="1"/>
                <w:szCs w:val="1"/>
                <w:color w:val="auto"/>
              </w:rPr>
            </w:pPr>
          </w:p>
        </w:tc>
      </w:tr>
      <w:tr>
        <w:trPr>
          <w:trHeight w:val="223"/>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liabilities, redeemable noncontrolling interests, and equity</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314,899</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27,806</w:t>
            </w:r>
          </w:p>
        </w:tc>
        <w:tc>
          <w:tcPr>
            <w:tcW w:w="24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320,029</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99,978</w:t>
            </w:r>
          </w:p>
        </w:tc>
        <w:tc>
          <w:tcPr>
            <w:tcW w:w="24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(334,932)</w:t>
            </w:r>
          </w:p>
        </w:tc>
        <w:tc>
          <w:tcPr>
            <w:tcW w:w="28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427,780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39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w:t>
      </w:r>
    </w:p>
    <w:p>
      <w:pPr>
        <w:spacing w:after="0" w:line="27" w:lineRule="exact"/>
        <w:rPr>
          <w:sz w:val="20"/>
          <w:szCs w:val="20"/>
          <w:color w:val="auto"/>
        </w:rPr>
      </w:pPr>
    </w:p>
    <w:p>
      <w:pPr>
        <w:ind w:left="540" w:right="20" w:hanging="424"/>
        <w:spacing w:after="0" w:line="260" w:lineRule="auto"/>
        <w:tabs>
          <w:tab w:leader="none" w:pos="5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 represents the elimination of the investments and contractual interests among Baidu, Inc., primary beneficiaries of VIEs excluding Baidu, Inc., other subsidiaries and the VIEs and VIEs’ subsidiaries.</w:t>
      </w:r>
    </w:p>
    <w:p>
      <w:pPr>
        <w:jc w:val="both"/>
        <w:ind w:left="540" w:hanging="424"/>
        <w:spacing w:after="0" w:line="264" w:lineRule="auto"/>
        <w:tabs>
          <w:tab w:leader="none" w:pos="5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 represents the elimination of intercompany balances among Baidu, Inc., primary beneficiaries of VIEs excluding Baidu, Inc., other subsidiaries and the VIEs and VIEs’ subsidiaries. The short-term loans and long-term loans provided to the VIEs and VIEs’ subsidiaries were RMB10.7 billion (US$1.5 billion) and RMB29.9 billion (US$4.3 billion), respectively, as of December 31, 2025 and RMB11.9 billion and RMB9.9 billion, respectively, as of December 31, 2024.</w:t>
      </w:r>
    </w:p>
    <w:p>
      <w:pPr>
        <w:jc w:val="both"/>
        <w:ind w:left="540" w:hanging="424"/>
        <w:spacing w:after="0" w:line="272" w:lineRule="auto"/>
        <w:tabs>
          <w:tab w:leader="none" w:pos="5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loans provided to the nominee shareholders were RMB19.6 billion (US$2.8 billion) and RMB19.6 billion as of December 31, 2025 and 2024, respectively, which will mature from 2027 to 2047. The loans provided to the nominee shareholders were to fund the capitalization of the VIEs for which the Company does not intend to seek repayment. The term of all such loans provided to the nominee shareholders has historically been extended prior to their respective original maturity dates, and we will continue to extend the term of all outstanding loans before they become due.</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40"/>
          </w:cols>
          <w:pgMar w:left="320" w:top="482" w:right="4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Selected Condensed Consolidating Cash Flows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Net cash provided by/(used in) operating activities</w:t>
      </w:r>
      <w:r>
        <w:rPr>
          <w:rFonts w:ascii="Times New Roman" w:cs="Times New Roman" w:eastAsia="Times New Roman" w:hAnsi="Times New Roman"/>
          <w:sz w:val="26"/>
          <w:szCs w:val="26"/>
          <w:color w:val="auto"/>
          <w:vertAlign w:val="superscript"/>
        </w:rPr>
        <w:t>(1)</w:t>
      </w:r>
    </w:p>
    <w:p>
      <w:pPr>
        <w:ind w:left="120"/>
        <w:spacing w:after="0"/>
        <w:rPr>
          <w:sz w:val="20"/>
          <w:szCs w:val="20"/>
          <w:color w:val="auto"/>
        </w:rPr>
      </w:pPr>
      <w:r>
        <w:rPr>
          <w:rFonts w:ascii="Times New Roman" w:cs="Times New Roman" w:eastAsia="Times New Roman" w:hAnsi="Times New Roman"/>
          <w:sz w:val="18"/>
          <w:szCs w:val="18"/>
          <w:color w:val="auto"/>
        </w:rPr>
        <w:t>Net cash provided by/(used in) investing activities</w:t>
      </w:r>
    </w:p>
    <w:p>
      <w:pPr>
        <w:ind w:left="480"/>
        <w:spacing w:after="0" w:line="187" w:lineRule="auto"/>
        <w:rPr>
          <w:sz w:val="20"/>
          <w:szCs w:val="20"/>
          <w:color w:val="auto"/>
        </w:rPr>
      </w:pPr>
      <w:r>
        <w:rPr>
          <w:rFonts w:ascii="Times New Roman" w:cs="Times New Roman" w:eastAsia="Times New Roman" w:hAnsi="Times New Roman"/>
          <w:sz w:val="17"/>
          <w:szCs w:val="17"/>
          <w:color w:val="auto"/>
        </w:rPr>
        <w:t>Including: Loans provided to VIEs and VIEs’ subsidiaries</w:t>
      </w:r>
      <w:r>
        <w:rPr>
          <w:rFonts w:ascii="Times New Roman" w:cs="Times New Roman" w:eastAsia="Times New Roman" w:hAnsi="Times New Roman"/>
          <w:sz w:val="25"/>
          <w:szCs w:val="25"/>
          <w:color w:val="auto"/>
          <w:vertAlign w:val="superscript"/>
        </w:rPr>
        <w:t>(4)</w:t>
      </w:r>
    </w:p>
    <w:p>
      <w:pPr>
        <w:ind w:left="840"/>
        <w:spacing w:after="0" w:line="180" w:lineRule="auto"/>
        <w:rPr>
          <w:sz w:val="20"/>
          <w:szCs w:val="20"/>
          <w:color w:val="auto"/>
        </w:rPr>
      </w:pPr>
      <w:r>
        <w:rPr>
          <w:rFonts w:ascii="Times New Roman" w:cs="Times New Roman" w:eastAsia="Times New Roman" w:hAnsi="Times New Roman"/>
          <w:sz w:val="17"/>
          <w:szCs w:val="17"/>
          <w:color w:val="auto"/>
        </w:rPr>
        <w:t>Loans repayments from VIEs and VIEs’ subsidiaries</w:t>
      </w:r>
      <w:r>
        <w:rPr>
          <w:rFonts w:ascii="Times New Roman" w:cs="Times New Roman" w:eastAsia="Times New Roman" w:hAnsi="Times New Roman"/>
          <w:sz w:val="25"/>
          <w:szCs w:val="25"/>
          <w:color w:val="auto"/>
          <w:vertAlign w:val="superscript"/>
        </w:rPr>
        <w:t>(4)</w:t>
      </w:r>
    </w:p>
    <w:p>
      <w:pPr>
        <w:ind w:left="120"/>
        <w:spacing w:after="0" w:line="181" w:lineRule="auto"/>
        <w:rPr>
          <w:sz w:val="20"/>
          <w:szCs w:val="20"/>
          <w:color w:val="auto"/>
        </w:rPr>
      </w:pPr>
      <w:r>
        <w:rPr>
          <w:rFonts w:ascii="Times New Roman" w:cs="Times New Roman" w:eastAsia="Times New Roman" w:hAnsi="Times New Roman"/>
          <w:sz w:val="17"/>
          <w:szCs w:val="17"/>
          <w:color w:val="auto"/>
        </w:rPr>
        <w:t>Net cash provided by/(used in) financing activities</w:t>
      </w:r>
      <w:r>
        <w:rPr>
          <w:rFonts w:ascii="Times New Roman" w:cs="Times New Roman" w:eastAsia="Times New Roman" w:hAnsi="Times New Roman"/>
          <w:sz w:val="25"/>
          <w:szCs w:val="25"/>
          <w:color w:val="auto"/>
          <w:vertAlign w:val="superscript"/>
        </w:rPr>
        <w:t>(1)</w:t>
      </w:r>
    </w:p>
    <w:p>
      <w:pPr>
        <w:ind w:left="480"/>
        <w:spacing w:after="0" w:line="180" w:lineRule="auto"/>
        <w:rPr>
          <w:sz w:val="20"/>
          <w:szCs w:val="20"/>
          <w:color w:val="auto"/>
        </w:rPr>
      </w:pPr>
      <w:r>
        <w:rPr>
          <w:rFonts w:ascii="Times New Roman" w:cs="Times New Roman" w:eastAsia="Times New Roman" w:hAnsi="Times New Roman"/>
          <w:sz w:val="17"/>
          <w:szCs w:val="17"/>
          <w:color w:val="auto"/>
        </w:rPr>
        <w:t>Including: Loans provided to VIEs and VIEs’ subsidiaries</w:t>
      </w:r>
      <w:r>
        <w:rPr>
          <w:rFonts w:ascii="Times New Roman" w:cs="Times New Roman" w:eastAsia="Times New Roman" w:hAnsi="Times New Roman"/>
          <w:sz w:val="25"/>
          <w:szCs w:val="25"/>
          <w:color w:val="auto"/>
          <w:vertAlign w:val="superscript"/>
        </w:rPr>
        <w:t>(4)</w:t>
      </w:r>
    </w:p>
    <w:p>
      <w:pPr>
        <w:spacing w:after="0" w:line="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color w:val="auto"/>
        </w:rPr>
        <w:t>Loans repayments from VIEs and VIEs’ subsidiaries</w:t>
      </w:r>
      <w:r>
        <w:rPr>
          <w:rFonts w:ascii="Times New Roman" w:cs="Times New Roman" w:eastAsia="Times New Roman" w:hAnsi="Times New Roman"/>
          <w:sz w:val="25"/>
          <w:szCs w:val="25"/>
          <w:color w:val="auto"/>
          <w:vertAlign w:val="superscript"/>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Net cash provided by/(used in) operating activities</w:t>
      </w:r>
      <w:r>
        <w:rPr>
          <w:rFonts w:ascii="Times New Roman" w:cs="Times New Roman" w:eastAsia="Times New Roman" w:hAnsi="Times New Roman"/>
          <w:sz w:val="26"/>
          <w:szCs w:val="26"/>
          <w:color w:val="auto"/>
          <w:vertAlign w:val="superscript"/>
        </w:rPr>
        <w:t>(1)</w:t>
      </w:r>
    </w:p>
    <w:p>
      <w:pPr>
        <w:ind w:left="120"/>
        <w:spacing w:after="0"/>
        <w:rPr>
          <w:sz w:val="20"/>
          <w:szCs w:val="20"/>
          <w:color w:val="auto"/>
        </w:rPr>
      </w:pPr>
      <w:r>
        <w:rPr>
          <w:rFonts w:ascii="Times New Roman" w:cs="Times New Roman" w:eastAsia="Times New Roman" w:hAnsi="Times New Roman"/>
          <w:sz w:val="18"/>
          <w:szCs w:val="18"/>
          <w:color w:val="auto"/>
        </w:rPr>
        <w:t>Net cash provided by/(used in) investing activities</w:t>
      </w:r>
    </w:p>
    <w:p>
      <w:pPr>
        <w:spacing w:after="0" w:line="7" w:lineRule="exact"/>
        <w:rPr>
          <w:sz w:val="20"/>
          <w:szCs w:val="20"/>
          <w:color w:val="auto"/>
        </w:rPr>
      </w:pPr>
    </w:p>
    <w:p>
      <w:pPr>
        <w:ind w:left="660" w:right="900" w:hanging="179"/>
        <w:spacing w:after="0" w:line="205" w:lineRule="auto"/>
        <w:rPr>
          <w:sz w:val="20"/>
          <w:szCs w:val="20"/>
          <w:color w:val="auto"/>
        </w:rPr>
      </w:pPr>
      <w:r>
        <w:rPr>
          <w:rFonts w:ascii="Times New Roman" w:cs="Times New Roman" w:eastAsia="Times New Roman" w:hAnsi="Times New Roman"/>
          <w:sz w:val="18"/>
          <w:szCs w:val="18"/>
          <w:color w:val="auto"/>
        </w:rPr>
        <w:t>Including: Cash contribution to VIEs and VIEs’ subsidiaries</w:t>
      </w:r>
      <w:r>
        <w:rPr>
          <w:rFonts w:ascii="Times New Roman" w:cs="Times New Roman" w:eastAsia="Times New Roman" w:hAnsi="Times New Roman"/>
          <w:sz w:val="26"/>
          <w:szCs w:val="26"/>
          <w:color w:val="auto"/>
          <w:vertAlign w:val="superscript"/>
        </w:rPr>
        <w:t>(2)(3)</w:t>
      </w:r>
    </w:p>
    <w:p>
      <w:pPr>
        <w:spacing w:after="0" w:line="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Loans provided to VIEs and VIEs’</w:t>
      </w:r>
    </w:p>
    <w:p>
      <w:pPr>
        <w:ind w:left="1020"/>
        <w:spacing w:after="0" w:line="180" w:lineRule="auto"/>
        <w:rPr>
          <w:sz w:val="20"/>
          <w:szCs w:val="20"/>
          <w:color w:val="auto"/>
        </w:rPr>
      </w:pPr>
      <w:r>
        <w:rPr>
          <w:rFonts w:ascii="Times New Roman" w:cs="Times New Roman" w:eastAsia="Times New Roman" w:hAnsi="Times New Roman"/>
          <w:sz w:val="18"/>
          <w:szCs w:val="18"/>
          <w:color w:val="auto"/>
        </w:rPr>
        <w:t>subsidiaries</w:t>
      </w:r>
      <w:r>
        <w:rPr>
          <w:rFonts w:ascii="Times New Roman" w:cs="Times New Roman" w:eastAsia="Times New Roman" w:hAnsi="Times New Roman"/>
          <w:sz w:val="26"/>
          <w:szCs w:val="26"/>
          <w:color w:val="auto"/>
          <w:vertAlign w:val="superscript"/>
        </w:rPr>
        <w:t>(4)</w:t>
      </w:r>
    </w:p>
    <w:p>
      <w:pPr>
        <w:spacing w:after="0" w:line="1" w:lineRule="exact"/>
        <w:rPr>
          <w:sz w:val="20"/>
          <w:szCs w:val="20"/>
          <w:color w:val="auto"/>
        </w:rPr>
      </w:pPr>
    </w:p>
    <w:p>
      <w:pPr>
        <w:ind w:left="1020" w:right="1080" w:hanging="179"/>
        <w:spacing w:after="0" w:line="204" w:lineRule="auto"/>
        <w:rPr>
          <w:sz w:val="20"/>
          <w:szCs w:val="20"/>
          <w:color w:val="auto"/>
        </w:rPr>
      </w:pPr>
      <w:r>
        <w:rPr>
          <w:rFonts w:ascii="Times New Roman" w:cs="Times New Roman" w:eastAsia="Times New Roman" w:hAnsi="Times New Roman"/>
          <w:sz w:val="18"/>
          <w:szCs w:val="18"/>
          <w:color w:val="auto"/>
        </w:rPr>
        <w:t>Loans repayments from VIEs and VIEs’ subsidiaries</w:t>
      </w:r>
      <w:r>
        <w:rPr>
          <w:rFonts w:ascii="Times New Roman" w:cs="Times New Roman" w:eastAsia="Times New Roman" w:hAnsi="Times New Roman"/>
          <w:sz w:val="26"/>
          <w:szCs w:val="26"/>
          <w:color w:val="auto"/>
          <w:vertAlign w:val="superscript"/>
        </w:rPr>
        <w:t>(4)</w:t>
      </w:r>
    </w:p>
    <w:p>
      <w:pPr>
        <w:spacing w:after="0" w:line="1" w:lineRule="exact"/>
        <w:rPr>
          <w:sz w:val="20"/>
          <w:szCs w:val="20"/>
          <w:color w:val="auto"/>
        </w:rPr>
      </w:pPr>
    </w:p>
    <w:p>
      <w:pPr>
        <w:jc w:val="right"/>
        <w:ind w:left="120" w:right="900"/>
        <w:spacing w:after="0" w:line="214" w:lineRule="auto"/>
        <w:rPr>
          <w:sz w:val="20"/>
          <w:szCs w:val="20"/>
          <w:color w:val="auto"/>
        </w:rPr>
      </w:pPr>
      <w:r>
        <w:rPr>
          <w:rFonts w:ascii="Times New Roman" w:cs="Times New Roman" w:eastAsia="Times New Roman" w:hAnsi="Times New Roman"/>
          <w:sz w:val="17"/>
          <w:szCs w:val="17"/>
          <w:color w:val="auto"/>
        </w:rPr>
        <w:t>Net cash provided by/(used in) financing activities</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7"/>
          <w:szCs w:val="17"/>
          <w:color w:val="auto"/>
        </w:rPr>
        <w:t xml:space="preserve"> Including: Cash contribution to VIEs and VIEs’</w:t>
      </w:r>
    </w:p>
    <w:p>
      <w:pPr>
        <w:ind w:left="660"/>
        <w:spacing w:after="0" w:line="181" w:lineRule="auto"/>
        <w:rPr>
          <w:sz w:val="20"/>
          <w:szCs w:val="20"/>
          <w:color w:val="auto"/>
        </w:rPr>
      </w:pPr>
      <w:r>
        <w:rPr>
          <w:rFonts w:ascii="Times New Roman" w:cs="Times New Roman" w:eastAsia="Times New Roman" w:hAnsi="Times New Roman"/>
          <w:sz w:val="17"/>
          <w:szCs w:val="17"/>
          <w:color w:val="auto"/>
        </w:rPr>
        <w:t>subsidiaries</w:t>
      </w:r>
      <w:r>
        <w:rPr>
          <w:rFonts w:ascii="Times New Roman" w:cs="Times New Roman" w:eastAsia="Times New Roman" w:hAnsi="Times New Roman"/>
          <w:sz w:val="25"/>
          <w:szCs w:val="25"/>
          <w:color w:val="auto"/>
          <w:vertAlign w:val="superscript"/>
        </w:rPr>
        <w:t>(2)(3)</w:t>
      </w:r>
    </w:p>
    <w:p>
      <w:pPr>
        <w:spacing w:after="0" w:line="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Loans provided to VIEs and VIEs’</w:t>
      </w:r>
    </w:p>
    <w:p>
      <w:pPr>
        <w:ind w:left="1020"/>
        <w:spacing w:after="0" w:line="180" w:lineRule="auto"/>
        <w:rPr>
          <w:sz w:val="20"/>
          <w:szCs w:val="20"/>
          <w:color w:val="auto"/>
        </w:rPr>
      </w:pPr>
      <w:r>
        <w:rPr>
          <w:rFonts w:ascii="Times New Roman" w:cs="Times New Roman" w:eastAsia="Times New Roman" w:hAnsi="Times New Roman"/>
          <w:sz w:val="18"/>
          <w:szCs w:val="18"/>
          <w:color w:val="auto"/>
        </w:rPr>
        <w:t>subsidiaries</w:t>
      </w:r>
      <w:r>
        <w:rPr>
          <w:rFonts w:ascii="Times New Roman" w:cs="Times New Roman" w:eastAsia="Times New Roman" w:hAnsi="Times New Roman"/>
          <w:sz w:val="26"/>
          <w:szCs w:val="26"/>
          <w:color w:val="auto"/>
          <w:vertAlign w:val="superscript"/>
        </w:rPr>
        <w:t>(4)</w:t>
      </w:r>
    </w:p>
    <w:p>
      <w:pPr>
        <w:spacing w:after="0" w:line="1" w:lineRule="exact"/>
        <w:rPr>
          <w:sz w:val="20"/>
          <w:szCs w:val="20"/>
          <w:color w:val="auto"/>
        </w:rPr>
      </w:pPr>
    </w:p>
    <w:p>
      <w:pPr>
        <w:ind w:left="1020" w:right="1080" w:hanging="179"/>
        <w:spacing w:after="0" w:line="280" w:lineRule="auto"/>
        <w:rPr>
          <w:sz w:val="20"/>
          <w:szCs w:val="20"/>
          <w:color w:val="auto"/>
        </w:rPr>
      </w:pPr>
      <w:r>
        <w:rPr>
          <w:rFonts w:ascii="Times New Roman" w:cs="Times New Roman" w:eastAsia="Times New Roman" w:hAnsi="Times New Roman"/>
          <w:sz w:val="18"/>
          <w:szCs w:val="18"/>
          <w:color w:val="auto"/>
        </w:rPr>
        <w:t>Loans repayments from VIEs and VIEs’ subsidiaries</w:t>
      </w:r>
      <w:r>
        <w:rPr>
          <w:rFonts w:ascii="Times New Roman" w:cs="Times New Roman" w:eastAsia="Times New Roman" w:hAnsi="Times New Roman"/>
          <w:sz w:val="26"/>
          <w:szCs w:val="26"/>
          <w:color w:val="auto"/>
          <w:vertAlign w:val="superscript"/>
        </w:rPr>
        <w:t>(4)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4"/>
          <w:szCs w:val="14"/>
          <w:b w:val="1"/>
          <w:bCs w:val="1"/>
          <w:color w:val="auto"/>
        </w:rPr>
        <w:t>For the 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-942975</wp:posOffset>
            </wp:positionV>
            <wp:extent cx="7174865" cy="558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17"/>
        </w:trPr>
        <w:tc>
          <w:tcPr>
            <w:tcW w:w="8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Primary</w:t>
            </w:r>
          </w:p>
        </w:tc>
        <w:tc>
          <w:tcPr>
            <w:tcW w:w="116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8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Beneficiaries</w:t>
            </w:r>
          </w:p>
        </w:tc>
        <w:tc>
          <w:tcPr>
            <w:tcW w:w="1160" w:type="dxa"/>
            <w:vAlign w:val="bottom"/>
          </w:tcPr>
          <w:p>
            <w:pPr>
              <w:spacing w:after="0"/>
              <w:rPr>
                <w:sz w:val="12"/>
                <w:szCs w:val="12"/>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VIEs and</w:t>
            </w:r>
          </w:p>
        </w:tc>
        <w:tc>
          <w:tcPr>
            <w:tcW w:w="10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0" w:type="dxa"/>
            <w:vAlign w:val="bottom"/>
            <w:vMerge w:val="restart"/>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Baidu,</w:t>
            </w: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VIEs</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9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48"/>
        </w:trPr>
        <w:tc>
          <w:tcPr>
            <w:tcW w:w="800" w:type="dxa"/>
            <w:vAlign w:val="bottom"/>
            <w:vMerge w:val="continue"/>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excluding</w:t>
            </w:r>
          </w:p>
        </w:tc>
        <w:tc>
          <w:tcPr>
            <w:tcW w:w="1160" w:type="dxa"/>
            <w:vAlign w:val="bottom"/>
            <w:vMerge w:val="continue"/>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VIEs’</w:t>
            </w:r>
          </w:p>
        </w:tc>
        <w:tc>
          <w:tcPr>
            <w:tcW w:w="1080" w:type="dxa"/>
            <w:vAlign w:val="bottom"/>
            <w:vMerge w:val="restart"/>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800" w:type="dxa"/>
            <w:vAlign w:val="bottom"/>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w w:val="95"/>
              </w:rPr>
              <w:t>Inc.</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Baidu, Inc.</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080" w:type="dxa"/>
            <w:vAlign w:val="bottom"/>
            <w:vMerge w:val="continue"/>
          </w:tcPr>
          <w:p>
            <w:pPr>
              <w:spacing w:after="0"/>
              <w:rPr>
                <w:sz w:val="15"/>
                <w:szCs w:val="15"/>
                <w:color w:val="auto"/>
              </w:rPr>
            </w:pP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17"/>
        </w:trPr>
        <w:tc>
          <w:tcPr>
            <w:tcW w:w="8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2160" w:type="dxa"/>
            <w:vAlign w:val="bottom"/>
            <w:tcBorders>
              <w:top w:val="single" w:sz="8" w:color="auto"/>
            </w:tcBorders>
            <w:gridSpan w:val="2"/>
          </w:tcPr>
          <w:p>
            <w:pPr>
              <w:jc w:val="center"/>
              <w:ind w:left="157"/>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10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8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160" w:type="dxa"/>
            <w:vAlign w:val="bottom"/>
            <w:gridSpan w:val="2"/>
          </w:tcPr>
          <w:p>
            <w:pPr>
              <w:jc w:val="center"/>
              <w:ind w:left="157"/>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0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8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5,832</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160" w:type="dxa"/>
            <w:vAlign w:val="bottom"/>
          </w:tcPr>
          <w:p>
            <w:pPr>
              <w:jc w:val="right"/>
              <w:ind w:right="97"/>
              <w:spacing w:after="0"/>
              <w:rPr>
                <w:sz w:val="20"/>
                <w:szCs w:val="20"/>
                <w:color w:val="auto"/>
              </w:rPr>
            </w:pPr>
            <w:r>
              <w:rPr>
                <w:rFonts w:ascii="Times New Roman" w:cs="Times New Roman" w:eastAsia="Times New Roman" w:hAnsi="Times New Roman"/>
                <w:sz w:val="18"/>
                <w:szCs w:val="18"/>
                <w:color w:val="auto"/>
              </w:rPr>
              <w:t>12,420</w:t>
            </w:r>
          </w:p>
        </w:tc>
        <w:tc>
          <w:tcPr>
            <w:tcW w:w="10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(14,504)</w:t>
            </w: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(6,690)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(3,013)</w:t>
            </w:r>
          </w:p>
        </w:tc>
        <w:tc>
          <w:tcPr>
            <w:tcW w:w="0" w:type="dxa"/>
            <w:vAlign w:val="bottom"/>
          </w:tcPr>
          <w:p>
            <w:pPr>
              <w:spacing w:after="0"/>
              <w:rPr>
                <w:sz w:val="1"/>
                <w:szCs w:val="1"/>
                <w:color w:val="auto"/>
              </w:rPr>
            </w:pPr>
          </w:p>
        </w:tc>
      </w:tr>
      <w:tr>
        <w:trPr>
          <w:trHeight w:val="216"/>
        </w:trPr>
        <w:tc>
          <w:tcPr>
            <w:tcW w:w="8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(16,879)</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1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(21,327)</w:t>
            </w:r>
          </w:p>
        </w:tc>
        <w:tc>
          <w:tcPr>
            <w:tcW w:w="10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(4,985)</w:t>
            </w:r>
          </w:p>
        </w:tc>
        <w:tc>
          <w:tcPr>
            <w:tcW w:w="10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17,944</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(25,136)</w:t>
            </w:r>
          </w:p>
        </w:tc>
        <w:tc>
          <w:tcPr>
            <w:tcW w:w="0" w:type="dxa"/>
            <w:vAlign w:val="bottom"/>
          </w:tcPr>
          <w:p>
            <w:pPr>
              <w:spacing w:after="0"/>
              <w:rPr>
                <w:sz w:val="1"/>
                <w:szCs w:val="1"/>
                <w:color w:val="auto"/>
              </w:rPr>
            </w:pPr>
          </w:p>
        </w:tc>
      </w:tr>
      <w:tr>
        <w:trPr>
          <w:trHeight w:val="216"/>
        </w:trPr>
        <w:tc>
          <w:tcPr>
            <w:tcW w:w="8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1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(20,704)</w:t>
            </w:r>
          </w:p>
        </w:tc>
        <w:tc>
          <w:tcPr>
            <w:tcW w:w="100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21,175</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tcPr>
          <w:p>
            <w:pPr>
              <w:jc w:val="right"/>
              <w:ind w:right="97"/>
              <w:spacing w:after="0"/>
              <w:rPr>
                <w:sz w:val="20"/>
                <w:szCs w:val="20"/>
                <w:color w:val="auto"/>
              </w:rPr>
            </w:pPr>
            <w:r>
              <w:rPr>
                <w:rFonts w:ascii="Times New Roman" w:cs="Times New Roman" w:eastAsia="Times New Roman" w:hAnsi="Times New Roman"/>
                <w:sz w:val="18"/>
                <w:szCs w:val="18"/>
                <w:color w:val="auto"/>
              </w:rPr>
              <w:t>1,812</w:t>
            </w:r>
          </w:p>
        </w:tc>
        <w:tc>
          <w:tcPr>
            <w:tcW w:w="100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(1,812)</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15,482</w:t>
            </w:r>
          </w:p>
        </w:tc>
        <w:tc>
          <w:tcPr>
            <w:tcW w:w="9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696</w:t>
            </w:r>
          </w:p>
        </w:tc>
        <w:tc>
          <w:tcPr>
            <w:tcW w:w="11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(8,180)</w:t>
            </w:r>
          </w:p>
        </w:tc>
        <w:tc>
          <w:tcPr>
            <w:tcW w:w="100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20,398</w:t>
            </w: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(11,254)</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17,142</w:t>
            </w:r>
          </w:p>
        </w:tc>
        <w:tc>
          <w:tcPr>
            <w:tcW w:w="0" w:type="dxa"/>
            <w:vAlign w:val="bottom"/>
          </w:tcPr>
          <w:p>
            <w:pPr>
              <w:spacing w:after="0"/>
              <w:rPr>
                <w:sz w:val="1"/>
                <w:szCs w:val="1"/>
                <w:color w:val="auto"/>
              </w:rPr>
            </w:pPr>
          </w:p>
        </w:tc>
      </w:tr>
      <w:tr>
        <w:trPr>
          <w:trHeight w:val="216"/>
        </w:trPr>
        <w:tc>
          <w:tcPr>
            <w:tcW w:w="8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21,175</w:t>
            </w: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(21,175)</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4"/>
        </w:trPr>
        <w:tc>
          <w:tcPr>
            <w:tcW w:w="8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(1,812)</w:t>
            </w:r>
          </w:p>
        </w:tc>
        <w:tc>
          <w:tcPr>
            <w:tcW w:w="10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1,812</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391"/>
        </w:trPr>
        <w:tc>
          <w:tcPr>
            <w:tcW w:w="8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3"/>
          </w:tcPr>
          <w:p>
            <w:pPr>
              <w:jc w:val="center"/>
              <w:ind w:right="752"/>
              <w:spacing w:after="0"/>
              <w:rPr>
                <w:sz w:val="20"/>
                <w:szCs w:val="20"/>
                <w:color w:val="auto"/>
              </w:rPr>
            </w:pPr>
            <w:r>
              <w:rPr>
                <w:rFonts w:ascii="Times New Roman" w:cs="Times New Roman" w:eastAsia="Times New Roman" w:hAnsi="Times New Roman"/>
                <w:sz w:val="14"/>
                <w:szCs w:val="14"/>
                <w:b w:val="1"/>
                <w:bCs w:val="1"/>
                <w:color w:val="auto"/>
              </w:rPr>
              <w:t>For the Year Ended December 31, 2024</w:t>
            </w:r>
          </w:p>
        </w:tc>
        <w:tc>
          <w:tcPr>
            <w:tcW w:w="9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800" w:type="dxa"/>
            <w:vAlign w:val="bottom"/>
          </w:tcPr>
          <w:p>
            <w:pPr>
              <w:spacing w:after="0"/>
              <w:rPr>
                <w:sz w:val="10"/>
                <w:szCs w:val="10"/>
                <w:color w:val="auto"/>
              </w:rPr>
            </w:pPr>
          </w:p>
        </w:tc>
        <w:tc>
          <w:tcPr>
            <w:tcW w:w="9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Primary</w:t>
            </w:r>
          </w:p>
        </w:tc>
        <w:tc>
          <w:tcPr>
            <w:tcW w:w="1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8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Beneficiaries</w:t>
            </w:r>
          </w:p>
        </w:tc>
        <w:tc>
          <w:tcPr>
            <w:tcW w:w="1160" w:type="dxa"/>
            <w:vAlign w:val="bottom"/>
          </w:tcPr>
          <w:p>
            <w:pPr>
              <w:spacing w:after="0"/>
              <w:rPr>
                <w:sz w:val="12"/>
                <w:szCs w:val="12"/>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VIEs and</w:t>
            </w:r>
          </w:p>
        </w:tc>
        <w:tc>
          <w:tcPr>
            <w:tcW w:w="10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0" w:type="dxa"/>
            <w:vAlign w:val="bottom"/>
            <w:vMerge w:val="restart"/>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Baidu,</w:t>
            </w: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VIEs</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9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48"/>
        </w:trPr>
        <w:tc>
          <w:tcPr>
            <w:tcW w:w="800" w:type="dxa"/>
            <w:vAlign w:val="bottom"/>
            <w:vMerge w:val="continue"/>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excluding</w:t>
            </w:r>
          </w:p>
        </w:tc>
        <w:tc>
          <w:tcPr>
            <w:tcW w:w="1160" w:type="dxa"/>
            <w:vAlign w:val="bottom"/>
            <w:vMerge w:val="continue"/>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VIEs’</w:t>
            </w:r>
          </w:p>
        </w:tc>
        <w:tc>
          <w:tcPr>
            <w:tcW w:w="1080" w:type="dxa"/>
            <w:vAlign w:val="bottom"/>
            <w:vMerge w:val="restart"/>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800" w:type="dxa"/>
            <w:vAlign w:val="bottom"/>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w w:val="95"/>
              </w:rPr>
              <w:t>Inc.</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Baidu, Inc.</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080" w:type="dxa"/>
            <w:vAlign w:val="bottom"/>
            <w:vMerge w:val="continue"/>
          </w:tcPr>
          <w:p>
            <w:pPr>
              <w:spacing w:after="0"/>
              <w:rPr>
                <w:sz w:val="15"/>
                <w:szCs w:val="15"/>
                <w:color w:val="auto"/>
              </w:rPr>
            </w:pP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17"/>
        </w:trPr>
        <w:tc>
          <w:tcPr>
            <w:tcW w:w="8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2160" w:type="dxa"/>
            <w:vAlign w:val="bottom"/>
            <w:tcBorders>
              <w:top w:val="single" w:sz="8" w:color="auto"/>
            </w:tcBorders>
            <w:gridSpan w:val="2"/>
          </w:tcPr>
          <w:p>
            <w:pPr>
              <w:jc w:val="center"/>
              <w:ind w:left="157"/>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10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8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160" w:type="dxa"/>
            <w:vAlign w:val="bottom"/>
            <w:gridSpan w:val="2"/>
          </w:tcPr>
          <w:p>
            <w:pPr>
              <w:jc w:val="center"/>
              <w:ind w:left="157"/>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0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8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13,872</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160" w:type="dxa"/>
            <w:vAlign w:val="bottom"/>
          </w:tcPr>
          <w:p>
            <w:pPr>
              <w:jc w:val="right"/>
              <w:ind w:right="97"/>
              <w:spacing w:after="0"/>
              <w:rPr>
                <w:sz w:val="20"/>
                <w:szCs w:val="20"/>
                <w:color w:val="auto"/>
              </w:rPr>
            </w:pPr>
            <w:r>
              <w:rPr>
                <w:rFonts w:ascii="Times New Roman" w:cs="Times New Roman" w:eastAsia="Times New Roman" w:hAnsi="Times New Roman"/>
                <w:sz w:val="18"/>
                <w:szCs w:val="18"/>
                <w:color w:val="auto"/>
              </w:rPr>
              <w:t>30,096</w:t>
            </w:r>
          </w:p>
        </w:tc>
        <w:tc>
          <w:tcPr>
            <w:tcW w:w="10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(7,363)</w:t>
            </w: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(15,361)</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21,234</w:t>
            </w:r>
          </w:p>
        </w:tc>
        <w:tc>
          <w:tcPr>
            <w:tcW w:w="0" w:type="dxa"/>
            <w:vAlign w:val="bottom"/>
          </w:tcPr>
          <w:p>
            <w:pPr>
              <w:spacing w:after="0"/>
              <w:rPr>
                <w:sz w:val="1"/>
                <w:szCs w:val="1"/>
                <w:color w:val="auto"/>
              </w:rPr>
            </w:pPr>
          </w:p>
        </w:tc>
      </w:tr>
      <w:tr>
        <w:trPr>
          <w:trHeight w:val="234"/>
        </w:trPr>
        <w:tc>
          <w:tcPr>
            <w:tcW w:w="8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(18,763)</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3,496</w:t>
            </w:r>
          </w:p>
        </w:tc>
        <w:tc>
          <w:tcPr>
            <w:tcW w:w="11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(6,520)</w:t>
            </w:r>
          </w:p>
        </w:tc>
        <w:tc>
          <w:tcPr>
            <w:tcW w:w="10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(7,584)</w:t>
            </w:r>
          </w:p>
        </w:tc>
        <w:tc>
          <w:tcPr>
            <w:tcW w:w="10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20,816</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(8,555)</w:t>
            </w:r>
          </w:p>
        </w:tc>
        <w:tc>
          <w:tcPr>
            <w:tcW w:w="0" w:type="dxa"/>
            <w:vAlign w:val="bottom"/>
          </w:tcPr>
          <w:p>
            <w:pPr>
              <w:spacing w:after="0"/>
              <w:rPr>
                <w:sz w:val="1"/>
                <w:szCs w:val="1"/>
                <w:color w:val="auto"/>
              </w:rPr>
            </w:pPr>
          </w:p>
        </w:tc>
      </w:tr>
      <w:tr>
        <w:trPr>
          <w:trHeight w:val="432"/>
        </w:trPr>
        <w:tc>
          <w:tcPr>
            <w:tcW w:w="8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(434)</w:t>
            </w:r>
          </w:p>
        </w:tc>
        <w:tc>
          <w:tcPr>
            <w:tcW w:w="100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434</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432"/>
        </w:trPr>
        <w:tc>
          <w:tcPr>
            <w:tcW w:w="8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1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(9,380)</w:t>
            </w:r>
          </w:p>
        </w:tc>
        <w:tc>
          <w:tcPr>
            <w:tcW w:w="100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9,391</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414"/>
        </w:trPr>
        <w:tc>
          <w:tcPr>
            <w:tcW w:w="8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tcPr>
          <w:p>
            <w:pPr>
              <w:jc w:val="right"/>
              <w:ind w:right="97"/>
              <w:spacing w:after="0"/>
              <w:rPr>
                <w:sz w:val="20"/>
                <w:szCs w:val="20"/>
                <w:color w:val="auto"/>
              </w:rPr>
            </w:pPr>
            <w:r>
              <w:rPr>
                <w:rFonts w:ascii="Times New Roman" w:cs="Times New Roman" w:eastAsia="Times New Roman" w:hAnsi="Times New Roman"/>
                <w:sz w:val="18"/>
                <w:szCs w:val="18"/>
                <w:color w:val="auto"/>
              </w:rPr>
              <w:t>698</w:t>
            </w:r>
          </w:p>
        </w:tc>
        <w:tc>
          <w:tcPr>
            <w:tcW w:w="100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(698)</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4"/>
        </w:trPr>
        <w:tc>
          <w:tcPr>
            <w:tcW w:w="8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1,938</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(2,968)</w:t>
            </w:r>
          </w:p>
        </w:tc>
        <w:tc>
          <w:tcPr>
            <w:tcW w:w="11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(19,372)</w:t>
            </w:r>
          </w:p>
        </w:tc>
        <w:tc>
          <w:tcPr>
            <w:tcW w:w="100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12,098</w:t>
            </w: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(5,455)</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(13,759)</w:t>
            </w:r>
          </w:p>
        </w:tc>
        <w:tc>
          <w:tcPr>
            <w:tcW w:w="0" w:type="dxa"/>
            <w:vAlign w:val="bottom"/>
          </w:tcPr>
          <w:p>
            <w:pPr>
              <w:spacing w:after="0"/>
              <w:rPr>
                <w:sz w:val="1"/>
                <w:szCs w:val="1"/>
                <w:color w:val="auto"/>
              </w:rPr>
            </w:pPr>
          </w:p>
        </w:tc>
      </w:tr>
      <w:tr>
        <w:trPr>
          <w:trHeight w:val="432"/>
        </w:trPr>
        <w:tc>
          <w:tcPr>
            <w:tcW w:w="8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434</w:t>
            </w: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(434)</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432"/>
        </w:trPr>
        <w:tc>
          <w:tcPr>
            <w:tcW w:w="8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9,391</w:t>
            </w: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(9,391)</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432"/>
        </w:trPr>
        <w:tc>
          <w:tcPr>
            <w:tcW w:w="8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(698)</w:t>
            </w:r>
          </w:p>
        </w:tc>
        <w:tc>
          <w:tcPr>
            <w:tcW w:w="10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698</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365"/>
        </w:trPr>
        <w:tc>
          <w:tcPr>
            <w:tcW w:w="8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14</w:t>
            </w:r>
          </w:p>
        </w:tc>
        <w:tc>
          <w:tcPr>
            <w:tcW w:w="9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-3164205</wp:posOffset>
            </wp:positionH>
            <wp:positionV relativeFrom="paragraph">
              <wp:posOffset>-4174490</wp:posOffset>
            </wp:positionV>
            <wp:extent cx="699516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-3164205</wp:posOffset>
            </wp:positionH>
            <wp:positionV relativeFrom="paragraph">
              <wp:posOffset>-3899535</wp:posOffset>
            </wp:positionV>
            <wp:extent cx="699516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-3164205</wp:posOffset>
            </wp:positionH>
            <wp:positionV relativeFrom="paragraph">
              <wp:posOffset>-3625215</wp:posOffset>
            </wp:positionV>
            <wp:extent cx="699516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-3164205</wp:posOffset>
            </wp:positionH>
            <wp:positionV relativeFrom="paragraph">
              <wp:posOffset>-3351530</wp:posOffset>
            </wp:positionV>
            <wp:extent cx="699516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-3164205</wp:posOffset>
            </wp:positionH>
            <wp:positionV relativeFrom="paragraph">
              <wp:posOffset>-2288540</wp:posOffset>
            </wp:positionV>
            <wp:extent cx="699516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-3164205</wp:posOffset>
            </wp:positionH>
            <wp:positionV relativeFrom="paragraph">
              <wp:posOffset>-2014220</wp:posOffset>
            </wp:positionV>
            <wp:extent cx="6995160" cy="2743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274320"/>
                    </a:xfrm>
                    <a:prstGeom prst="rect">
                      <a:avLst/>
                    </a:prstGeom>
                    <a:noFill/>
                  </pic:spPr>
                </pic:pic>
              </a:graphicData>
            </a:graphic>
          </wp:anchor>
        </w:drawing>
        <w:drawing>
          <wp:anchor simplePos="0" relativeHeight="251657728" behindDoc="1" locked="0" layoutInCell="0" allowOverlap="1">
            <wp:simplePos x="0" y="0"/>
            <wp:positionH relativeFrom="column">
              <wp:posOffset>-3164205</wp:posOffset>
            </wp:positionH>
            <wp:positionV relativeFrom="paragraph">
              <wp:posOffset>-1465580</wp:posOffset>
            </wp:positionV>
            <wp:extent cx="6995160" cy="2743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274320"/>
                    </a:xfrm>
                    <a:prstGeom prst="rect">
                      <a:avLst/>
                    </a:prstGeom>
                    <a:noFill/>
                  </pic:spPr>
                </pic:pic>
              </a:graphicData>
            </a:graphic>
          </wp:anchor>
        </w:drawing>
        <w:drawing>
          <wp:anchor simplePos="0" relativeHeight="251657728" behindDoc="1" locked="0" layoutInCell="0" allowOverlap="1">
            <wp:simplePos x="0" y="0"/>
            <wp:positionH relativeFrom="column">
              <wp:posOffset>-3164205</wp:posOffset>
            </wp:positionH>
            <wp:positionV relativeFrom="paragraph">
              <wp:posOffset>-1054100</wp:posOffset>
            </wp:positionV>
            <wp:extent cx="6995160" cy="2743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274320"/>
                    </a:xfrm>
                    <a:prstGeom prst="rect">
                      <a:avLst/>
                    </a:prstGeom>
                    <a:noFill/>
                  </pic:spPr>
                </pic:pic>
              </a:graphicData>
            </a:graphic>
          </wp:anchor>
        </w:drawing>
        <w:drawing>
          <wp:anchor simplePos="0" relativeHeight="251657728" behindDoc="1" locked="0" layoutInCell="0" allowOverlap="1">
            <wp:simplePos x="0" y="0"/>
            <wp:positionH relativeFrom="column">
              <wp:posOffset>-3164205</wp:posOffset>
            </wp:positionH>
            <wp:positionV relativeFrom="paragraph">
              <wp:posOffset>-505460</wp:posOffset>
            </wp:positionV>
            <wp:extent cx="6995160" cy="2743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274320"/>
                    </a:xfrm>
                    <a:prstGeom prst="rect">
                      <a:avLst/>
                    </a:prstGeom>
                    <a:noFill/>
                  </pic:spPr>
                </pic:pic>
              </a:graphicData>
            </a:graphic>
          </wp:anchor>
        </w:drawing>
      </w:r>
    </w:p>
    <w:p>
      <w:pPr>
        <w:sectPr>
          <w:pgSz w:w="11900" w:h="16838" w:orient="portrait"/>
          <w:cols w:equalWidth="0" w:num="2">
            <w:col w:w="4820" w:space="280"/>
            <w:col w:w="5980"/>
          </w:cols>
          <w:pgMar w:left="320" w:top="482" w:right="4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90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3280" w:type="dxa"/>
            <w:vAlign w:val="bottom"/>
            <w:tcBorders>
              <w:bottom w:val="single" w:sz="8" w:color="auto"/>
            </w:tcBorders>
            <w:gridSpan w:val="3"/>
          </w:tcPr>
          <w:p>
            <w:pPr>
              <w:jc w:val="center"/>
              <w:ind w:right="772"/>
              <w:spacing w:after="0"/>
              <w:rPr>
                <w:sz w:val="20"/>
                <w:szCs w:val="20"/>
                <w:color w:val="auto"/>
              </w:rPr>
            </w:pPr>
            <w:r>
              <w:rPr>
                <w:rFonts w:ascii="Times New Roman" w:cs="Times New Roman" w:eastAsia="Times New Roman" w:hAnsi="Times New Roman"/>
                <w:sz w:val="14"/>
                <w:szCs w:val="14"/>
                <w:b w:val="1"/>
                <w:bCs w:val="1"/>
                <w:color w:val="auto"/>
              </w:rPr>
              <w:t>For the Year Ended December 31, 2023</w:t>
            </w:r>
          </w:p>
        </w:tc>
        <w:tc>
          <w:tcPr>
            <w:tcW w:w="9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9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Primary</w:t>
            </w:r>
          </w:p>
        </w:tc>
        <w:tc>
          <w:tcPr>
            <w:tcW w:w="10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9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Beneficiaries</w:t>
            </w:r>
          </w:p>
        </w:tc>
        <w:tc>
          <w:tcPr>
            <w:tcW w:w="1040" w:type="dxa"/>
            <w:vAlign w:val="bottom"/>
          </w:tcPr>
          <w:p>
            <w:pPr>
              <w:spacing w:after="0"/>
              <w:rPr>
                <w:sz w:val="12"/>
                <w:szCs w:val="12"/>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VIEs and</w:t>
            </w:r>
          </w:p>
        </w:tc>
        <w:tc>
          <w:tcPr>
            <w:tcW w:w="1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00" w:type="dxa"/>
            <w:vAlign w:val="bottom"/>
          </w:tcPr>
          <w:p>
            <w:pPr>
              <w:spacing w:after="0"/>
              <w:rPr>
                <w:sz w:val="12"/>
                <w:szCs w:val="12"/>
                <w:color w:val="auto"/>
              </w:rPr>
            </w:pPr>
          </w:p>
        </w:tc>
        <w:tc>
          <w:tcPr>
            <w:tcW w:w="820" w:type="dxa"/>
            <w:vAlign w:val="bottom"/>
            <w:vMerge w:val="restart"/>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Baidu,</w:t>
            </w: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VIEs</w:t>
            </w:r>
          </w:p>
        </w:tc>
        <w:tc>
          <w:tcPr>
            <w:tcW w:w="1040" w:type="dxa"/>
            <w:vAlign w:val="bottom"/>
            <w:vMerge w:val="restart"/>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140" w:type="dxa"/>
            <w:vAlign w:val="bottom"/>
            <w:vMerge w:val="continue"/>
          </w:tcPr>
          <w:p>
            <w:pPr>
              <w:spacing w:after="0"/>
              <w:rPr>
                <w:sz w:val="12"/>
                <w:szCs w:val="12"/>
                <w:color w:val="auto"/>
              </w:rPr>
            </w:pPr>
          </w:p>
        </w:tc>
        <w:tc>
          <w:tcPr>
            <w:tcW w:w="1100" w:type="dxa"/>
            <w:vAlign w:val="bottom"/>
          </w:tcPr>
          <w:p>
            <w:pPr>
              <w:spacing w:after="0"/>
              <w:rPr>
                <w:sz w:val="12"/>
                <w:szCs w:val="12"/>
                <w:color w:val="auto"/>
              </w:rPr>
            </w:pPr>
          </w:p>
        </w:tc>
        <w:tc>
          <w:tcPr>
            <w:tcW w:w="10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49"/>
        </w:trPr>
        <w:tc>
          <w:tcPr>
            <w:tcW w:w="49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excluding</w:t>
            </w:r>
          </w:p>
        </w:tc>
        <w:tc>
          <w:tcPr>
            <w:tcW w:w="1040" w:type="dxa"/>
            <w:vAlign w:val="bottom"/>
            <w:vMerge w:val="continue"/>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VIEs’</w:t>
            </w:r>
          </w:p>
        </w:tc>
        <w:tc>
          <w:tcPr>
            <w:tcW w:w="1100" w:type="dxa"/>
            <w:vAlign w:val="bottom"/>
            <w:vMerge w:val="restart"/>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900" w:type="dxa"/>
            <w:vAlign w:val="bottom"/>
          </w:tcPr>
          <w:p>
            <w:pPr>
              <w:spacing w:after="0"/>
              <w:rPr>
                <w:sz w:val="15"/>
                <w:szCs w:val="15"/>
                <w:color w:val="auto"/>
              </w:rPr>
            </w:pPr>
          </w:p>
        </w:tc>
        <w:tc>
          <w:tcPr>
            <w:tcW w:w="820" w:type="dxa"/>
            <w:vAlign w:val="bottom"/>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Inc.</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Baidu, Inc.</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100" w:type="dxa"/>
            <w:vAlign w:val="bottom"/>
            <w:vMerge w:val="continue"/>
          </w:tcPr>
          <w:p>
            <w:pPr>
              <w:spacing w:after="0"/>
              <w:rPr>
                <w:sz w:val="15"/>
                <w:szCs w:val="15"/>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17"/>
        </w:trPr>
        <w:tc>
          <w:tcPr>
            <w:tcW w:w="490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jc w:val="center"/>
              <w:ind w:right="716"/>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11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9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180" w:type="dxa"/>
            <w:vAlign w:val="bottom"/>
            <w:gridSpan w:val="2"/>
          </w:tcPr>
          <w:p>
            <w:pPr>
              <w:jc w:val="center"/>
              <w:ind w:left="136"/>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Net cash provided by/(used in) operating activities</w:t>
            </w:r>
            <w:r>
              <w:rPr>
                <w:rFonts w:ascii="Times New Roman" w:cs="Times New Roman" w:eastAsia="Times New Roman" w:hAnsi="Times New Roman"/>
                <w:sz w:val="25"/>
                <w:szCs w:val="25"/>
                <w:color w:val="auto"/>
                <w:vertAlign w:val="superscript"/>
              </w:rPr>
              <w:t>(1)</w:t>
            </w:r>
          </w:p>
        </w:tc>
        <w:tc>
          <w:tcPr>
            <w:tcW w:w="8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(2,012)</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33,660</w:t>
            </w:r>
          </w:p>
        </w:tc>
        <w:tc>
          <w:tcPr>
            <w:tcW w:w="11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5,328</w:t>
            </w:r>
          </w:p>
        </w:tc>
        <w:tc>
          <w:tcPr>
            <w:tcW w:w="11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36,615</w:t>
            </w: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by/(used in) investing activities</w:t>
            </w:r>
          </w:p>
        </w:tc>
        <w:tc>
          <w:tcPr>
            <w:tcW w:w="82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2,592</w:t>
            </w:r>
          </w:p>
        </w:tc>
        <w:tc>
          <w:tcPr>
            <w:tcW w:w="9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237</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(41,608)</w:t>
            </w:r>
          </w:p>
        </w:tc>
        <w:tc>
          <w:tcPr>
            <w:tcW w:w="11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(2,381)</w:t>
            </w: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(9,237)</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(50,397)</w:t>
            </w:r>
          </w:p>
        </w:tc>
        <w:tc>
          <w:tcPr>
            <w:tcW w:w="0" w:type="dxa"/>
            <w:vAlign w:val="bottom"/>
          </w:tcPr>
          <w:p>
            <w:pPr>
              <w:spacing w:after="0"/>
              <w:rPr>
                <w:sz w:val="1"/>
                <w:szCs w:val="1"/>
                <w:color w:val="auto"/>
              </w:rPr>
            </w:pPr>
          </w:p>
        </w:tc>
      </w:tr>
      <w:tr>
        <w:trPr>
          <w:trHeight w:val="198"/>
        </w:trPr>
        <w:tc>
          <w:tcPr>
            <w:tcW w:w="490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Including: Cash contribution to VIEs and VIEs’</w:t>
            </w:r>
          </w:p>
        </w:tc>
        <w:tc>
          <w:tcPr>
            <w:tcW w:w="8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900" w:type="dxa"/>
            <w:vAlign w:val="bottom"/>
            <w:shd w:val="clear" w:color="auto" w:fill="CCEEFF"/>
          </w:tcPr>
          <w:p>
            <w:pPr>
              <w:ind w:left="540"/>
              <w:spacing w:after="0" w:line="235" w:lineRule="exact"/>
              <w:rPr>
                <w:sz w:val="20"/>
                <w:szCs w:val="20"/>
                <w:color w:val="auto"/>
              </w:rPr>
            </w:pPr>
            <w:r>
              <w:rPr>
                <w:rFonts w:ascii="Times New Roman" w:cs="Times New Roman" w:eastAsia="Times New Roman" w:hAnsi="Times New Roman"/>
                <w:sz w:val="18"/>
                <w:szCs w:val="18"/>
                <w:color w:val="auto"/>
              </w:rPr>
              <w:t>subsidiaries</w:t>
            </w:r>
            <w:r>
              <w:rPr>
                <w:rFonts w:ascii="Times New Roman" w:cs="Times New Roman" w:eastAsia="Times New Roman" w:hAnsi="Times New Roman"/>
                <w:sz w:val="26"/>
                <w:szCs w:val="26"/>
                <w:color w:val="auto"/>
                <w:vertAlign w:val="superscript"/>
              </w:rPr>
              <w:t>(2)(3)</w:t>
            </w:r>
          </w:p>
        </w:tc>
        <w:tc>
          <w:tcPr>
            <w:tcW w:w="82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1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58</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900" w:type="dxa"/>
            <w:vAlign w:val="bottom"/>
          </w:tcPr>
          <w:p>
            <w:pPr>
              <w:ind w:left="720"/>
              <w:spacing w:after="0" w:line="216" w:lineRule="exact"/>
              <w:rPr>
                <w:sz w:val="20"/>
                <w:szCs w:val="20"/>
                <w:color w:val="auto"/>
              </w:rPr>
            </w:pPr>
            <w:r>
              <w:rPr>
                <w:rFonts w:ascii="Times New Roman" w:cs="Times New Roman" w:eastAsia="Times New Roman" w:hAnsi="Times New Roman"/>
                <w:sz w:val="17"/>
                <w:szCs w:val="17"/>
                <w:color w:val="auto"/>
              </w:rPr>
              <w:t>Loans provided to VIEs and VIEs’ subsidiaries</w:t>
            </w:r>
            <w:r>
              <w:rPr>
                <w:rFonts w:ascii="Times New Roman" w:cs="Times New Roman" w:eastAsia="Times New Roman" w:hAnsi="Times New Roman"/>
                <w:sz w:val="25"/>
                <w:szCs w:val="25"/>
                <w:color w:val="auto"/>
                <w:vertAlign w:val="superscript"/>
              </w:rPr>
              <w:t>(4)</w:t>
            </w:r>
          </w:p>
        </w:tc>
        <w:tc>
          <w:tcPr>
            <w:tcW w:w="82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(1,492)</w:t>
            </w:r>
          </w:p>
        </w:tc>
        <w:tc>
          <w:tcPr>
            <w:tcW w:w="114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1,492</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720"/>
              <w:spacing w:after="0" w:line="216" w:lineRule="exact"/>
              <w:rPr>
                <w:sz w:val="20"/>
                <w:szCs w:val="20"/>
                <w:color w:val="auto"/>
              </w:rPr>
            </w:pPr>
            <w:r>
              <w:rPr>
                <w:rFonts w:ascii="Times New Roman" w:cs="Times New Roman" w:eastAsia="Times New Roman" w:hAnsi="Times New Roman"/>
                <w:sz w:val="17"/>
                <w:szCs w:val="17"/>
                <w:color w:val="auto"/>
              </w:rPr>
              <w:t>Loans repayments from VIEs and VIEs’ subsidiaries</w:t>
            </w:r>
            <w:r>
              <w:rPr>
                <w:rFonts w:ascii="Times New Roman" w:cs="Times New Roman" w:eastAsia="Times New Roman" w:hAnsi="Times New Roman"/>
                <w:sz w:val="25"/>
                <w:szCs w:val="25"/>
                <w:color w:val="auto"/>
                <w:vertAlign w:val="superscript"/>
              </w:rPr>
              <w:t>(4)</w:t>
            </w:r>
          </w:p>
        </w:tc>
        <w:tc>
          <w:tcPr>
            <w:tcW w:w="82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5,150</w:t>
            </w:r>
          </w:p>
        </w:tc>
        <w:tc>
          <w:tcPr>
            <w:tcW w:w="11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(5,150)</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90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Net cash provided by/(used in) financing activities</w:t>
            </w:r>
            <w:r>
              <w:rPr>
                <w:rFonts w:ascii="Times New Roman" w:cs="Times New Roman" w:eastAsia="Times New Roman" w:hAnsi="Times New Roman"/>
                <w:sz w:val="25"/>
                <w:szCs w:val="25"/>
                <w:color w:val="auto"/>
                <w:vertAlign w:val="superscript"/>
              </w:rPr>
              <w:t>(1)</w:t>
            </w:r>
          </w:p>
        </w:tc>
        <w:tc>
          <w:tcPr>
            <w:tcW w:w="8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(13,881)</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(3,863)</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(3,657)</w:t>
            </w:r>
          </w:p>
        </w:tc>
        <w:tc>
          <w:tcPr>
            <w:tcW w:w="11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(1,998)</w:t>
            </w:r>
          </w:p>
        </w:tc>
        <w:tc>
          <w:tcPr>
            <w:tcW w:w="11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9,237</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(14,162)</w:t>
            </w:r>
          </w:p>
        </w:tc>
        <w:tc>
          <w:tcPr>
            <w:tcW w:w="0" w:type="dxa"/>
            <w:vAlign w:val="bottom"/>
          </w:tcPr>
          <w:p>
            <w:pPr>
              <w:spacing w:after="0"/>
              <w:rPr>
                <w:sz w:val="1"/>
                <w:szCs w:val="1"/>
                <w:color w:val="auto"/>
              </w:rPr>
            </w:pPr>
          </w:p>
        </w:tc>
      </w:tr>
      <w:tr>
        <w:trPr>
          <w:trHeight w:val="198"/>
        </w:trPr>
        <w:tc>
          <w:tcPr>
            <w:tcW w:w="490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Including: Cash contribution to VIEs and VIEs’</w:t>
            </w:r>
          </w:p>
        </w:tc>
        <w:tc>
          <w:tcPr>
            <w:tcW w:w="8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900" w:type="dxa"/>
            <w:vAlign w:val="bottom"/>
            <w:shd w:val="clear" w:color="auto" w:fill="CCEEFF"/>
          </w:tcPr>
          <w:p>
            <w:pPr>
              <w:ind w:left="540"/>
              <w:spacing w:after="0" w:line="235" w:lineRule="exact"/>
              <w:rPr>
                <w:sz w:val="20"/>
                <w:szCs w:val="20"/>
                <w:color w:val="auto"/>
              </w:rPr>
            </w:pPr>
            <w:r>
              <w:rPr>
                <w:rFonts w:ascii="Times New Roman" w:cs="Times New Roman" w:eastAsia="Times New Roman" w:hAnsi="Times New Roman"/>
                <w:sz w:val="18"/>
                <w:szCs w:val="18"/>
                <w:color w:val="auto"/>
              </w:rPr>
              <w:t>subsidiaries</w:t>
            </w:r>
            <w:r>
              <w:rPr>
                <w:rFonts w:ascii="Times New Roman" w:cs="Times New Roman" w:eastAsia="Times New Roman" w:hAnsi="Times New Roman"/>
                <w:sz w:val="26"/>
                <w:szCs w:val="26"/>
                <w:color w:val="auto"/>
                <w:vertAlign w:val="superscript"/>
              </w:rPr>
              <w:t>(2)(3)</w:t>
            </w:r>
          </w:p>
        </w:tc>
        <w:tc>
          <w:tcPr>
            <w:tcW w:w="82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58</w:t>
            </w:r>
          </w:p>
        </w:tc>
        <w:tc>
          <w:tcPr>
            <w:tcW w:w="11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(58)</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900" w:type="dxa"/>
            <w:vAlign w:val="bottom"/>
          </w:tcPr>
          <w:p>
            <w:pPr>
              <w:ind w:left="720"/>
              <w:spacing w:after="0" w:line="216" w:lineRule="exact"/>
              <w:rPr>
                <w:sz w:val="20"/>
                <w:szCs w:val="20"/>
                <w:color w:val="auto"/>
              </w:rPr>
            </w:pPr>
            <w:r>
              <w:rPr>
                <w:rFonts w:ascii="Times New Roman" w:cs="Times New Roman" w:eastAsia="Times New Roman" w:hAnsi="Times New Roman"/>
                <w:sz w:val="17"/>
                <w:szCs w:val="17"/>
                <w:color w:val="auto"/>
              </w:rPr>
              <w:t>Loans provided to VIEs and VIEs’ subsidiaries</w:t>
            </w:r>
            <w:r>
              <w:rPr>
                <w:rFonts w:ascii="Times New Roman" w:cs="Times New Roman" w:eastAsia="Times New Roman" w:hAnsi="Times New Roman"/>
                <w:sz w:val="25"/>
                <w:szCs w:val="25"/>
                <w:color w:val="auto"/>
                <w:vertAlign w:val="superscript"/>
              </w:rPr>
              <w:t>(4)</w:t>
            </w:r>
          </w:p>
        </w:tc>
        <w:tc>
          <w:tcPr>
            <w:tcW w:w="82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1,492</w:t>
            </w: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(1,492)</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720"/>
              <w:spacing w:after="0" w:line="216" w:lineRule="exact"/>
              <w:rPr>
                <w:sz w:val="20"/>
                <w:szCs w:val="20"/>
                <w:color w:val="auto"/>
              </w:rPr>
            </w:pPr>
            <w:r>
              <w:rPr>
                <w:rFonts w:ascii="Times New Roman" w:cs="Times New Roman" w:eastAsia="Times New Roman" w:hAnsi="Times New Roman"/>
                <w:sz w:val="17"/>
                <w:szCs w:val="17"/>
                <w:color w:val="auto"/>
              </w:rPr>
              <w:t>Loans repayments from VIEs and VIEs’ subsidiaries</w:t>
            </w:r>
            <w:r>
              <w:rPr>
                <w:rFonts w:ascii="Times New Roman" w:cs="Times New Roman" w:eastAsia="Times New Roman" w:hAnsi="Times New Roman"/>
                <w:sz w:val="25"/>
                <w:szCs w:val="25"/>
                <w:color w:val="auto"/>
                <w:vertAlign w:val="superscript"/>
              </w:rPr>
              <w:t>(4)</w:t>
            </w:r>
          </w:p>
        </w:tc>
        <w:tc>
          <w:tcPr>
            <w:tcW w:w="82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(5,150)</w:t>
            </w:r>
          </w:p>
        </w:tc>
        <w:tc>
          <w:tcPr>
            <w:tcW w:w="11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5,150</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w:t>
      </w:r>
    </w:p>
    <w:p>
      <w:pPr>
        <w:spacing w:after="0" w:line="27" w:lineRule="exact"/>
        <w:rPr>
          <w:sz w:val="20"/>
          <w:szCs w:val="20"/>
          <w:color w:val="auto"/>
        </w:rPr>
      </w:pPr>
    </w:p>
    <w:p>
      <w:pPr>
        <w:ind w:left="540" w:right="20" w:hanging="424"/>
        <w:spacing w:after="0" w:line="260" w:lineRule="auto"/>
        <w:tabs>
          <w:tab w:leader="none" w:pos="5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years ended December 31, 2023, 2024 and 2025, Baidu, Inc. received nil, RMB15.2 billion and RMB6.5 billion (US$933 million), respectively, as cash distributions from one of its subsidiaries.</w:t>
      </w:r>
    </w:p>
    <w:p>
      <w:pPr>
        <w:jc w:val="both"/>
        <w:ind w:left="540" w:right="20" w:hanging="424"/>
        <w:spacing w:after="0" w:line="264" w:lineRule="auto"/>
        <w:tabs>
          <w:tab w:leader="none" w:pos="5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years ended December 31, 2023, 2024 and 2025, the primary beneficiaries designated its subsidiaries to provide loans totaling RMB58 million, RMB434 million and nil, respectively, to the nominee shareholders to fund the capitalization of the VIEs and VIEs’ subsidiaries for which the primary beneficiaries do not intend to seek repayment, and nil was repaid by the nominee shareholders.</w:t>
      </w:r>
    </w:p>
    <w:p>
      <w:pPr>
        <w:ind w:left="540" w:hanging="424"/>
        <w:spacing w:after="0"/>
        <w:tabs>
          <w:tab w:leader="none" w:pos="5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years ended December 31, 2023, 2024 and 2025, the VIEs and VIEs’ subsidiaries did not receive capital contribution from other subsidiaries.</w:t>
      </w:r>
    </w:p>
    <w:p>
      <w:pPr>
        <w:spacing w:after="0" w:line="18" w:lineRule="exact"/>
        <w:rPr>
          <w:rFonts w:ascii="Times New Roman" w:cs="Times New Roman" w:eastAsia="Times New Roman" w:hAnsi="Times New Roman"/>
          <w:sz w:val="16"/>
          <w:szCs w:val="16"/>
          <w:color w:val="auto"/>
        </w:rPr>
      </w:pPr>
    </w:p>
    <w:p>
      <w:pPr>
        <w:jc w:val="both"/>
        <w:ind w:left="540" w:right="20" w:hanging="424"/>
        <w:spacing w:after="0" w:line="276" w:lineRule="auto"/>
        <w:tabs>
          <w:tab w:leader="none" w:pos="5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years ended December 31, 2023, 2024 and 2025, the VIEs and VIEs’ subsidiaries received RMB1.5 billion, RMB9.4 billion and RMB20.7 billion (US$3.0 billion), respectively, as loans from other subsidiaries and the VIEs and VIEs’ subsidiaries repaid principal amounts of RMB5.2 billion, RMB698 million and RMB1.8 billion (US$259 million), respectively, to other subsidiaries.</w:t>
      </w:r>
    </w:p>
    <w:p>
      <w:pPr>
        <w:spacing w:after="0" w:line="321" w:lineRule="exact"/>
        <w:rPr>
          <w:sz w:val="20"/>
          <w:szCs w:val="20"/>
          <w:color w:val="auto"/>
        </w:rPr>
      </w:pPr>
    </w:p>
    <w:p>
      <w:pPr>
        <w:ind w:left="560" w:right="8120" w:hanging="444"/>
        <w:spacing w:after="0" w:line="412" w:lineRule="auto"/>
        <w:tabs>
          <w:tab w:leader="none" w:pos="552"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 xml:space="preserve">Capitalization and Indebtedness </w:t>
      </w:r>
      <w:r>
        <w:rPr>
          <w:rFonts w:ascii="Times New Roman" w:cs="Times New Roman" w:eastAsia="Times New Roman" w:hAnsi="Times New Roman"/>
          <w:sz w:val="18"/>
          <w:szCs w:val="18"/>
          <w:color w:val="auto"/>
        </w:rPr>
        <w:t>Not applicable.</w:t>
      </w:r>
    </w:p>
    <w:p>
      <w:pPr>
        <w:spacing w:after="0" w:line="193" w:lineRule="exact"/>
        <w:rPr>
          <w:rFonts w:ascii="Times New Roman" w:cs="Times New Roman" w:eastAsia="Times New Roman" w:hAnsi="Times New Roman"/>
          <w:sz w:val="18"/>
          <w:szCs w:val="18"/>
          <w:b w:val="1"/>
          <w:bCs w:val="1"/>
          <w:color w:val="auto"/>
        </w:rPr>
      </w:pPr>
    </w:p>
    <w:p>
      <w:pPr>
        <w:ind w:left="560" w:right="7360" w:hanging="444"/>
        <w:spacing w:after="0" w:line="401" w:lineRule="auto"/>
        <w:tabs>
          <w:tab w:leader="none" w:pos="552"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 xml:space="preserve">Reasons for the Offer and Use of Proceeds </w:t>
      </w:r>
      <w:r>
        <w:rPr>
          <w:rFonts w:ascii="Times New Roman" w:cs="Times New Roman" w:eastAsia="Times New Roman" w:hAnsi="Times New Roman"/>
          <w:sz w:val="18"/>
          <w:szCs w:val="18"/>
          <w:color w:val="auto"/>
        </w:rPr>
        <w:t>Not applicable.</w:t>
      </w:r>
    </w:p>
    <w:p>
      <w:pPr>
        <w:spacing w:after="0" w:line="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40"/>
          </w:cols>
          <w:pgMar w:left="320" w:top="482" w:right="4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right="9040" w:hanging="4"/>
        <w:spacing w:after="0" w:line="377" w:lineRule="auto"/>
        <w:tabs>
          <w:tab w:leader="none" w:pos="552"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 xml:space="preserve">Risk Factors </w:t>
      </w:r>
      <w:r>
        <w:rPr>
          <w:rFonts w:ascii="Times New Roman" w:cs="Times New Roman" w:eastAsia="Times New Roman" w:hAnsi="Times New Roman"/>
          <w:sz w:val="18"/>
          <w:szCs w:val="18"/>
          <w:b w:val="1"/>
          <w:bCs w:val="1"/>
          <w:color w:val="auto"/>
        </w:rPr>
        <w:t>Summary of Risk Factors</w:t>
      </w:r>
    </w:p>
    <w:p>
      <w:pPr>
        <w:spacing w:after="0" w:line="2"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An investment in our ADSs or Class A ordinary shares involves significant risks. Below is a summary of material risks we face, organized under relevant headings. All the operational risks associated with being based in and having operations in Chinese mainland also apply to operations in Hong Kong. With respect to the legal risks associated with being based in and having operations in Chinese mainland, the laws, regulations and the discretion of Chinese mainland government authorities discussed in this annual report are expected to apply to Chinese mainland entities and businesses, rather than entities or businesses in Hong Kong which operate under a different set of laws from Chinese mainland. These risks are discussed more fully in “Item 3.D. Key Information—Risk Factors.”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 and Industry</w:t>
      </w:r>
    </w:p>
    <w:p>
      <w:pPr>
        <w:spacing w:after="0" w:line="135" w:lineRule="exact"/>
        <w:rPr>
          <w:sz w:val="20"/>
          <w:szCs w:val="20"/>
          <w:color w:val="auto"/>
        </w:rPr>
      </w:pPr>
    </w:p>
    <w:p>
      <w:pPr>
        <w:ind w:left="1080" w:right="2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retain existing customers or attract new customers for our online marketing services, our business, results of operations and growth prospects could be seriously harmed;</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and results of operations could continue to be materially and adversely affected by the challenging macroeconomic environment impacting online marketing demand;</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depends on a strong brand. If we are unable to maintain and enhance our brand, or if there is negative publicity related to our products and services, our employees, or our business practices, our business and results of operations may be harmed;</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achieve the anticipated benefits of our acquisition of YY Live, and face other risks associated with the acquisition and the operation of YY Live;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significant competition and may suffer from loss of users and customers as a result;</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expansions into new businesses are not successful, our results of operation and growth prospects may be materially and adversely affected;</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made significant investments in foundation models and generative AI and may face uncertainties with respect to their commercialization and the evolving laws and regulations applicable to us;</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experienced slowdowns and declines in our revenue, and we may sustain net loss from time to time, and we may experience downward pressure on our operating and profit margins in the future;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issues in the adoption and use of artificial intelligence in our product offerings may result in reputational harm or liability;</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continue to innovate and provide products, services and high-quality internet experience that attract and retain users, we may not be able to remain competitive; we may expend significant resources in order to remain competitive; and</w:t>
      </w:r>
    </w:p>
    <w:p>
      <w:pPr>
        <w:spacing w:after="0" w:line="67" w:lineRule="exact"/>
        <w:rPr>
          <w:rFonts w:ascii="Times New Roman" w:cs="Times New Roman" w:eastAsia="Times New Roman" w:hAnsi="Times New Roman"/>
          <w:sz w:val="18"/>
          <w:szCs w:val="18"/>
          <w:color w:val="auto"/>
        </w:rPr>
      </w:pPr>
    </w:p>
    <w:p>
      <w:pPr>
        <w:jc w:val="both"/>
        <w:ind w:left="1080" w:right="20" w:hanging="424"/>
        <w:spacing w:after="0" w:line="266"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subject to complex and evolving Chinese and international laws and regulations, including those regarding data privacy and cybersecurity. Failure to comply with these laws and regulations would result in claims, penalties, damages to our reputation and brand, or declines in user growth or engagement, or otherwise harm our business.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Corporate Structure</w:t>
      </w:r>
    </w:p>
    <w:p>
      <w:pPr>
        <w:spacing w:after="0" w:line="135" w:lineRule="exact"/>
        <w:rPr>
          <w:sz w:val="20"/>
          <w:szCs w:val="20"/>
          <w:color w:val="auto"/>
        </w:rPr>
      </w:pPr>
    </w:p>
    <w:p>
      <w:pPr>
        <w:jc w:val="both"/>
        <w:ind w:left="1080" w:hanging="424"/>
        <w:spacing w:after="0" w:line="253"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company is a Cayman Islands holding company with no equity ownership in the variable interest entities and we conduct our operations in Chinese mainland through (i) our Chinese mainland subsidiaries and (ii) the variable interest entities with which we have maintained contractual arrangements. Investors in our Class A ordinary shares or the ADSs thus are not purchasing equity interest in the variable interest entities in Chinese mainland but instead are purchasing equity interest in a Cayman Islands holding company. If the PRC government deems that our contractual arrangements with the variable interest entities do not comply with Chinese mainland’s regulatory restrictions on foreign investment in the relevant industries, or if these regulations or the interpretation of existing regulations change or are interpreted differently in the future, we could be subject to severe penalties or be forced to relinquish our interests in those operations. Our holding company in the Cayman Islands, the variable interest entities, and investors of our company face uncertainty about potential future actions by the PRC government that could affect the enforceability of the contractual arrangements with the variable interest entities and, consequently, significantly affect the financial performance of the variable interest entities and our company as a group;</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40"/>
          </w:cols>
          <w:pgMar w:left="320" w:top="482" w:right="4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080" w:right="2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contractual arrangements with the variable interest entities in Chinese mainland and the individual nominee shareholders may not be as effective in providing control over these entities as direct ownership; and</w:t>
      </w:r>
    </w:p>
    <w:p>
      <w:pPr>
        <w:spacing w:after="0" w:line="67" w:lineRule="exact"/>
        <w:rPr>
          <w:rFonts w:ascii="Times New Roman" w:cs="Times New Roman" w:eastAsia="Times New Roman" w:hAnsi="Times New Roman"/>
          <w:sz w:val="18"/>
          <w:szCs w:val="18"/>
          <w:color w:val="auto"/>
        </w:rPr>
      </w:pPr>
    </w:p>
    <w:p>
      <w:pPr>
        <w:jc w:val="both"/>
        <w:ind w:left="1080" w:right="20" w:hanging="424"/>
        <w:spacing w:after="0" w:line="266"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in the process of registering the pledges of equity interests by nominee shareholders of some of the variable interest entities, and we may not be able to enforce the equity pledges against any third parties who acquire the equity interests in good faith in the relevant variable interest entities before the pledges are registered.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Doing Business in China</w:t>
      </w:r>
    </w:p>
    <w:p>
      <w:pPr>
        <w:spacing w:after="0" w:line="135" w:lineRule="exact"/>
        <w:rPr>
          <w:sz w:val="20"/>
          <w:szCs w:val="20"/>
          <w:color w:val="auto"/>
        </w:rPr>
      </w:pPr>
    </w:p>
    <w:p>
      <w:pPr>
        <w:ind w:left="1080" w:right="2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China’s economic, political or social conditions or government policies could have a material and adverse effect on our business and operations;</w:t>
      </w:r>
    </w:p>
    <w:p>
      <w:pPr>
        <w:spacing w:after="0" w:line="67" w:lineRule="exact"/>
        <w:rPr>
          <w:rFonts w:ascii="Times New Roman" w:cs="Times New Roman" w:eastAsia="Times New Roman" w:hAnsi="Times New Roman"/>
          <w:sz w:val="18"/>
          <w:szCs w:val="18"/>
          <w:color w:val="auto"/>
        </w:rPr>
      </w:pPr>
    </w:p>
    <w:p>
      <w:pPr>
        <w:jc w:val="both"/>
        <w:ind w:left="1080" w:right="20" w:hanging="424"/>
        <w:spacing w:after="0" w:line="266"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and/or filing with the CSRC or other PRC government authorities may be required in connection with our offshore offerings under the laws of Chinese mainland, and, if required, we cannot predict whether or for how long we will be able to obtain such approval or complete such filing;</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uncertainties regarding the interpretation and enforcement of PRC laws, rules and regulations;</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adversely affected by the complexity, uncertainties and changes in the regulations of internet, artificial intelligence and related business and companies in Chinese mainland;</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to meet the PRC government’s complex regulatory requirements on our business operation could have a material adverse effect on our operations and the value of our securities;</w:t>
      </w:r>
    </w:p>
    <w:p>
      <w:pPr>
        <w:spacing w:after="0" w:line="67" w:lineRule="exact"/>
        <w:rPr>
          <w:rFonts w:ascii="Times New Roman" w:cs="Times New Roman" w:eastAsia="Times New Roman" w:hAnsi="Times New Roman"/>
          <w:sz w:val="18"/>
          <w:szCs w:val="18"/>
          <w:color w:val="auto"/>
        </w:rPr>
      </w:pPr>
    </w:p>
    <w:p>
      <w:pPr>
        <w:jc w:val="both"/>
        <w:ind w:left="1080" w:hanging="424"/>
        <w:spacing w:after="0" w:line="266"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or perceived failure by us to comply with the enacted Guidelines to Anti-Monopoly in the Field of Internet Platforms and other anti-monopoly laws and regulations may result in governmental investigations or enforcement actions, litigation or claims against us and could have an adverse effect on our business, financial condition and results of operations;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may be difficult for overseas regulators to conduct investigation or collect evidence within Chinese mainland;</w:t>
      </w:r>
    </w:p>
    <w:p>
      <w:pPr>
        <w:spacing w:after="0" w:line="130" w:lineRule="exact"/>
        <w:rPr>
          <w:rFonts w:ascii="Times New Roman" w:cs="Times New Roman" w:eastAsia="Times New Roman" w:hAnsi="Times New Roman"/>
          <w:sz w:val="18"/>
          <w:szCs w:val="18"/>
          <w:color w:val="auto"/>
        </w:rPr>
      </w:pPr>
    </w:p>
    <w:p>
      <w:pPr>
        <w:jc w:val="both"/>
        <w:ind w:left="1080" w:right="20" w:hanging="424"/>
        <w:spacing w:after="0" w:line="266"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PCAOB had historically been unable to inspect our auditor in relation to their audit work performed for our financial statements and the inability of the PCAOB to conduct inspections of our auditor in the past has deprived our investors with the benefits of such inspections; and</w:t>
      </w:r>
    </w:p>
    <w:p>
      <w:pPr>
        <w:spacing w:after="0" w:line="81" w:lineRule="exact"/>
        <w:rPr>
          <w:rFonts w:ascii="Times New Roman" w:cs="Times New Roman" w:eastAsia="Times New Roman" w:hAnsi="Times New Roman"/>
          <w:sz w:val="18"/>
          <w:szCs w:val="18"/>
          <w:color w:val="auto"/>
        </w:rPr>
      </w:pPr>
    </w:p>
    <w:p>
      <w:pPr>
        <w:jc w:val="both"/>
        <w:ind w:left="1080" w:right="20" w:hanging="424"/>
        <w:spacing w:after="0" w:line="266"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ADSs may be prohibited from trading in the United States under the HFCAA in the future if the PCAOB is unable to inspect or investigate completely auditors located in China. The delisting or prohibition of trading of the ADSs, or the threat of their being delisted or prohibited from trading, may materially and adversely affect the value of your investment.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ADSs and Class A Ordinary Shares</w:t>
      </w:r>
    </w:p>
    <w:p>
      <w:pPr>
        <w:spacing w:after="0" w:line="135" w:lineRule="exact"/>
        <w:rPr>
          <w:sz w:val="20"/>
          <w:szCs w:val="20"/>
          <w:color w:val="auto"/>
        </w:rPr>
      </w:pPr>
    </w:p>
    <w:p>
      <w:pPr>
        <w:ind w:left="1080" w:right="2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price of our ADSs and/or our Class A ordinary shares has been and is likely to continue to be volatile regardless of our operating performance;</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adopt different practices as to certain matters as compared with many other companies primarily listed on the Hong Kong Stock Exchange;</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future sales or perceived potential sales of our Class A ordinary shares and/or ADSs in the public market could cause the price of our Class A ordinary shares and/or ADSs to decline; and</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different characteristics of the capital markets in Hong Kong and the U.S. may negatively affect the trading prices of our Class A ordinary shares and/or ADSs.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40"/>
          </w:cols>
          <w:pgMar w:left="320" w:top="482" w:right="4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17" w:lineRule="exact"/>
        <w:rPr>
          <w:sz w:val="20"/>
          <w:szCs w:val="20"/>
          <w:color w:val="auto"/>
        </w:rPr>
      </w:pPr>
    </w:p>
    <w:p>
      <w:pPr>
        <w:jc w:val="both"/>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retain existing customers or attract new customers for our online marketing services, our business, results of operations and growth prospects could be seriously harmed.</w:t>
      </w:r>
    </w:p>
    <w:p>
      <w:pPr>
        <w:spacing w:after="0" w:line="51" w:lineRule="exact"/>
        <w:rPr>
          <w:sz w:val="20"/>
          <w:szCs w:val="20"/>
          <w:color w:val="auto"/>
        </w:rPr>
      </w:pPr>
    </w:p>
    <w:p>
      <w:pPr>
        <w:jc w:val="both"/>
        <w:ind w:left="120" w:firstLine="440"/>
        <w:spacing w:after="0" w:line="252" w:lineRule="auto"/>
        <w:rPr>
          <w:sz w:val="20"/>
          <w:szCs w:val="20"/>
          <w:color w:val="auto"/>
        </w:rPr>
      </w:pPr>
      <w:r>
        <w:rPr>
          <w:rFonts w:ascii="Times New Roman" w:cs="Times New Roman" w:eastAsia="Times New Roman" w:hAnsi="Times New Roman"/>
          <w:sz w:val="18"/>
          <w:szCs w:val="18"/>
          <w:color w:val="auto"/>
        </w:rPr>
        <w:t>Our online marketing customers will not continue to do business with us if their investment does not generate sales leads and ultimately consumers, or if we do not deliver their web pages in an appropriate and effective manner. Our online marketing customers may choose to discontinue their business with us, which are not subject to fixed-term contracts. In addition, third parties may develop and use certain technologies to block the display of our customers’ advertisements and other marketing products on our Baidu platform, which may in turn cause us to lose customers and adversely affect our results of operations. Furthermore, as our P4P services enable our customers to bid for priority placement of their paid sponsored links, we may lose customers if they find the bidding mechanism not cost effective or otherwise not attractive. Additionally, if our users do not increase their engagement on our platform, or our content ecosystem fails to offer rich and quality content that meets users’ tastes and preferences, or our users spend more time with or otherwise satisfy their content consumption demands on competing platforms, or we otherwise experience user traffic decline due to any reason, it would be difficult for us to attract new customers or retain existing customers. If our customers determine that their expenditures on our platform do not generate the returns they expect, they may allocate a greater portion or all of their advertising budgets to other advertising channels, such as other online marketing platforms, television and outdoor media, and reduce or discontinue business with us. Since most of our customers are not bound by long-term contracts, they may amend or terminate their advertising arrangements with us with little advance notice under certain circumstances. Failure to retain our existing customers or attract new customers for our online marketing services could seriously harm our business, results of operations and future prospects. We have recorded substantial customer deposits and deferred revenue received from certain customers of our online marketing services. If we are unable to fulfill our obligation in respect of such customer deposits and deferred revenue, we may have to refund the balance to our customers and our cash flow and liquidity position would be materially adversely affected.</w:t>
      </w:r>
    </w:p>
    <w:p>
      <w:pPr>
        <w:spacing w:after="0" w:line="195"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We have in the past removed, and may in the future again remove, questionable listings or advertisements to ensure the quality and reliability of our search results and/or information feed. Such removal, whether temporary or permanent, may cause affected customers to discontinue their business with us or negatively impact our relationships with affected Baidu Union partners. We also examine the relevant business licenses and bank accounts of prospective customers prior to business engagement, as a quality control measure. In addition, we have taken steps to implement measures requested by PRC regulatory authorities, such as modifying paid search practices and limiting negative publicity advertisements in connection with certain industries. We have also proactively implemented numerous additional measures to deliver a better user experience and build a safer and more trustworthy platform for users. Such measures have had a negative impact on the number of customers and our revenues, although we believe such impact is likely to be temporary. Regulations on online marketing services in Chinese mainland are evolving, and uncertainties remain with respect to the implementation of and compliance with new regulations that may emerge, which in turn may have a material adverse impact on our business, results of operations and growth prospects.</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40"/>
          </w:cols>
          <w:pgMar w:left="320" w:top="482" w:right="4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both"/>
        <w:ind w:left="120" w:right="2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Our business and results of operations could continue to be materially and adversely affected by the challenging macroeconomic environment impacting online marketing demand.</w:t>
      </w: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Online marketing services continue to be a primary source of our revenues. Revenue from online marketing services declined in 2024 and 2025, primarily due to our ongoing AI transformation, which impacted the monetization approach, as well as unfavorable macroeconomic conditions that adversely affected customers’ advertising budgets and spending. Our business and results of operations could continue to be materially and adversely affected by the challenging macroeconomic environment as well as by trends in online marketing through internet searches or feeds. With the evolution of the internet in China, customers have many channels to conduct online marketing and promotions. In addition, the increasing prevalence of AI-powered search engines and virtual assistants is fundamentally altering user behavior. As these tools provide direct, conversational answers to queries, users may have less need to click on traditional search results or sponsored links, potentially reducing traffic to our platforms and diminishing the inventory and effectiveness of our search-based advertising. Furthermore, the emergence of new advertising platforms and formats could disrupt the existing online marketing ecosystem, creating new competitors and accelerating the shift of marketing budgets away from traditional search-plus-newsfeed models. As users may not spend as much time on search-plus-newsfeed as they do on other types of internet platforms, many current and potential customers may not allocate as much of their marketing budgets to online marketing through search-plus-newsfeed, as compared to other methods of online marketing. Our ability to maintain or increase revenue and profitability from online marketing may be adversely impacted by a number of factors, many of which are beyond our control, including but not limited to:</w:t>
      </w:r>
    </w:p>
    <w:p>
      <w:pPr>
        <w:spacing w:after="0" w:line="39" w:lineRule="exact"/>
        <w:rPr>
          <w:sz w:val="20"/>
          <w:szCs w:val="20"/>
          <w:color w:val="auto"/>
        </w:rPr>
      </w:pPr>
    </w:p>
    <w:p>
      <w:pPr>
        <w:ind w:left="1080" w:right="2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associated with developing and maintaining a larger user base with demographic characteristics attractive to online marketing customers and maintaining and increasing user engagement;</w:t>
      </w:r>
    </w:p>
    <w:p>
      <w:pPr>
        <w:spacing w:after="0" w:line="13"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and potential re-allocation of marketing budgets and downward pressure on online marketing prices, for example, resulting from an oversupply of advertising inventory released into the market;</w:t>
      </w:r>
    </w:p>
    <w:p>
      <w:pPr>
        <w:spacing w:after="0" w:line="13"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customer acquisition costs due in part to the limited experience of small to medium-sized enterprises, or SMEs, with the internet as a marketing channel or due to competition;</w:t>
      </w:r>
    </w:p>
    <w:p>
      <w:pPr>
        <w:spacing w:after="0" w:line="13"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use of our search and paid click because search queries are increasingly being undertaken via voice-activated smart devices, apps, social media or other online platforms;</w:t>
      </w:r>
    </w:p>
    <w:p>
      <w:pPr>
        <w:spacing w:after="0" w:line="13"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ineffectiveness of our online marketing delivery, tracking and reporting systems;</w:t>
      </w:r>
    </w:p>
    <w:p>
      <w:pPr>
        <w:spacing w:after="0" w:line="76"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use of internet or online marketing in China; and</w:t>
      </w:r>
    </w:p>
    <w:p>
      <w:pPr>
        <w:spacing w:after="0" w:line="76"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tightened regulatory environment in Chinese mainland’s internet space.</w:t>
      </w:r>
    </w:p>
    <w:p>
      <w:pPr>
        <w:spacing w:after="0" w:line="181" w:lineRule="exact"/>
        <w:rPr>
          <w:sz w:val="20"/>
          <w:szCs w:val="20"/>
          <w:color w:val="auto"/>
        </w:rPr>
      </w:pPr>
    </w:p>
    <w:p>
      <w:pPr>
        <w:jc w:val="both"/>
        <w:ind w:left="120" w:right="2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a strong brand. If we are unable to maintain and enhance our brand, or if there is negative publicity related to our products and services, our employees, or our business practices, our business and results of operations may be harmed.</w:t>
      </w: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believe that our brand “Baidu” has contributed significantly to the success of our business. We also believe that maintaining and enhancing the “Baidu” brand is critical to increasing the number of our users, customers, Baidu Union partners and content providers, as well as to expanding our developer communities and to attracting and retaining enterprise and public sector customers and partners. We have conducted various marketing and brand promotion activities, but we cannot assure you that these activities will achieve the brand promotion effect that we expect. If we fail to maintain and further promote the “Baidu” brand, or if we incur excessive expenses in this effort, our business and results of operations may be materially and adversely affected.</w:t>
      </w:r>
    </w:p>
    <w:p>
      <w:pPr>
        <w:spacing w:after="0" w:line="120"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In addition, any negative publicity about us, our products and services, our employees, our business practices, our search results or the platform to which our search results link, regardless of its veracity, could harm our brand image and in turn adversely affect our business and results of operations. We cannot assure you that we will be able to defuse negative publicity to the satisfaction of our investors, users, customers and business partners. From time to time, there has been negative publicity about us, our brand image, our value proposition and our business practice, which has adversely affected our public image and reputation during certain periods of intense negative publicity. Moreover, our platform and services by nature may from time to time be related to, or perceived to be related to, certain controversial public events or discussion, leading to public criticism against us. The negative publicity surrounding similar incidents have resulted in significant adverse impact on our public image and reputation. Intense negative publicity may divert our management’s attention and may adversely impact our business. We cannot assure you that our brand, public image and reputation will not be materially and adversely affected in the future.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40"/>
          </w:cols>
          <w:pgMar w:left="320" w:top="482" w:right="4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both"/>
        <w:ind w:left="120" w:right="2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achieve the anticipated benefits of our acquisition of YY Live, and face other risks associated with the acquisition and the operation of YY Live.</w:t>
      </w: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Baidu (Hong Kong) Limited, our wholly-owned subsidiary, entered into a share purchase agreement on November 16, 2020 with JOYY Inc. and certain of its affiliates, which are collectively referred to as JOYY, to acquire JOYY’s domestic video-based entertainment live streaming business in China, known as YY Live, for an aggregate price of approximately US$3.6 billion. In accordance with that agreement, as amended including on February 7, 2021, which we refer to as the prior agreement, we paid US$1.9 billion, after considering working capital adjustment of US$0.1 billion, to JOYY and its designated escrow account, and deposited US$1.6 billion into several escrow accounts in February 2021. The closing conditions provided for in the prior agreement, including the necessary regulatory approvals from government authorities, had not been fully satisfied as of the long stop date of December 31, 2023. On January 1, 2024, we exercised our right to terminate the prior agreement in accordance with its terms. After negotiation with JOYY on next steps following the termination, Baidu (Hong Kong) Limited entered into new agreements on February 25, 2025 with JOYY to acquire, and acquired, YY Live for an aggregate price of approximately US$2.1 billion. As part of this transaction, the US$1.6 billion that we deposited into escrow accounts in accordance with the prior agreement was fully released to us.</w:t>
      </w:r>
    </w:p>
    <w:p>
      <w:pPr>
        <w:spacing w:after="0" w:line="194" w:lineRule="exact"/>
        <w:rPr>
          <w:sz w:val="20"/>
          <w:szCs w:val="20"/>
          <w:color w:val="auto"/>
        </w:rPr>
      </w:pPr>
    </w:p>
    <w:p>
      <w:pPr>
        <w:jc w:val="both"/>
        <w:ind w:left="120" w:firstLine="440"/>
        <w:spacing w:after="0" w:line="252" w:lineRule="auto"/>
        <w:rPr>
          <w:sz w:val="20"/>
          <w:szCs w:val="20"/>
          <w:color w:val="auto"/>
        </w:rPr>
      </w:pPr>
      <w:r>
        <w:rPr>
          <w:rFonts w:ascii="Times New Roman" w:cs="Times New Roman" w:eastAsia="Times New Roman" w:hAnsi="Times New Roman"/>
          <w:sz w:val="18"/>
          <w:szCs w:val="18"/>
          <w:color w:val="auto"/>
        </w:rPr>
        <w:t>We can give no assurance that the acquisition of YY Live will bring the anticipated benefits and opportunities to us. With limited experience in operating the online live streaming business, we may not be able to successfully integrate YY Live into our existing business, and even assuming success in integration, there can be no assurance that the YY Live business will perform as intended, particularly in light of the underwhelming performance of the live streaming industry in recent years. If our integration or operation strategy is implemented ineffectively or if impacted by unforeseen negative economic or market conditions, we may not realize the full anticipated benefits of the acquisition of YY Live. Any failure to meet the challenges involved in realizing the anticipated benefits of the acquisition of YY Live may cause an interruption of, or a loss of momentum in, our activities and may materially and adversely affect our financial performance and results of operations. The acquisition and integration of the businesses may result in material unanticipated problems, expenses, liabilities, competitive responses and diversion of management’s attention, and we may record impairment charges in connection therewith if the anticipated benefits of the acquisition fail to realize. For example, pending or threatened lawsuits and regulatory actions involving YY Live could subject us to liabilities and cause us to suffer significant losses. In addition, we cannot rule out the possibility that significant problems and liabilities could have failed to be identified or their extent could have failed to be fully appreciated by us prior to the closing of the acquisition, in which case we may suffer significant losses but we would have no or extremely limited indemnification rights against JOYY under the acquisition agreements. We are also facing challenges and potential penalty arising from not being in compliance with the regulatory approval requirements in relation to this acquisition. See “Item 3.D. Key Information—Risk Factors—Risks Related to Our Business and Industry—Any failure or perceived failure by us to comply with the enacted Guidelines to Anti-Monopoly in the Field of Internet Platforms and other anti-monopoly laws and regulations may result in governmental investigations or enforcement actions, litigation or claims against us and could have an adverse effect on our business, financial condition and results of operations.”</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would be subject to and may not be able to successfully manage a variety of additional risks associated with integrating YY Live with us.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These risks include, but are not limited to:</w:t>
      </w:r>
    </w:p>
    <w:p>
      <w:pPr>
        <w:spacing w:after="0" w:line="112" w:lineRule="exact"/>
        <w:rPr>
          <w:sz w:val="20"/>
          <w:szCs w:val="20"/>
          <w:color w:val="auto"/>
        </w:rPr>
      </w:pPr>
    </w:p>
    <w:p>
      <w:pPr>
        <w:ind w:left="1080" w:right="2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online live streaming business is based on a relatively new business model in a relatively new market in which user demand may change or decrease substantially;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the integration of operations and systems and in managing the expanded operations of a larger and more complex company;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achieving anticipated business opportunities and growth prospects from integrating YY Live with the rest of our businesses;</w:t>
      </w:r>
    </w:p>
    <w:p>
      <w:pPr>
        <w:spacing w:after="0" w:line="130" w:lineRule="exact"/>
        <w:rPr>
          <w:rFonts w:ascii="Times New Roman" w:cs="Times New Roman" w:eastAsia="Times New Roman" w:hAnsi="Times New Roman"/>
          <w:sz w:val="18"/>
          <w:szCs w:val="18"/>
          <w:color w:val="auto"/>
        </w:rPr>
      </w:pPr>
    </w:p>
    <w:p>
      <w:pPr>
        <w:jc w:val="both"/>
        <w:ind w:left="1080" w:right="20" w:hanging="424"/>
        <w:spacing w:after="0" w:line="266"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rules and measures governing online live streaming businesses and hosts, both in and outside of Chinese mainland, are complex and evolving, and we may not be able to navigate such complex regulatory environment or to respond to future changes in regulatory environment in an effective and timely manner;</w:t>
      </w:r>
    </w:p>
    <w:p>
      <w:pPr>
        <w:spacing w:after="0" w:line="81" w:lineRule="exact"/>
        <w:rPr>
          <w:rFonts w:ascii="Times New Roman" w:cs="Times New Roman" w:eastAsia="Times New Roman" w:hAnsi="Times New Roman"/>
          <w:sz w:val="18"/>
          <w:szCs w:val="18"/>
          <w:color w:val="auto"/>
        </w:rPr>
      </w:pPr>
    </w:p>
    <w:p>
      <w:pPr>
        <w:jc w:val="both"/>
        <w:ind w:left="1080" w:right="20" w:hanging="424"/>
        <w:spacing w:after="0" w:line="266"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significant risks related to the content and communications on YY Live, as a majority of the communications on YY Live are conducted in real time, and we are unable to verify the sources of all information posted thereon or examine the content generated by users before it is posted;</w:t>
      </w:r>
    </w:p>
    <w:p>
      <w:pPr>
        <w:spacing w:after="0" w:line="81"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model for online live streaming may not remain effective, and we may not be able to retain existing users, attract new users, keep users engaged and attract more paying users;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40"/>
          </w:cols>
          <w:pgMar w:left="320" w:top="482" w:right="4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080" w:right="2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live-streaming industry has faced challenges in recent years, which may adversely affect YY Live’s operating and financial performance;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liabilities arising from lawsuits and regulatory actions involving YY Live;</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retain or attract popular talents such as performers, channel managers, professional game players, commentators and hosts for our live streaming platform or these talents may fail to draw fans or participants; and</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additional costs and expenses resulting from integrating into our business additional personnel, operations, products, services, technology, internal controls and financial reporting responsibilities.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face significant competition and may suffer from loss of users and customers as a result.</w:t>
      </w:r>
    </w:p>
    <w:p>
      <w:pPr>
        <w:spacing w:after="0" w:line="121" w:lineRule="exact"/>
        <w:rPr>
          <w:sz w:val="20"/>
          <w:szCs w:val="20"/>
          <w:color w:val="auto"/>
        </w:rPr>
      </w:pPr>
    </w:p>
    <w:p>
      <w:pPr>
        <w:jc w:val="both"/>
        <w:ind w:left="120" w:firstLine="440"/>
        <w:spacing w:after="0" w:line="251" w:lineRule="auto"/>
        <w:rPr>
          <w:sz w:val="20"/>
          <w:szCs w:val="20"/>
          <w:color w:val="auto"/>
        </w:rPr>
      </w:pPr>
      <w:r>
        <w:rPr>
          <w:rFonts w:ascii="Times New Roman" w:cs="Times New Roman" w:eastAsia="Times New Roman" w:hAnsi="Times New Roman"/>
          <w:sz w:val="18"/>
          <w:szCs w:val="18"/>
          <w:color w:val="auto"/>
        </w:rPr>
        <w:t>We face significant competition in almost every aspect of our business. For our Baidu General Business (starting from the fourth quarter of 2025, we redefined Baidu Core as Baidu General Business), our primary competitors are mainly internet companies, online marketing platforms in China, other search engines, players in Generative AI and foundation models, cloud services providers and robotaxi providers. We compete with these entities for both users and customers on the basis of user traffic, cyber security quality (relevance) of search (and other marketing and advertising) results, availability and user or customer experience of products and services, distribution channels and the number of associated third-party websites. iQIYI faces competition for content production, content sourcing, user traffic and advertising customers from other providers of online entertainment video services primarily in Chinese mainland. iQIYI also competes with other internet media and entertainment services, such as micro drama platforms, internet social platforms and short video platforms, as well as major TV stations. iQIYI may compete in a variety of ways, including by obtaining IP rights to popular content, conducting brand promotions and other marketing activities, and making investments in and acquisitions of our business partners. See “Item 4.B. Information on the Company—Business Overview—Competition.” Some of our competitors have significant financial resources and long operating histories and are experienced in attracting and retaining their users, accommodating their users’ habits and preferences and managing customers. They may use their experience and resources to compete with us in a variety of ways, including competing for users and their time, customers, third-party agents, content, strategic partners and networks of third-party websites/wapsites, investing more heavily in research and development and making investments and acquisitions. Our business environment is rapidly evolving and competitive. Our business faces changing technologies, shifting user needs, and frequent introductions of rival products and services. Some of our competitors in the search sector may have innovative business models, extensive distribution network or proprietary content or technologies that may offer better user experience and better customer services, and they may use these resources to develop new products, make acquisitions, invest research and development and talent, and compete aggressively for users, advertisers, customers, traffic and content. If any of our competitors provides a smarter search experience or a more advanced AI search mode, internet video services, or cloud services, our user traffic and revenue could decline significantly. Additionally, if the channels and properties that we use to distribute services or products to our users and customers are no longer available to us, we may experience a decline in user traffic and revenue. Any such decline in traffic could weaken our brand and result in loss of users and customers, which could have a material and adverse effect on our results of operations.</w:t>
      </w:r>
    </w:p>
    <w:p>
      <w:pPr>
        <w:spacing w:after="0" w:line="206"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There are vertical service providers in the forms of mobile apps and/or websites that allow users to search within their closed ecosystems. These players often purchase traffic from search engines and try to retain their users by offering comprehensive services on their platforms. As these vertical service providers expand, though they will continue to acquire traffic from search engines, their reliance on search engines may decline, especially if they can consolidate their industry verticals.</w:t>
      </w:r>
    </w:p>
    <w:p>
      <w:pPr>
        <w:spacing w:after="0" w:line="180"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also face competition from other types of advertising media, including traditional advertising media, such as newspapers, magazines, yellow pages, billboards, other forms of outdoor media, television and radio, mobile apps, webcasting and online video. Large companies in China generally allocate, and may continue to allocate, a limited portion of their budgets to online marketing, as opposed to traditional advertising and other forms of advertising media. If these companies do not devote a larger portion of their marketing budgets to online marketing services provided by us, or if our existing customers reduce the amount they spend on online marketing, our results of operations and growth prospects could be adversely affected.</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40"/>
          </w:cols>
          <w:pgMar w:left="320" w:top="482" w:right="4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our expansions into new businesses are not successful, our results of operation and growth prospects may be materially and adversely affected.</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As part of our growth strategy, we enter into new businesses from time to time to generate additional revenue streams through our development of new business lines. Expansions into new businesses may present operating, marketing and compliance challenges that differ from those that we currently encounter. We have initiated an AI transformation of our products and services.</w:t>
      </w:r>
    </w:p>
    <w:p>
      <w:pPr>
        <w:spacing w:after="0" w:line="176" w:lineRule="exact"/>
        <w:rPr>
          <w:sz w:val="20"/>
          <w:szCs w:val="20"/>
          <w:color w:val="auto"/>
        </w:rPr>
      </w:pPr>
    </w:p>
    <w:p>
      <w:pPr>
        <w:jc w:val="both"/>
        <w:ind w:left="120" w:firstLine="440"/>
        <w:spacing w:after="0" w:line="252" w:lineRule="auto"/>
        <w:rPr>
          <w:sz w:val="20"/>
          <w:szCs w:val="20"/>
          <w:color w:val="auto"/>
        </w:rPr>
      </w:pPr>
      <w:r>
        <w:rPr>
          <w:rFonts w:ascii="Times New Roman" w:cs="Times New Roman" w:eastAsia="Times New Roman" w:hAnsi="Times New Roman"/>
          <w:sz w:val="18"/>
          <w:szCs w:val="18"/>
          <w:color w:val="auto"/>
        </w:rPr>
        <w:t>We have invested significant resources in the research and development of AI technology and have made significant progress in the commercialization of Baidu Core AI-powered Business, including AI Cloud Infrastructure, AI Applications and AI-native Marketing Services. We plan to continue to invest capital and other resources, such as computing power and bandwidth, into our AI technology, in particular, generative AI and foundation models. However, AI technology is rapidly evolving with significant uncertainties, and we cannot assure you that our investment and exploration in AI technology and Baidu Core AI-powered Business will be successful. Our operating results may also suffer if our innovation is not responsive to the needs of our users, customers and partners, inappropriately timed with market opportunities, or marketed ineffectively. For example, we have limited experience with operating and scaling Baidu Core AI-powered Business, which could subject us to various challenges and risks, including developing and managing relationships with enterprises and public sector customers and partners, who are likely to have different needs and preferences from our existing customers, users and partners, highly competitive procurement processes, instances of corrupt practices or other illegal gains, longer receivable payment cycles and lower collection rates that could lead to potential bad debt losses. We also may not alter our business practices in time to avoid or reduce adverse effects from any of the foregoing risks. In addition, our Baidu Core AI-powered Business requires very different products and services, sales and marketing channels and internal operational systems and processes. These requirements could disrupt our current operations and harm our financial condition and operating results, especially during the initial stage of investment, development and scaling of our new Baidu Core AI-powered Business.</w:t>
      </w:r>
    </w:p>
    <w:p>
      <w:pPr>
        <w:spacing w:after="0" w:line="197" w:lineRule="exact"/>
        <w:rPr>
          <w:sz w:val="20"/>
          <w:szCs w:val="20"/>
          <w:color w:val="auto"/>
        </w:rPr>
      </w:pPr>
    </w:p>
    <w:p>
      <w:pPr>
        <w:jc w:val="both"/>
        <w:ind w:left="120" w:firstLine="440"/>
        <w:spacing w:after="0" w:line="252" w:lineRule="auto"/>
        <w:rPr>
          <w:sz w:val="20"/>
          <w:szCs w:val="20"/>
          <w:color w:val="auto"/>
        </w:rPr>
      </w:pPr>
      <w:r>
        <w:rPr>
          <w:rFonts w:ascii="Times New Roman" w:cs="Times New Roman" w:eastAsia="Times New Roman" w:hAnsi="Times New Roman"/>
          <w:sz w:val="18"/>
          <w:szCs w:val="18"/>
          <w:color w:val="auto"/>
        </w:rPr>
        <w:t>Since the third quarter of 2025, we have introduced a new framework to disclose the performance of certain Baidu Core AI-powered Business, including AI Cloud Infrastructure, AI Applications and AI-native Marketing Services. The revenue and operational data related to Baidu Core AI-powered Business disclosed in our public disclosures are derived from the Company’s internal management accounts and records, which have not been audited and there can be no assurance that the aforementioned accounts and records could be auditable. See “Item 4B Business Overview—Baidu Core AI-powered Business” This disclosure framework may be subject to change in the future as our business evolves, and there can be no assurance that the metrics we disclose will be comparable across periods or will align with how similar businesses are measured by others. These businesses may also not develop as anticipated due to factors such as intense competition from both established technology companies and innovative startups, shifts in regulatory frameworks governing artificial intelligence, data privacy, and cross-border data flows, changes in business strategy, adverse macroeconomic conditions affecting customer willingness to invest in new AI solutions, or shifts in customer budgets away from experimental or emerging technologies. In addition, the rapid evolution of AI technology means that our products and services could become outdated or less competitive if we fail to anticipate or respond to new developments, such as advancements in generative AI, large language models, or competing AI architectures. Customer adoption of AI solutions may be slower than expected due to concerns over reliability, data security, ethical considerations, or the need for significant organizational change. If these initiatives fail to perform in line with expectations—whether due to technological, regulatory, competitive, market acceptance challenges or changes in business strategy—our growth prospects and financial results could be adversely affected, and we may be unable to recover the substantial investments we have made in research, development, and infrastructure for AI-powered businesses.</w:t>
      </w:r>
    </w:p>
    <w:p>
      <w:pPr>
        <w:spacing w:after="0" w:line="196"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We may also enter into other markets and industries/industry verticals that are new to us through organic business initiatives or investment and acquisitions, such as robotaxis, intelligent electric vehicles, e-commerce, short-video, and healthcare vertical including internet hospital, which may subject us to different and unforeseen risks. However, we cannot assure you that such efforts will be successful due to various factors such as potential regulatory actions taken by government authorities in these new markets. For these new markets and industries/industry verticals, we may not have sufficient experience and may not be able to navigate the rapidly evolving regulatory environment or forecast and meet the continually changing demands and preferences for products and services. For instance, our intelligent electric vehicles business has incurred substantial losses due to various unfavorable factors, and these factors may continue to adversely affect our future performance. Some of these new markets and industries/industry verticals are emerging with relatively novel and untested business models. For example, we may pursue asset-light approaches in our robotaxi business in the future, and these models may not be carried out as planned. Under such models, we may sell our robotaxi vehicles to third parties and enter into arrangements that subject us to significant terms and conditions in connection with such sale, including but not limited to, material maintenance cost, sales related warranties and product liability claims, which could have a material adverse impact on our business. Furthermore, operating robotaxi services in various cities may make it difficult to achieve sustained and stable profits due to factors such as regulatory complexity, high operational costs, and unpredictable market demand. Any of the foregoing could pose significant challenges to us.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40"/>
          </w:cols>
          <w:pgMar w:left="320" w:top="482" w:right="4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both"/>
        <w:ind w:left="120" w:firstLine="440"/>
        <w:spacing w:after="0" w:line="252" w:lineRule="auto"/>
        <w:rPr>
          <w:sz w:val="20"/>
          <w:szCs w:val="20"/>
          <w:color w:val="auto"/>
        </w:rPr>
      </w:pPr>
      <w:r>
        <w:rPr>
          <w:rFonts w:ascii="Times New Roman" w:cs="Times New Roman" w:eastAsia="Times New Roman" w:hAnsi="Times New Roman"/>
          <w:sz w:val="18"/>
          <w:szCs w:val="18"/>
          <w:color w:val="auto"/>
        </w:rPr>
        <w:t>It is uncertain whether our strategies will attract users and customers or generate the revenue required to succeed. If we fail to generate sufficient usage of our new products and services, we may not grow revenue in line with the significant resources we invest in these new businesses. This may negatively impact gross margins and operating margins. Commercial success of our expansion into new business areas depends on many factors, including innovativeness, competitiveness, effectiveness of distribution and marketing, and pricing and investments strategies, especially in the early stage of competition for market share. For example, in the generative AI and foundation model sector, our current and potential competitors range from large and established technology companies to emerging start-ups. Some competitors can use their experience, resources and network in ways that could affect our competitive position, including making acquisitions, continuing to invest heavily in research and development and in talents, aggressively initiating intellectual property claims (whether or not meritorious), and continuing to compete aggressively for customers, partners and investees. Our competitors may be able to innovate and provide products and services faster than we can or may foresee product-and-service needs before we do. As a result, we may not achieve significant revenue from our new business areas for several years, or at all, and may incur significant losses during the process and fail to recoup our investments and expenditure. On the other hand, market conditions and general acceptance of products and services could be adversely impacted if other players in the market fail to adopt appropriate business and operational model, develop and offer successful products and services and develop and adapt appropriate technologies and infrastructure. If the markets of our new businesses, such as intelligent driving and electric vehicle, do not develop and grow as we anticipate, we may incur significant loss from our new businesses and our growth prospects may be materially adversely impacted.</w:t>
      </w:r>
    </w:p>
    <w:p>
      <w:pPr>
        <w:spacing w:after="0" w:line="196"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In addition, we may encounter regulatory uncertainties related to new business areas that we enter into. The laws and regulations related to AI technology and products are at an early stage of development and still evolving in Chinese mainland. The effects of such laws and regulations remain unclear and may add uncertainties to the development and operation of our AI-related business. For example, as Chinese mainland’s regulatory framework on autonomous driving evolves, we may be required to comply with approval and other compliance requirements for autonomous driving road test, operation and commercialization, internet security and related data collection and sharing promulgated by PRC government authorities from time to time. In addition, since legislations and regulations for generative AI continue to improve in Chinese mainland, our generative AI business also needs to meet additional compliance requirements from PRC government authorities. See “Item 4.B. Information on the Company—Business Overview —Regulations—Regulations on Artificial Intelligence.” We may confront other challenges as we enter new business domains, including the lack of adoption of new products and services, the lack of management talent in the new business, cost management and other factors required for the expansion of new businesses.</w:t>
      </w:r>
    </w:p>
    <w:p>
      <w:pPr>
        <w:spacing w:after="0" w:line="298" w:lineRule="exact"/>
        <w:rPr>
          <w:sz w:val="20"/>
          <w:szCs w:val="20"/>
          <w:color w:val="auto"/>
        </w:rPr>
      </w:pPr>
    </w:p>
    <w:p>
      <w:pPr>
        <w:jc w:val="both"/>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made significant investments in foundation models and generative AI and may face uncertainties with respect to their commercialization and the evolving laws and regulations applicable to us.</w:t>
      </w:r>
    </w:p>
    <w:p>
      <w:pPr>
        <w:spacing w:after="0" w:line="51" w:lineRule="exact"/>
        <w:rPr>
          <w:sz w:val="20"/>
          <w:szCs w:val="20"/>
          <w:color w:val="auto"/>
        </w:rPr>
      </w:pPr>
    </w:p>
    <w:p>
      <w:pPr>
        <w:jc w:val="both"/>
        <w:ind w:left="120" w:firstLine="440"/>
        <w:spacing w:after="0" w:line="252" w:lineRule="auto"/>
        <w:rPr>
          <w:sz w:val="20"/>
          <w:szCs w:val="20"/>
          <w:color w:val="auto"/>
        </w:rPr>
      </w:pPr>
      <w:r>
        <w:rPr>
          <w:rFonts w:ascii="Times New Roman" w:cs="Times New Roman" w:eastAsia="Times New Roman" w:hAnsi="Times New Roman"/>
          <w:sz w:val="18"/>
          <w:szCs w:val="18"/>
          <w:color w:val="auto"/>
        </w:rPr>
        <w:t>Foundation models and generative AI technologies have developed rapidly in recent years. Following ChatGPT’s launch in November 2022, people around the world have tested and embraced a number of generative AI chatbots and foundation models such as Doubao, Qwen, Yuanbao, Gemini, Kimi and DeepSeek. We have made significant investments in foundation models and generative AI and have also allocated significant resources in these areas, including human resources and infrastructure updates. However, foundation models and generative AI are in the initial stages of development and there is no proven business model for commercializing the new technologies. Especially, we open-sourced part of our foundation models. If commercialization efforts are unsuccessful, we may be unable to recover our prior investments, and the assets we have capitalized could be subject to impairment. We also face intense competition in these fields as many players in these fields have also devoted significant resources in the research and development of these technologies. This intense competition could directly result in a decline in the usage rates and overall popularity of our models. If competitors release more advanced, more accessible, or more highly favored models, users may migrate away from our platforms. A sustained decrease in the usage rates and overall popularity of our AI offerings would not only reduce current user engagement but could also create a long-term perception that our technology lags behind the market, making it difficult to attract and retain users and, ultimately, to monetize our investments. In addition, the regulatory and legal framework on generative AI of Chinese mainland is also evolving rapidly. In recent years, the PRC government authorities have released a series of laws and regulations related to generative AI services, including the Administration Provisions on Algorithmic Recommendation of Internet Information Services, the Administrative Provisions on Deep Synthesis of Internet Information Services and the Interim Measures on the Management of Generative AI Services. See “Item 4.B. Information on the Company—Business Overview—Regulations— Regulations on Artificial Intelligence—Regulations on Generative AI.” However, these laws and regulations related to generative AI services are relatively new, and the competent government authorities of Chinese mainland may introduce additional or more detailed laws and regulations to oversee the generative AI services. Therefore, we may need to comply with more compliance requirements in the field of generative AI, which may increase our compliance costs. We also face uncertainties with respect to such evolving laws and regulations as well as their interpretations and our business operations and development may be affected as a result.</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40"/>
          </w:cols>
          <w:pgMar w:left="320" w:top="482" w:right="4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both"/>
        <w:ind w:left="120"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experienced slowdowns and declines in our revenue, and have experienced operating losses and negative operating cash flows in certain quarters, and we may sustain net loss from time to time, and we may experience downward pressure on our operating and profit margins in the future.</w:t>
      </w:r>
    </w:p>
    <w:p>
      <w:pPr>
        <w:spacing w:after="0" w:line="67"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In recent years, we experienced a slow-down in revenue growth, including decreases from 2023 to 2025, due to various factors such as macroeconomic environment. We could continue to experience a decline in our revenue, as a result of a number of factors, including changes in the mix of products and services, customer demographics, industry and channel, changes in policy or policy implementation, increase in market competition for marketing and/or new AI offerings, and decrease in pricing arising from an oversupply of advertising inventory in the market, which has been witnessed since 2019. We may also experience a decline in our revenue or revenue growth rate, if there is a decrease in the rate of adoption for our products, services and technologies, or deceleration or decline in demand for platforms used to access our services, among other factors.</w:t>
      </w:r>
    </w:p>
    <w:p>
      <w:pPr>
        <w:spacing w:after="0" w:line="187"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Our operating margin and net income attributable to us as a percentage of revenue fluctuated notably from 2021 to 2025 due to various factors such as the macroeconomic environment, the impact of the COVID-19 pandemic and impairment of long-lived assets. We may experience downward pressure on our profit and operating margin and deterioration of cash flow or negative operating cash flow from increasing competition, revenue growth slower than expenses, impairment of long-lived assets and goodwill and increased costs and expenses from many aspects of our business, including within online marketing where revenue is declining while traffic cost and related infrastructure costs to support our online properties, such as AI Cloud Infrastructure, AI Applications and other products requiring huge data transmission and computing power, continue to grow. We may also need to pay increased fees for our distribution channels and incur increased costs to promote new products and services as well as to invest in AI technologies. We may also experience downward pressure on our operating margin resulting from a variety of factors, such as the expansion of our business into new areas, including generative AI, foundation models, AI cloud, intelligent driving, all of which have margins much lower than that of online marketing. Our operating margin may also be negatively impacted from a greater proportion of revenue contributed by new business areas, which has grown faster than online marketing.</w:t>
      </w:r>
    </w:p>
    <w:p>
      <w:pPr>
        <w:spacing w:after="0" w:line="192"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Further, the expiration of temporary tax exemptions or reductions and the impact of international tax frameworks such as the two-pillar solution to address the tax challenges of the digitalization of the economy may dampen our net income. We may also sustain net loss from time to time due to investment losses, foreign currency fluctuation and impairment of other assets. The declining operating margin, investment losses have led to our experiencing net losses in several quarters since 2021, and there is no guarantee that we will not experience loss in the future.</w:t>
      </w:r>
    </w:p>
    <w:p>
      <w:pPr>
        <w:spacing w:after="0" w:line="180"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Due to these factors and the evolving nature of our business, our historical revenue growth rate, historical operating margin and historical profitability may not be indicative of our future performance.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Potential issues in the adoption and use of artificial intelligence in our product offerings may result in reputational harm or liability.</w:t>
      </w:r>
    </w:p>
    <w:p>
      <w:pPr>
        <w:spacing w:after="0" w:line="121" w:lineRule="exact"/>
        <w:rPr>
          <w:sz w:val="20"/>
          <w:szCs w:val="20"/>
          <w:color w:val="auto"/>
        </w:rPr>
      </w:pPr>
    </w:p>
    <w:p>
      <w:pPr>
        <w:jc w:val="both"/>
        <w:ind w:left="120" w:firstLine="440"/>
        <w:spacing w:after="0" w:line="252" w:lineRule="auto"/>
        <w:rPr>
          <w:sz w:val="20"/>
          <w:szCs w:val="20"/>
          <w:color w:val="auto"/>
        </w:rPr>
      </w:pPr>
      <w:r>
        <w:rPr>
          <w:rFonts w:ascii="Times New Roman" w:cs="Times New Roman" w:eastAsia="Times New Roman" w:hAnsi="Times New Roman"/>
          <w:sz w:val="18"/>
          <w:szCs w:val="18"/>
          <w:color w:val="auto"/>
        </w:rPr>
        <w:t>We are building AI, including foundation models and generative AI, into many of our product offerings and we expect this element of our business to be a driver for our future growth. We envision a future in which our offerings are integrated into Baidu Core AI-powered Business, including AI Cloud Infrastructure, AI Applications and AI-native Marketing Services, which helps our customers become more productive. As with many disruptive innovations, AI presents risks and challenges that could affect its adoption, and, therefore, our business. Our products and services based on AI may not be adopted by our users or customers. AI algorithms may be flawed. Datasets may be insufficient or contain biased information. Inappropriate or controversial data practices by us or others, including the inappropriate collection of data and potential data misuse, could impair the acceptance of our AI solutions. Our AI-generated content offerings may not be able to compete against those of our competitors. In addition, AI services may involve complex intellectual property issues. However, the laws and regulations in Chinese mainland are still evolving and are subject to further interpretation and implementation. Therefore, AI-generated content could lead to copyright and other legal disputes for which legal liability may not be clearly prescribed by law. Such deficiencies could undermine the decisions, predictions or analysis produced by AI applications, subjecting us to legal liability and potential harm to our brand or reputation. The laws and regulations in Chinese mainland regarding AI are gradually improving, and they require AI service providers or technology supporters to avoid such deficiencies to the maximum extent possible. Although we believe that we have taken necessary measures according to the applicable laws, we cannot guarantee that we will always meet the regulatory requirements in the future. Furthermore, because AI technology is highly complex and rapidly developing, laws and regulations regarding AI may not always address the latest issues in AI and it is not possible to predict all of the legal or regulatory risks that may arise relating to the adoption and use of AI. If we fail to meet legal and regulatory requirements, we may be subject to penalties. In addition, some AI scenarios present ethical issues. If we enable or offer AI solutions that are controversial because of their impact on human rights, privacy, employment, or other social issues, we may experience reputational harm or be exposed to liability.</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40"/>
          </w:cols>
          <w:pgMar w:left="320" w:top="482" w:right="4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both"/>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continue to innovate and provide products, services and high-quality internet experience that attract and retain users, we may not be able to remain competitive; we may expend significant resources in order to remain competitive.</w:t>
      </w:r>
    </w:p>
    <w:p>
      <w:pPr>
        <w:spacing w:after="0" w:line="51"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Our success depends on providing products and services to attract users and enable users to have a high-quality internet experience. In order to attract and retain users and compete against our competitors, we must continue to invest significant resources in research and development to enhance our AI or other new technologies, improve our existing products and services, and introduce additional high-quality products and services. If we are unable to anticipate user preferences or industry changes, enhance the quality of our products and services on a timely basis or fail to provide sufficient content, or provide other consumer-facing services and products, including our maps and smart devices, to our users’ satisfaction, we may suffer a decline in the size of our user base. Our results of operations may also suffer if our innovations do not respond to the needs of our users, are not appropriately timed with market opportunities or are not effectively brought to market. As search marketing and AI technologies and new forms of devices and apps continue to develop, we may expend significant resources in research and development and strategic investments and acquisitions in order to remain competitive.</w:t>
      </w:r>
    </w:p>
    <w:p>
      <w:pPr>
        <w:spacing w:after="0" w:line="292" w:lineRule="exact"/>
        <w:rPr>
          <w:sz w:val="20"/>
          <w:szCs w:val="20"/>
          <w:color w:val="auto"/>
        </w:rPr>
      </w:pPr>
    </w:p>
    <w:p>
      <w:pPr>
        <w:jc w:val="both"/>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keep up with technological advancements and upgrades, our business, results of operations and financial condition may be materially and adversely affected.</w:t>
      </w:r>
    </w:p>
    <w:p>
      <w:pPr>
        <w:spacing w:after="0" w:line="51"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Our businesses operate in industries that are subject to rapid technological advancements, upgrades and changing consumer needs. Our success will depend on our ability to keep up with the latest developments in technology innovations and commercialization and if we fail to do so successfully, the demand for our products, solutions and services may decline. For instance, applications of technologies similar to ChatGPT to our products and services to cater to consumer needs may be essential for us to remain competitive in the market. In addition, research and development of technological changes and innovations will typically require substantial capital expenditures as well as upgrades of products or services. Furthermore, we may not execute successfully on our development strategy, including because of challenges with regard to technical hurdles that we fail to overcome in a timely fashion. In addition, changes in user behavior resulting from technological developments may also adversely affect us. The widespread adoption of new internet, networking or telecommunications technologies or other technological changes could require substantial expenditures to modify or integrate our products, services or infrastructure. As such, if we fail to adapt our products and services to technological innovations in an effective and timely manner, our business, financial condition and results of operations could be materially and adversely affected.</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40"/>
          </w:cols>
          <w:pgMar w:left="320" w:top="482" w:right="4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both"/>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content ecosystem fails to continually offer quality content in a cost effective manner, we may experience declines in user traffic and user engagement, our business and results of operations may be harmed.</w:t>
      </w:r>
    </w:p>
    <w:p>
      <w:pPr>
        <w:spacing w:after="0" w:line="51" w:lineRule="exact"/>
        <w:rPr>
          <w:sz w:val="20"/>
          <w:szCs w:val="20"/>
          <w:color w:val="auto"/>
        </w:rPr>
      </w:pPr>
    </w:p>
    <w:p>
      <w:pPr>
        <w:jc w:val="both"/>
        <w:ind w:left="120" w:firstLine="440"/>
        <w:spacing w:after="0" w:line="252" w:lineRule="auto"/>
        <w:rPr>
          <w:sz w:val="20"/>
          <w:szCs w:val="20"/>
          <w:color w:val="auto"/>
        </w:rPr>
      </w:pPr>
      <w:r>
        <w:rPr>
          <w:rFonts w:ascii="Times New Roman" w:cs="Times New Roman" w:eastAsia="Times New Roman" w:hAnsi="Times New Roman"/>
          <w:sz w:val="18"/>
          <w:szCs w:val="18"/>
          <w:color w:val="auto"/>
        </w:rPr>
        <w:t>Our content ecosystem consists of products developed for our partners, such as Baijiahao, Baidu Union, and internally developed content and services products, such as Baidu Knows, Baidu Wiki, Baidu Health, Baidu Wenku, Baidu Experience, Baidu Post, Haokan, and iQIYI. The success of our content ecosystem depends on our ability to attract content creators and producers to contribute quality content to our platform by leveraging our user traffic and enhance user engagement through the provision of attractive content, so as to create a virtuous cycle. We have relied, and will continue to rely, on third parties for the majority of the content offered in our content ecosystem and some of our products include third party intellectual property. As the competition for quality content becomes increasingly intense in China, we cannot assure you that we will be able to manage our content acquisition costs effectively and generate sufficient revenues to outpace future increase in content spending. We may also be unable to renew some of our content or intellectual property licensing agreements upon their expiration or termination and any renewal of the content or intellectual property licensing agreements may involve higher costs or less favorable terms. If we are not able to license popular premium content on commercially reasonable terms or renew our content or intellectual property licensing agreements, our financial condition and results of operations may be materially and adversely affected. We have undertaken commitments of future minimum payments under non-cancellable agreements for some of the produced content and licensed copyrights. If the content does not achieve anticipated popularity and commercial success, such commitments may not be recoverable. In addition, we rely on users to contribute content to our various products, including Baijiahao, Baidu Knows, Baidu Wiki, Baidu Health, Baidu Experience, Baidu Post, Baidu Wenku, Haokan and iQIYI’s user generated content. If these parties fail to develop and maintain high-quality and engaging content, if our desired premium content becomes exclusive to our competitors, if we are unable to continue to grow our content offerings and stay competitive vis-à-vis other content platforms, or if a large number of our existing relationships are terminated, the attractiveness of our content offerings to users may be severely impaired. If we are unable to offer content that meets users’ tastes and preferences on a continuing basis, including continually upgrading our content recommendation engines and in a cost effective manner, our user experience may deteriorate, we may suffer from reduced user traffic, our business and results of operations may be harmed.</w:t>
      </w:r>
    </w:p>
    <w:p>
      <w:pPr>
        <w:spacing w:after="0" w:line="295" w:lineRule="exact"/>
        <w:rPr>
          <w:sz w:val="20"/>
          <w:szCs w:val="20"/>
          <w:color w:val="auto"/>
        </w:rPr>
      </w:pPr>
    </w:p>
    <w:p>
      <w:pPr>
        <w:jc w:val="both"/>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been and may again be subject to legal proceedings, claims and investigations and could be adversely impacted by unfavorable results of legal proceedings and investigations.</w:t>
      </w:r>
    </w:p>
    <w:p>
      <w:pPr>
        <w:spacing w:after="0" w:line="51" w:lineRule="exact"/>
        <w:rPr>
          <w:sz w:val="20"/>
          <w:szCs w:val="20"/>
          <w:color w:val="auto"/>
        </w:rPr>
      </w:pPr>
    </w:p>
    <w:p>
      <w:pPr>
        <w:jc w:val="both"/>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We are subject to various legal proceedings, claims and government investigations, penalties or actions that have arisen in the ordinary course of business and have not yet been fully resolved, and new legal proceedings, claims, regulatory investigations, penalties or actions may arise in the future. In addition, agreements entered into by us sometimes include indemnification provisions which may subject us to costs and damages in the event of a claim against an indemnified third party. The existence of litigation, claims, governmental investigations and proceedings have adversely affected and may continue to adversely affect our reputation, business and the trading price of our securities. For example, in 2020, we and certain of our current and former officers, along with iQIYI and certain of its current and former officers and directors, were named as defendants in various federal putative securities class actions, which were later consolidated into two related actions. The consolidated actions were dismissed on September 30, 2024. For more details, see “Item 8.A. Financial Information—Consolidated Statements and Other Financial Information—Legal Proceedings.” We or iQIYI may be involved in more class action lawsuits in the future. Regardless of the merit of particular claims, legal proceedings, government investigations and proceedings may result in reputational harm, or may be expensive, time consuming, disruptive to our operations and distracting to management. In the event we or iQIYI do not prevail or we or iQIYI enter into settlement arrangements in any proceedings or investigations, we or iQIYI may incur significant expenses which may materially adversely affect our results of operations.</w:t>
      </w:r>
    </w:p>
    <w:p>
      <w:pPr>
        <w:spacing w:after="0" w:line="190"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outcome of legal proceedings and investigations is inherently uncertain. If one or more legal matters were resolved against us or an indemnified third party in a reporting period for amounts in excess of management’s expectations, our financial condition and operating results for that reporting period could be materially adversely affected. Further, such an outcome could result in significant compensatory, punitive or trebled monetary damages, disgorgement of revenue or profits, remedial corporate measures or injunctive relief against us that could materially adversely affect our financial condition and operating results.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40"/>
          </w:cols>
          <w:pgMar w:left="320" w:top="482" w:right="4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In addition to the content developed and posted on our platform by ourselves, our users may post information on Baidu Post, Baidu Knows, Baidu Wiki, Baidu Wenku and other sections of our platform, our content providers may provide content through Baijiahao platform and our P4P customers may create text-based descriptions, image descriptions and other phrases to be used as text, images or keywords in our search listings, and users can also use our personal cloud computing service to upload, store and share documents, images, audio and videos on our cloud servers. We have been and may continue to be subject to claims and investigations for intellectual property ownership and infringement, defamation, negligence or other legal theories based on the content found on our platform, the results in our paid search listings or our other products and services, which, with or without merit, may result in diversion of management attention and financial resources and negative publicity for our brand and reputation. See “Item 8.A. Financial Information—Consolidated Statements and Other Financial Information—Legal Proceedings.” Furthermore, if the content posted on our platform or found, stored or shared through our other products and services contains information that government authorities find objectionable, our platform or relevant products or services may be shut down and we may be subject to other penalties. See “—Risks Related to Doing Business in China—We may be subject to liability for information displayed on or linked to our websites or mobile apps and negative publicity in international media, and our business may be adversely affected as a result.”</w:t>
      </w:r>
    </w:p>
    <w:p>
      <w:pPr>
        <w:spacing w:after="0" w:line="190"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We have been, and may again in the future be, subject to claims, investigations or negative publicity based on the results in our paid search listings. Claims have been filed against us after we allowed certain customers to register keywords containing trademarks, trade names or brand names owned by others and displayed links to such customers’ websites in our paid search listings. While we maintain a database of certain well-known trademarks and continually update our system algorithms and functions to guard against customers keywords containing the well-known trademarks that are owned by others, it is not possible for us to completely prevent our customers from bidding on keywords that contain trademarks, trade names or brand names owned by others. There has been negative publicity about fraudulent information in our paid search listings. Although we have been continually enhancing our technology, control and oversight to prevent fraudulent websites, web pages and information from appearing in our paid search listings, there is no guarantee that the measures we have taken are effective at all times. Claims, investigations and negative publicity based on the results in our paid search listings, regardless of their merit, may divert management attention, severely disrupt our operations, adversely affect our results of operations and harm our reputation.</w:t>
      </w:r>
    </w:p>
    <w:p>
      <w:pPr>
        <w:spacing w:after="0" w:line="298" w:lineRule="exact"/>
        <w:rPr>
          <w:sz w:val="20"/>
          <w:szCs w:val="20"/>
          <w:color w:val="auto"/>
        </w:rPr>
      </w:pPr>
    </w:p>
    <w:p>
      <w:pPr>
        <w:jc w:val="both"/>
        <w:ind w:lef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increasing focus on cloud-based services presents execution, competitive and compliance risks. Baidu General Business’s results of operations and financial performance may be materially adversely affected by our ability to develop cloud-based services and generate sufficient usage of such services.</w:t>
      </w:r>
    </w:p>
    <w:p>
      <w:pPr>
        <w:spacing w:after="0" w:line="67" w:lineRule="exact"/>
        <w:rPr>
          <w:sz w:val="20"/>
          <w:szCs w:val="20"/>
          <w:color w:val="auto"/>
        </w:rPr>
      </w:pPr>
    </w:p>
    <w:p>
      <w:pPr>
        <w:jc w:val="both"/>
        <w:ind w:left="120" w:firstLine="440"/>
        <w:spacing w:after="0" w:line="252" w:lineRule="auto"/>
        <w:rPr>
          <w:sz w:val="20"/>
          <w:szCs w:val="20"/>
          <w:color w:val="auto"/>
        </w:rPr>
      </w:pPr>
      <w:r>
        <w:rPr>
          <w:rFonts w:ascii="Times New Roman" w:cs="Times New Roman" w:eastAsia="Times New Roman" w:hAnsi="Times New Roman"/>
          <w:sz w:val="18"/>
          <w:szCs w:val="18"/>
          <w:color w:val="auto"/>
        </w:rPr>
        <w:t>A growing part of our business involves cloud-based services available across a spectrum of computing devices. We are devoting significant resources to provide cloud infrastructure and other services to enterprises and individuals. At the same time, our competitors are rapidly developing and deploying their cloud-based solutions and services. Pricing, technology and delivery models are evolving. Devices and form factors influence how users access services in the cloud and sometimes the user’s choice of which suite of cloud-based services to use. Intense price competition among our competitors may affect our pricing strategy and our financial performance, potentially compressing margins or forcing us to offer more favorable terms than anticipated. Further, weakened macroeconomic conditions could lead to reduced IT spending by enterprises, which may adversely affect our revenue and growth prospects and result in excess inventory or even inventory write-downs. Our success in cloud-based services strategy will depend on the level of adoption of our products and services. We may not establish market share sufficient to achieve the scale necessary to achieve our business objectives or recoup costs incurred to build and maintain infrastructure to support our cloud-based services. It is uncertain whether our strategies will attract the users or generate the revenue required to succeed. If we fail to generate sufficient usage of our new products and services, we may not grow revenue in line with the costs associated with infrastructure development and research and development investments. This may negatively and materially impact our results of operations and financial performance. In addition, demand from customers using our cloud services is inherently volatile and subject to significant fluctuation based on a variety of factors. These factors include customers’ internal budgeting processes, project timelines, and changing strategic priorities. Furthermore, our existing customers may choose to reduce their usage of our services or migrate to competing platforms if they perceive competitors’ offerings as more cost-effective, technologically advanced, or better aligned with their evolving needs. As a result, any reduction, delay, or cancellation of demand by these customers, or the loss of customers to competitors, could cause our cloud revenue to be volatile. Moreover, if these customers fail to make timely payments, we may incur bad debt losses, which could further impact our profitability and cash flows.</w:t>
      </w:r>
    </w:p>
    <w:p>
      <w:pPr>
        <w:spacing w:after="0" w:line="1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40"/>
          </w:cols>
          <w:pgMar w:left="320" w:top="482" w:right="4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The development of cloud-based services is accompanied by regulatory compliance risks. For example, PRC government authorities are increasing enforcement efforts against non-compliance relating to companies operating content delivery networks, internet data centers, and internet service providers. However, the interpretation and application of laws in jurisdictions we operate in are often uncertain and in flux, and any failure or perceived failure to comply with all applicable laws and regulations may result in legal proceedings or regulatory actions against us, and could have a material adverse effect on our business and results of operations.</w:t>
      </w:r>
    </w:p>
    <w:p>
      <w:pPr>
        <w:spacing w:after="0" w:line="183"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In the past, our peers have experienced data security and infrastructure stability issues arising out of their cloud services. Tension in the supply of internet data centers and electricity may affect the efficient allocation of cloud infrastructure in Chinese mainland’s major cities. Further, trade tensions with the U.S. may affect the consistent supply of GPUs, which are critical components to the operation of cloud-based services. Our cloud services may also encounter similar issues, which could have a material and adverse impact on our brand, operations and financial performance. See also “—Risks Related to Our Business and Industry—Rising international political tensions, including changes in U.S. and international trade policies and investment related regulations, particularly with regard to China, may adversely impact our business and operating results.”</w:t>
      </w:r>
    </w:p>
    <w:p>
      <w:pPr>
        <w:spacing w:after="0" w:line="291" w:lineRule="exact"/>
        <w:rPr>
          <w:sz w:val="20"/>
          <w:szCs w:val="20"/>
          <w:color w:val="auto"/>
        </w:rPr>
      </w:pPr>
    </w:p>
    <w:p>
      <w:pPr>
        <w:jc w:val="both"/>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Liability claims against, or any unauthorized control or manipulation of our autonomous driving systems, could result in the loss of confidence in us, our brands and our products, and harm our business.</w:t>
      </w:r>
    </w:p>
    <w:p>
      <w:pPr>
        <w:spacing w:after="0" w:line="51"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Our Intelligent Driving platform contains complex information technology systems. We have designed, implemented and tested security measures intended to prevent unauthorized access to our Intelligent Driving platform, but there can be no assurance that vulnerabilities will not be identified in the future, or that our remediation efforts will be successful. Hackers have reportedly attempted, and may attempt in the future, to gain unauthorized access to modify, alter and use our Intelligent Driving platform to gain control of, or to change, functionality, user interface and performance characteristics of vehicles utilizing our Intelligent Driving platform, or to gain access to data stored in or generated by the vehicles. Any unauthorized access to or control of autonomous driving vehicles or their systems or any loss of data could result in death and personal injury, and legal claims or proceedings against us.</w:t>
      </w:r>
    </w:p>
    <w:p>
      <w:pPr>
        <w:spacing w:after="0" w:line="187"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Our Intelligent Driving platform may be involved in crashes resulting in property damage, death or personal injury in the future, and such crashes may be the subject of significant public attention. We may face claims related to any misuse or failure of new technologies that we are pioneering, including our Intelligent Driving platform and related solutions, such as smart transportation. A successful product liability claim against us could require us to pay substantial monetary damages.</w:t>
      </w:r>
    </w:p>
    <w:p>
      <w:pPr>
        <w:spacing w:after="0" w:line="180"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Moreover, product liability claims or reports of unauthorized access to our Intelligent Driving platform or data, regardless of their veracity, could generate substantial negative publicity about our products and business and could have material adverse impact on our brand, business, prospects and operating results.</w:t>
      </w:r>
    </w:p>
    <w:p>
      <w:pPr>
        <w:spacing w:after="0" w:line="280" w:lineRule="exact"/>
        <w:rPr>
          <w:sz w:val="20"/>
          <w:szCs w:val="20"/>
          <w:color w:val="auto"/>
        </w:rPr>
      </w:pPr>
    </w:p>
    <w:p>
      <w:pPr>
        <w:jc w:val="both"/>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face challenges in connection with developing, manufacturing and marketing new Xiaodu smart products in response to changing customer requirements, new technologies and market competition.</w:t>
      </w:r>
    </w:p>
    <w:p>
      <w:pPr>
        <w:spacing w:after="0" w:line="51"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The market for our Xiaodu smart products is characterized by rapidly changing technology, evolving industry standards, short product life cycles, frequent new product introductions, continual improvement in product price and performance characteristics, and price and feature sensitivity on the part of consumers and businesses. As a result, we must continually introduce new products and technologies and enhance existing products in order to remain competitive.</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success of our Xiaodu smart products depends on several factors, including our ability to:</w:t>
      </w:r>
    </w:p>
    <w:p>
      <w:pPr>
        <w:spacing w:after="0" w:line="131" w:lineRule="exact"/>
        <w:rPr>
          <w:sz w:val="20"/>
          <w:szCs w:val="20"/>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 technology and market trends;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innovative new products and enhancements on a timely basis;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distinguish our products from those of our competitors;</w:t>
      </w:r>
    </w:p>
    <w:p>
      <w:pPr>
        <w:spacing w:after="0" w:line="130" w:lineRule="exact"/>
        <w:rPr>
          <w:rFonts w:ascii="Times New Roman" w:cs="Times New Roman" w:eastAsia="Times New Roman" w:hAnsi="Times New Roman"/>
          <w:sz w:val="18"/>
          <w:szCs w:val="18"/>
          <w:color w:val="auto"/>
        </w:rPr>
      </w:pPr>
    </w:p>
    <w:p>
      <w:pPr>
        <w:ind w:left="5540" w:right="3020" w:hanging="4884"/>
        <w:spacing w:after="0" w:line="454" w:lineRule="auto"/>
        <w:tabs>
          <w:tab w:leader="none" w:pos="109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 and deliver high-quality products in sufficient volumes at competitive cost structure; 28</w:t>
      </w:r>
    </w:p>
    <w:p>
      <w:pPr>
        <w:sectPr>
          <w:pgSz w:w="11900" w:h="16838" w:orient="portrait"/>
          <w:cols w:equalWidth="0" w:num="1">
            <w:col w:w="11140"/>
          </w:cols>
          <w:pgMar w:left="320" w:top="482" w:right="4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strong, efficient online and offline distribution channels;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our products competitively;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 vibrant DuerOS skills store and a large developer community to increase user stickiness and loyalty;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and curate a rich, integrated third-party IoT device ecosystem;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innovate post-hardware sales monetization models.</w:t>
      </w:r>
    </w:p>
    <w:p>
      <w:pPr>
        <w:spacing w:after="0" w:line="225" w:lineRule="exact"/>
        <w:rPr>
          <w:sz w:val="20"/>
          <w:szCs w:val="20"/>
          <w:color w:val="auto"/>
        </w:rPr>
      </w:pPr>
    </w:p>
    <w:p>
      <w:pPr>
        <w:jc w:val="both"/>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If we are unable to develop, manufacture, market and introduce enhanced or new Xiaodu smart products in a timely manner in response to changing market conditions or customer requirements, including changing fashion trends and styles, it will materially adversely affect our business, revenue growth, financial condition and results of operations. Furthermore, as we develop new generations of products more quickly, we expect that the pace of product obsolescence will increase concurrently. The disposition of inventories of excess or obsolete products may result in reductions to our operating margins and materially and adversely affect our earnings and results of operations. We also face uncertainties with respect to the evolving laws and regulations that are or may be applicable to our Xiaodu smart products. For instance, a significant portion of our Xiaodu smart product users are minors, whose use of generative AI and large language models is increasingly being regulated. Additionally, our Xiaodu smart products provide content distribution services that may be subject to further regulatory restrictions. There is no guarantee that our Xiaodu smart products will not be subject to new regulatory requirements in the future that could potentially impose limits on various aspects such as research and development, sales, marketing, and pricing strategies associated with our products.</w:t>
      </w:r>
    </w:p>
    <w:p>
      <w:pPr>
        <w:spacing w:after="0" w:line="298" w:lineRule="exact"/>
        <w:rPr>
          <w:sz w:val="20"/>
          <w:szCs w:val="20"/>
          <w:color w:val="auto"/>
        </w:rPr>
      </w:pPr>
    </w:p>
    <w:p>
      <w:pPr>
        <w:jc w:val="both"/>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success of our Xiaodu smart products depends on the continued growth of the smart device market, our ability to establish and maintain the brand and market share and compete with other companies, and our ability to monetize through services after the initial hardware sale.</w:t>
      </w:r>
    </w:p>
    <w:p>
      <w:pPr>
        <w:spacing w:after="0" w:line="51"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We have invested significant resources in the “Xiaodu” brand and the research and development of Xiaodu smart products. If the smart device market does not continue to grow or grow in unpredictable ways, or we fail to maintain and further promote the “Xiaodu” brand, our revenue may fall short of expectations and our operating results may be harmed. Also, we have continued to offer sales discounts on Xiaodu smart products to attract customers, build our brand and gain market share. Offering such discounts negatively affects our financial performance in the short term. We cannot assure you that our decision to offer such sales discounts is producing, or will produce, positive outcomes for our results of operations. The market for smart devices may not continue to grow; even if it does, we may not be successful in developing and selling devices that appeal to consumers or gain sufficient market acceptance, which typically takes longer in the smart device market. To succeed in this market, we will need to design, produce and sell innovative and compelling products and partner with other businesses that enable us to capitalize on new technologies, some of which have developed or may develop and sell smart devices of their own. We are currently exploring different business models with Xiaodu smart devices, and exploring different monetization model through services after hardware sales, such as membership, advertising and revenue sharing from distribution of third-party skills.</w:t>
      </w:r>
    </w:p>
    <w:p>
      <w:pPr>
        <w:spacing w:after="0" w:line="192"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Whether we will be able to achieve profitability in smart devices depends in part on our ability to generate revenue through services after the initial hardware sale at a level sufficient to cover associated operating expenses, but there can be no assurance that we will succeed in formulating and implementing the appropriate business and monetization model. Moreover, competition from other companies that seek to provide smart devices will adversely affect our profitability.</w:t>
      </w:r>
    </w:p>
    <w:p>
      <w:pPr>
        <w:spacing w:after="0" w:line="284" w:lineRule="exact"/>
        <w:rPr>
          <w:sz w:val="20"/>
          <w:szCs w:val="20"/>
          <w:color w:val="auto"/>
        </w:rPr>
      </w:pPr>
    </w:p>
    <w:p>
      <w:pPr>
        <w:jc w:val="both"/>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a number of manufacturing, supply chain, distribution channel and inventory risks as well as product quality and financing risks that, if not properly managed, could harm our financial condition, operating results, and prospects.</w:t>
      </w:r>
    </w:p>
    <w:p>
      <w:pPr>
        <w:spacing w:after="0" w:line="51"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We rely on third parties to manufacture our Xiaodu smart products, to design certain of our components and parts, and to participate in the distribution of our products. Our business could be negatively affected if we are not able to engage these companies with the necessary capabilities or capacity on reasonable terms, or if those we engage fail to meet their obligations (whether due to financial difficulties or other reasons), or make adverse changes in the pricing or other material terms of our arrangements with them.</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40"/>
          </w:cols>
          <w:pgMar w:left="320" w:top="482" w:right="4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We may experience supply shortages and price increases driven by a variety of factors, such as raw material availability, manufacturing capacity, labor shortages, tariffs, trade disputes and barriers, natural disasters, and significant changes in the financial or business condition of our suppliers. We may experience shortages or other supply chain disruptions that could negatively affect our operations. In addition, some of the components we use in our Xiaodu smart products are available only from a single source or limited sources, and we may not be able to find replacement vendors on favorable terms in the event of a supply chain disruption.</w:t>
      </w:r>
    </w:p>
    <w:p>
      <w:pPr>
        <w:spacing w:after="0" w:line="183"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Our Xiaodu smart products may have quality issues resulting from design, manufacturing, or operations. Sometimes, these issues may be caused by components we purchase from other manufacturers or suppliers. Aging components of our products may also cause quality risks, leading to user complaints. If the quality of our Xiaodu smart products does not meet expectations or is defective, it could harm our reputation, financial condition, and operating results.</w:t>
      </w:r>
    </w:p>
    <w:p>
      <w:pPr>
        <w:spacing w:after="0" w:line="180"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We are exposed to significant inventory risks that may adversely affect our operating results as a result of seasonality, new product launches, rapid changes in product cycles and pricing, defective merchandise, changes in consumer demand and consumer spending patterns, and other factors. We endeavor to accurately predict these trends and avoid overstocking or understocking issues. Demand for our Xiaodu smart products, however, can change significantly between the time inventory or components are ordered and the date of sale. We may misjudge customer demand, resulting in inventory buildup and possible significant inventory write-down. It may also make it more difficult for us to inspect and control quality and ensure proper handling, storage and delivery. We may experience higher return rates on new products, receive more customer complaints about them and face costly product liability claims as a result of selling them, which would harm our brand and reputation as well as our financial performance.</w:t>
      </w:r>
    </w:p>
    <w:p>
      <w:pPr>
        <w:spacing w:after="0" w:line="189"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Smart Living Group (SLG) encompasses our DuerOS and Xiaodu operations. Our majority-owned subsidiary, which operates SLG, completed its first and second rounds of funding between 2020 and 2022. Historically, it has experienced operating losses. If SLG is unable to satisfy its cashflow needs by generating sufficient cash from its operations in the near future, it may have to rely on subsequent round(s) of financing. If SLG’s operating cashflow does not improve and if SLG fails to conduct financing on reasonable terms, it may not be able to continue its business operations, which may adversely impact our results of operations and financial performance.</w:t>
      </w:r>
    </w:p>
    <w:p>
      <w:pPr>
        <w:spacing w:after="0" w:line="183"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Furthermore, we cooperate with various distribution partners when providing services for enterprise customers. Maintaining strong relationships with these partners is important for our results of operations. There can be no assurance that the distribution partners we currently cooperate with will continue to meet their payment obligations or will continue the cooperation with us on commercially acceptable terms, or at all, after the terms of the current agreements expire. Our ability to provide services to enterprise customers depends in part on the stability of distribution partners. If we are unable to maintain our relationship with existing distribution partners or develop relationships with new distribution partners, our operations and financial performance may be adversely affected.</w:t>
      </w:r>
    </w:p>
    <w:p>
      <w:pPr>
        <w:spacing w:after="0" w:line="291" w:lineRule="exact"/>
        <w:rPr>
          <w:sz w:val="20"/>
          <w:szCs w:val="20"/>
          <w:color w:val="auto"/>
        </w:rPr>
      </w:pPr>
    </w:p>
    <w:p>
      <w:pPr>
        <w:jc w:val="both"/>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Du Xiaoman’s financial services business may subject us to operational and reputational risks, which may have a material adverse effect on our business, results of operations and financial condition.</w:t>
      </w:r>
    </w:p>
    <w:p>
      <w:pPr>
        <w:spacing w:after="0" w:line="51"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In August 2018, we completed the divestiture of a majority equity stake in our financial services business unit, which has been rebranded as Du Xiaoman Financial and subsequently further rebranded as Du Xiaoman. After the divestiture, we hold a non-controlling equity interest in Du Xiaoman and have since then deconsolidated the financial results of Du Xiaoman from our consolidated financial statements in accordance with U.S. GAAP. Du Xiaoman runs a one-stop financial services platform which offers end-consumer credit enablement, supply chain financing, wealth management, digital payment and fintech solutions services, in order to serve end-users’ needs. We are still the largest shareholder of Du Xiaoman and would be exposed to losses from Du Xiaoman.</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40"/>
          </w:cols>
          <w:pgMar w:left="320" w:top="482" w:right="4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The laws and regulations of Chinese mainland concerning the internet finance industry are continually evolving and improving. Although to our knowledge Du Xiaoman has taken careful measures to comply with the laws and regulations that are applicable to its financial services, the PRC government authorities may promulgate new policies, rules and regulations regulating the internet finance industry. For example, the People’s Bank of China issued the Announcement of the People’s Bank of China [2021] No. 3 on March 12, 2021. In accordance with this announcement, when credit business institutions market loan products through websites, mobile applications, posters or similar channels, they must explicitly indicate the applicable annualized loan interest rate to the borrower in a conspicuous manner, and specify such annualized interest rate in the loan contract. It is allowed to indicate the daily interest rate or the monthly interest rate at the same time only if they are not displayed in a manner more conspicuous than the annualized interest rate. Under this announcement, “credit business institutions” include, among others, deposit financial institutions, consumer financing companies, micro-loan companies and online platforms providing advertisement and displaying services to credit business operators.</w:t>
      </w:r>
    </w:p>
    <w:p>
      <w:pPr>
        <w:spacing w:after="0" w:line="188" w:lineRule="exact"/>
        <w:rPr>
          <w:sz w:val="20"/>
          <w:szCs w:val="20"/>
          <w:color w:val="auto"/>
        </w:rPr>
      </w:pPr>
    </w:p>
    <w:p>
      <w:pPr>
        <w:jc w:val="both"/>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In order to thoroughly implement the risk-based anti-money laundering method and improve the ability of financial institutions to identify the risks on money laundering and terrorist financing, the Anti-Money Laundering Bureau of the People’s Bank of China formulated and issued the Guidelines on Self-Assessment of Money Laundering and Terrorist Financing Risks of Corporate Financial Institutions in 2021, which are applicable to all types of financial institutions and non-bank payment institutions. These guidelines provide guidance for such institutions to implement risk self-assessment and effectively make use of the results of such assessment, and require such institutions to complete the comprehensive risk self-assessment consistent with these guidelines for the first time by the end of 2022. Du Xiaoman has set up an institutional money laundering risk assessment mechanism to fully understand the key money laundering and terrorist financing risks it faces, fully optimize the allocation of anti-money laundering resources, and prevent its financial products and businesses from being exploited by criminals in illegal and criminal fund cleaning activities.</w:t>
      </w:r>
    </w:p>
    <w:p>
      <w:pPr>
        <w:spacing w:after="0" w:line="192" w:lineRule="exact"/>
        <w:rPr>
          <w:sz w:val="20"/>
          <w:szCs w:val="20"/>
          <w:color w:val="auto"/>
        </w:rPr>
      </w:pPr>
    </w:p>
    <w:p>
      <w:pPr>
        <w:jc w:val="both"/>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On December 31, 2024, the National Financial Regulatory Administration issued the Interim Measures for the Supervision and Administration of Micro-Loan Companies, which became effective on the same date. These interim administrative measures provide regulatory requirements for the business operation, corporate governance, consumer rights and interests protection of micro-loan companies. Pursuant to these interim administrative measures, a micro-loan company shall not release or sell by proxy the financial products such as wealth management, trust and fund, and shall not purchase financial products other than fixed income securities. If a micro-loan company conducts marketing activities to acquire customers, releases loan products or provides loans through websites, mobile applications, mini programs and other internet platforms (including internet platforms of such micro-loan company and other institutions with which such micro-loan company cooperates), it shall report the information of such websites, mobile applications, mini programs and other internet platforms and details of products to the local financial governmental authority. However, as of the date of this annual report, these interim administrative measures are relatively new and subject to interpretation by the regulators in practice.</w:t>
      </w:r>
    </w:p>
    <w:p>
      <w:pPr>
        <w:spacing w:after="0" w:line="188"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As we hold a non-controlling equity interest in Du Xiaoman and do not control Du Xiaoman’s business conduct and operations, we cannot assure you that the practices of Du Xiaoman would not be deemed to violate any applicable laws or regulations, nor can we ensure that all business cooperators on Du Xiaoman’s platform meet all the regulatory compliance requirements. If Du Xiaoman were deemed to violate any current or future applicable laws or regulations, we may be exposed to negative publicity as a result of the potential misconception that Du Xiaoman is still part of our consolidated group. Many internet financial platforms, including Du Xiaoman, have removed deposit products from their platforms. Events like this may expose us to negative publicity as well.</w:t>
      </w:r>
    </w:p>
    <w:p>
      <w:pPr>
        <w:spacing w:after="0" w:line="291" w:lineRule="exact"/>
        <w:rPr>
          <w:sz w:val="20"/>
          <w:szCs w:val="20"/>
          <w:color w:val="auto"/>
        </w:rPr>
      </w:pPr>
    </w:p>
    <w:p>
      <w:pPr>
        <w:jc w:val="both"/>
        <w:ind w:lef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Interruption or failure of our own information technology and communications systems or those of third-party service providers we rely upon, as well as of AI related resources we acquire from third-party suppliers, could impair our ability to provide products and services, which could damage our reputation and harm our results of operations.</w:t>
      </w:r>
    </w:p>
    <w:p>
      <w:pPr>
        <w:spacing w:after="0" w:line="67"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Our ability to provide products and services depends on the continuing operation of our information technology and communications systems. Any damage to or failure of our systems could interrupt our services. Service interruptions could reduce our revenue and profit and damage our brand if our systems are perceived to be unreliable. Our systems are vulnerable to damage or interruption as a result of terrorist attacks, wars, earthquakes, floods, fires, power loss, telecommunications failures, health epidemics, undetected errors or “bugs” in our software, computer viruses, interruptions in access to our platform through the use of “denial of service” or similar attacks, hacking or other attempts to harm our systems, and similar events. Some of our systems are not fully redundant, and our disaster recovery planning does not account for all possible scenarios. We have experienced service disruptions in the past which adversely affected our user experience.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40"/>
          </w:cols>
          <w:pgMar w:left="320" w:top="482" w:right="4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Our servers, which are hosted at third-party or our own internet data centers, are vulnerable to break-ins, sabotage and vandalism. The occurrence of natural disasters or closure of an internet data center by a third-party provider without adequate notice could result in lengthy service interruptions. In addition, our domain names are resolved into internet protocol (IP) addresses by systems of third-party domain name registrars and registries. Any interruptions or failures of those service providers’ systems, which are beyond our control, could significantly disrupt our own services. If we experience frequent or persistent system failures on our platform, whether due to interruptions and failures of our own information technology and communications systems or those of third-party service providers that we rely upon, our reputation and brand could be severely harmed. The steps we take to increase the reliability and redundancy of our systems may cause us to incur heavy costs and reduce our operating margin, and may not be successful in reducing the frequency or duration of service interruptions. We have made significant investments in foundation model and generative AI, and made significant prepayments to acquire relevant resources from third-party suppliers. We rely on these suppliers to provide consistent and reliable cloud services and other resources necessary for our AI initiatives. Any failure of these suppliers to provide such resources, or a failure to replace any such supplier at a reasonable cost, could result in financial losses and may have a material adverse effect on our business and operations.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manage our expanding operations effectively.</w:t>
      </w:r>
    </w:p>
    <w:p>
      <w:pPr>
        <w:spacing w:after="0" w:line="121"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expect to continue to expand our operations as we grow our user and customer base and explore new opportunities. To manage the further expansion of our business and growth of our operations and personnel, we need to continually improve our operational and financial systems, procedures and controls, and expand, train, manage and maintain good relations with our growing employee base. We have experienced labor disputes in the past and may experience the same in the future. Although these disputes were resolved promptly, we cannot assure you that there will not be any new labor disputes in the future.</w:t>
      </w:r>
    </w:p>
    <w:p>
      <w:pPr>
        <w:spacing w:after="0" w:line="183" w:lineRule="exact"/>
        <w:rPr>
          <w:sz w:val="20"/>
          <w:szCs w:val="20"/>
          <w:color w:val="auto"/>
        </w:rPr>
      </w:pPr>
    </w:p>
    <w:p>
      <w:pPr>
        <w:jc w:val="both"/>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We expect our Baidu Core AI-powered Business to become a key driver for Baidu General Business, and believe our future growth relies on the success of our Baidu Core AI-powered Business. Our systems and processes were designed in the past to support our mobile ecosystem business operations. For our Baidu Core AI-powered Business operations to be successful, we must be able to attract industry expertise and talents, and adapt to systems and processes suitable for the enterprise and public sector business environment. If we are unable to do so, we may not be competitive in these markets and our Baidu Core AI-powered Business offerings will not be successful. In addition, we must maintain and expand our relationships with other websites, internet companies and other third parties. Our current and future personnel, systems, procedures and controls may not be adequate to support our expanding operations, and consequently our financial condition and operating results may be materially and adversely affected.</w:t>
      </w:r>
    </w:p>
    <w:p>
      <w:pPr>
        <w:spacing w:after="0" w:line="293" w:lineRule="exact"/>
        <w:rPr>
          <w:sz w:val="20"/>
          <w:szCs w:val="20"/>
          <w:color w:val="auto"/>
        </w:rPr>
      </w:pPr>
    </w:p>
    <w:p>
      <w:pPr>
        <w:jc w:val="both"/>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face intellectual property infringement claims and other related claims, which could be time-consuming and costly to defend and may result in an adverse impact over our operations.</w:t>
      </w:r>
    </w:p>
    <w:p>
      <w:pPr>
        <w:spacing w:after="0" w:line="51"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Internet, technology and media companies are frequently involved in litigation based on allegations of infringement of intellectual property rights, unfair competition, invasion of privacy, defamation and other violations of other parties’ rights. The validity, enforceability and scope of protection of intellectual property in internet-related and AI-related industries, particularly in Chinese mainland, are still evolving and subject to further clarification and interpretation. The evolving laws and regulations on the protection of intellectual property may require us to take more actions to prevent from infringing third-parties’ intellectual property. If we cannot take the necessary actions in time, disputes may arise alleging us to infringe certain third-parties’ intellectual property. As we face increasing competition and as litigation becomes more common in Chinese mainland in resolving commercial disputes, we face a higher risk of being the subject of intellectual property infringement claims. We may be subject to administrative actions brought by the PRC competent government authorities such as the PRC National Copyright Administration and in the most severe scenario, criminal prosecution for alleged copyright infringement, and as a result may be subject to fines and other penalties and be required to discontinue infringing activities.</w:t>
      </w:r>
    </w:p>
    <w:p>
      <w:pPr>
        <w:spacing w:after="0" w:line="188"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Our search products and services link to materials in which third parties may claim ownership of trademarks, copyrights or other rights. As we adopt new technologies and roll out new products and services, we face the risk of being subject to intellectual property infringement claims that may arise from our use of new technologies and provision of new products and services. Our products and services including those based on content storage and sharing, such as Baidu Knows, Baidu Wiki, Baidu Wenku, Baidu Post, Baidu Drive, Baijiahao, Haokan, and iQIYI’s user-generated content, allow our users to upload, store and share documents, images, audio and videos on our servers, or share, link to or otherwise provide access to contents from other websites, and we also operate distribution platforms whereby developers can upload, share and sell their apps or games to users. Although we have made commercially reasonable efforts to request users or developers to comply with applicable intellectual property laws, we cannot ensure that all of our users or developers have the rights to upload or share these contents or apps. In addition, we have been and may continue to be subject to copyright or trademark infringement and other related claims from time to time, in China and internationally.</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40"/>
          </w:cols>
          <w:pgMar w:left="320" w:top="482" w:right="4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both"/>
        <w:ind w:left="120" w:firstLine="440"/>
        <w:spacing w:after="0" w:line="252" w:lineRule="auto"/>
        <w:rPr>
          <w:sz w:val="20"/>
          <w:szCs w:val="20"/>
          <w:color w:val="auto"/>
        </w:rPr>
      </w:pPr>
      <w:r>
        <w:rPr>
          <w:rFonts w:ascii="Times New Roman" w:cs="Times New Roman" w:eastAsia="Times New Roman" w:hAnsi="Times New Roman"/>
          <w:sz w:val="18"/>
          <w:szCs w:val="18"/>
          <w:color w:val="auto"/>
        </w:rPr>
        <w:t>We have been making continuous efforts to keep ourselves informed of and to comply with all applicable laws and regulations affecting our business. However, the laws and regulations of Chinese mainland are complex and evolving, and uncertainties still exist with respect to the interpretation of the legal standards for determining liabilities of internet search and other internet service providers for (a) providing links to content on third-party websites that infringe upon others’ copyrights or hosting such content, (b) providing information storage space, file sharing technology or other internet services that are used by internet users to disseminate such content, or (c) providing information generated by AI. The Supreme People’s Court of the PRC promulgated a judicial interpretation on infringement of the right of dissemination through the internet in December 2012, with amendments that came into effect on January 1, 2021. This judicial interpretation, like certain court rulings and certain other judicial interpretations, provides that the courts will place the burden on internet service providers to remove not only links or contents that have been specifically mentioned in the notices of infringement from right holders, but also links or contents they “should have known” to contain infringing content. The interpretation further provides that where an internet service provider has directly obtained economic benefits from any content made available by an internet user, it has a higher duty of care with respect to internet users’ infringement of third-party copyrights. A guidance on the trial of audio/video sharing copyright disputes promulgated by the Higher People’s Court of Beijing in December 2012 provides that where an internet service provider has directly obtained economic benefits from any audio/video content made available by an internet user who has no authorization for sharing such content, the internet service provider shall be presumed to be at fault. These interpretations could subject us to significant administrative burdens and litigation risks. The PRC Civil Code promulgated in 2020 has further elaborated the circumstances where internet service providers may be found liable for the infringement of third parties. See “Item 4.B. Information on the Company—Business Overview—Regulations—Regulations on Tort Liability.” The PRC Copyright Law, which became effective in June 2021, further provides that the competent copyright authority may require compliance from the relevant parties in the process of investigating the infringing activities.</w:t>
      </w:r>
    </w:p>
    <w:p>
      <w:pPr>
        <w:spacing w:after="0" w:line="192"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We conduct our business operations primarily in Chinese mainland. However, as we expand our operations outside of China, we may be subject to intellectual property infringement claims brought against us in jurisdictions outside of China. We cannot assure you that we will not be subject to intellectual property infringement lawsuits or other proceedings in jurisdictions other than Chinese mainland.</w:t>
      </w:r>
    </w:p>
    <w:p>
      <w:pPr>
        <w:spacing w:after="0" w:line="176"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Intellectual property litigation is expensive, time-consuming and could divert resources and management attention from the operations of our business. We are currently named as defendant in certain intellectual property infringement suits in connection with Baidu Feed, P4P, Baidu Post, Baidu Search, iQIYI, Baidu Wenku, Baidu Drive, Baijiahao, Haokan, Xiaodu and certain other products or services. See “Item 8.A. Financial Information— Consolidated Statements and Other Financial Information—Legal Proceedings.” There is no guarantee that the courts will accept our defenses and rule in our favor. If there is a successful claim of infringement, we may be required to discontinue the infringing activities, pay substantial fines and damages and enter into royalty or license agreements that may not be available on commercially acceptable terms, if at all. Our failure to obtain a license of the rights on a timely basis could harm our business. Any intellectual property litigation by third parties and/or negative publicity alleging our intellectual property infringement could have an adverse effect on our business, reputation, financial condition or results of operations. To address the risks relating to intellectual property infringement, we may have to substantially modify, limit or terminate some of our search services. Any such change could materially affect user experience and in turn have an adverse impact on our business.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strategy of investments and acquiring complementary businesses and assets may fail.</w:t>
      </w:r>
    </w:p>
    <w:p>
      <w:pPr>
        <w:spacing w:after="0" w:line="121"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As part of our business strategy, we have pursued, and intend to continue to pursue, selective strategic investments and acquisitions of businesses and assets that complement our existing business and help us execute our growth strategies. For example, we invested in Trip.com Group Limited.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40"/>
          </w:cols>
          <w:pgMar w:left="320" w:top="482" w:right="4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We intend to make other strategic investments and acquisitions in the future if suitable opportunities arise. Investments and acquisitions involve uncertainties and risks, including, but not limited to:</w:t>
      </w:r>
    </w:p>
    <w:p>
      <w:pPr>
        <w:spacing w:after="0" w:line="67" w:lineRule="exact"/>
        <w:rPr>
          <w:sz w:val="20"/>
          <w:szCs w:val="20"/>
          <w:color w:val="auto"/>
        </w:rPr>
      </w:pPr>
    </w:p>
    <w:p>
      <w:pPr>
        <w:ind w:left="1080" w:right="2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ongoing financial obligations and unforeseen or hidden liabilities, including liability for infringement of third-party copyrights or other intellectual property;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achieve the intended objectives, benefits or revenue-enhancing opportunities,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non-occurrence of anticipated or speculative transactions and any resulting negative impact;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and difficulties of integrating acquired businesses and managing a larger business;</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investments where we do not obtain management and operational control, lack of influence over the controlling partner or shareholder, which may prevent us from achieving our strategic goals in the investments;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unsatisfactory operational or financial performance, including financial loss, or fraudulent activities of a target business;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loss of key employees of a target business;</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claims or litigation regarding our board’s exercise of its duty of care and other duties required under applicable law in connection with any of our significant acquisitions or investments approved by the board;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resources and management attention;</w:t>
      </w:r>
    </w:p>
    <w:p>
      <w:pPr>
        <w:spacing w:after="0" w:line="130" w:lineRule="exact"/>
        <w:rPr>
          <w:rFonts w:ascii="Times New Roman" w:cs="Times New Roman" w:eastAsia="Times New Roman" w:hAnsi="Times New Roman"/>
          <w:sz w:val="18"/>
          <w:szCs w:val="18"/>
          <w:color w:val="auto"/>
        </w:rPr>
      </w:pPr>
    </w:p>
    <w:p>
      <w:pPr>
        <w:jc w:val="both"/>
        <w:ind w:left="1080" w:hanging="424"/>
        <w:spacing w:after="0" w:line="266"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hurdles and compliance risks, including the anti-monopoly and competition laws, rules and regulations of Chinese mainland and other jurisdictions and the enhanced compliance requirement for outbound acquisitions and investment under the laws and regulations of Chinese mainland;</w:t>
      </w:r>
    </w:p>
    <w:p>
      <w:pPr>
        <w:spacing w:after="0" w:line="81"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acquisitions of businesses or assets outside of China, the need to integrate operations across different business cultures and languages and to address the particular economic, currency, political, and regulatory risks associated with specific countries;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fair value changes, which impact our profits;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significant losses incurred by the investee companies, which could have a material adverse impact on our investment returns.</w:t>
      </w:r>
    </w:p>
    <w:p>
      <w:pPr>
        <w:spacing w:after="0" w:line="225" w:lineRule="exact"/>
        <w:rPr>
          <w:sz w:val="20"/>
          <w:szCs w:val="20"/>
          <w:color w:val="auto"/>
        </w:rPr>
      </w:pPr>
    </w:p>
    <w:p>
      <w:pPr>
        <w:jc w:val="both"/>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Any failure to address these risks successfully may have a material and adverse effect on our financial condition and results of operations. Investments and acquisitions may require a significant amount of capital, which would decrease the amount of cash available for working capital or capital expenditures. In addition, if we use our equity securities to pay for investments and acquisitions, the value of our listed securities may be diluted. If we borrow funds to finance investments and acquisitions, such debt instruments may contain restrictive covenants that could, among other things, restrict us from distributing dividends. Moreover, acquisitions may also generate significant amortization expenses related to intangible assets. We are required to test our intangible assets and goodwill for impairment annually or more frequently if events or changes in circumstances indicate that they may be impaired. We may also incur investment loss or impairment charges to acquired businesses and assets.</w:t>
      </w:r>
    </w:p>
    <w:p>
      <w:pPr>
        <w:spacing w:after="0" w:line="293" w:lineRule="exact"/>
        <w:rPr>
          <w:sz w:val="20"/>
          <w:szCs w:val="20"/>
          <w:color w:val="auto"/>
        </w:rPr>
      </w:pPr>
    </w:p>
    <w:p>
      <w:pPr>
        <w:jc w:val="both"/>
        <w:ind w:lef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complex and evolving Chinese and international laws and regulations, including those regarding data privacy and cybersecurity. Failure to comply with these laws and regulations would result in claims, penalties, damages to our reputation and brand, or declines in user growth or engagement, or otherwise harm our business.</w:t>
      </w:r>
    </w:p>
    <w:p>
      <w:pPr>
        <w:spacing w:after="0" w:line="67"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We are required by privacy and data protection laws in Chinese mainland and other jurisdictions, including, without limitation, the PRC Cybersecurity Law and the PRC Data Security Law, to ensure the confidentiality, integrity and availability of the information of our users, customers, third-party agents, content providers and Baidu Union partners, and other data, which is also essential to maintaining their confidence in our online products and services.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40"/>
          </w:cols>
          <w:pgMar w:left="320" w:top="482" w:right="4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In recent years, the PRC government authorities have increasingly focused on safeguarding information and data security. The PRC Cybersecurity Law provides that network operators must fulfill their obligations to safeguard network security during the course of conducting business and providing services. Network service providers must take technical and other necessary measures as required by laws, regulations and mandatory requirements to safeguard the operation of networks, respond to network security effectively, prevent illegal and criminal activities and maintain the integrity, confidentiality and usability of network data. Pursuant to the Regulations on Protection of Critical Information Infrastructure, which became effective in September 2021, critical information infrastructure means any important network facilities or information systems of the important industry or field, which may endanger national security, people’s livelihood and public interest in case of damage, function loss or data leakage. If a company is designated as a critical information infrastructure operator, it must comply with specific obligations mandated by applicable cybersecurity laws and regulations, which include, among others, that any personal information and important data collected and generated in operations within Chinese mainland must be stored within the territory of Chinese mainland. However, these PRC laws and regulations relating to cybersecurity are relatively new, and the applicable scope of these laws and regulations, including the applicable scope of “critical information infrastructure” under the current regulatory regime, remains unclear and shall be subject to more interpretation from the competent government authorities.</w:t>
      </w:r>
    </w:p>
    <w:p>
      <w:pPr>
        <w:spacing w:after="0" w:line="190" w:lineRule="exact"/>
        <w:rPr>
          <w:sz w:val="20"/>
          <w:szCs w:val="20"/>
          <w:color w:val="auto"/>
        </w:rPr>
      </w:pPr>
    </w:p>
    <w:p>
      <w:pPr>
        <w:jc w:val="both"/>
        <w:ind w:left="120" w:firstLine="440"/>
        <w:spacing w:after="0" w:line="252" w:lineRule="auto"/>
        <w:rPr>
          <w:sz w:val="20"/>
          <w:szCs w:val="20"/>
          <w:color w:val="auto"/>
        </w:rPr>
      </w:pPr>
      <w:r>
        <w:rPr>
          <w:rFonts w:ascii="Times New Roman" w:cs="Times New Roman" w:eastAsia="Times New Roman" w:hAnsi="Times New Roman"/>
          <w:sz w:val="18"/>
          <w:szCs w:val="18"/>
          <w:color w:val="auto"/>
        </w:rPr>
        <w:t>Since 2021, the PRC government authorities have also promulgated a series of laws and regulations to build a system for cybersecurity review. The PRC Data Security Law, which took effect in September 2021, provides for a security review procedure for the data activities that may affect national security. Pursuant to the Cybersecurity Review Measures, which was published by the CAC and became effective in February 2022, critical information infrastructure operators that procure internet products and services, as well as network platform operators engaging in data processing activities, must be subject to a cybersecurity review if their activities affect or may affect national security. A cybersecurity review could result in significant costs and expose such critical information infrastructure operators to various challenges, both throughout the review process and in the course of implementing the required improvements to their cybersecurity protocols. Since the Cybersecurity Review Measures provide no further explanation or interpretation on the determination of “affecting national security,” there remain uncertainties as to whether our data processing activities may be deemed to affect national security. In addition, network platform operators holding over one million users’ personal information must apply for a cybersecurity review with the Cybersecurity Review Office before any public offering in a foreign country. Moreover, the State Council also issued the Regulations on the Network Data Security on September 24, 2024, which became effective on January 1, 2025. According to the Regulations on the Network Data Security, where network data processors carry out network data processing activities that have affected or may affect national security, they shall undergo a national security review in accordance with the relevant laws and regulations. See “Item 4.B. Information on the Company— Business Overview—Regulations—Regulations on Information Security” for more details.</w:t>
      </w:r>
    </w:p>
    <w:p>
      <w:pPr>
        <w:spacing w:after="0" w:line="197" w:lineRule="exact"/>
        <w:rPr>
          <w:sz w:val="20"/>
          <w:szCs w:val="20"/>
          <w:color w:val="auto"/>
        </w:rPr>
      </w:pPr>
    </w:p>
    <w:p>
      <w:pPr>
        <w:jc w:val="both"/>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Moreover, the PRC government authorities are also improving the legal system on the protection of the personal information. On August 20, 2021, the Standing Committee of the National People’s Congress promulgated the PRC Personal Information Protection Law, which integrates the scattered rules with respect to personal information rights and privacy protection and took effect on November 1, 2021. In addition, the CAC and three other authorities jointly issued the Rules on the Scope of Necessary Personal Information for Common Types of Mobile Internet Applications, which specify the scope of necessary personal information to be collected each for a variety of common mobile internet applications, such as maps and navigation apps, online ride-hailing apps, instant messaging apps and online community apps. See “Item 4.B. Information on the Company—Business Overview— Regulations—Regulations on Internet Privacy” for more details.</w:t>
      </w:r>
    </w:p>
    <w:p>
      <w:pPr>
        <w:spacing w:after="0" w:line="189"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PRC government authorities also further enhanced the supervision and regulation of cross-border data transmission. Pursuant to the Measures for the Security Assessment of Cross-border Data Transfer, which became effective in September 2022, data processors will be subject to security assessment conducted by the CAC prior to any cross-border transfer of data if the transfer involves certain types of data such as important data. See “Item 4.B. Information on the Company—Business Overview—Regulations—Regulations on Information Security” for more details.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40"/>
          </w:cols>
          <w:pgMar w:left="320" w:top="482" w:right="4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both"/>
        <w:ind w:left="120" w:firstLine="440"/>
        <w:spacing w:after="0" w:line="251" w:lineRule="auto"/>
        <w:rPr>
          <w:sz w:val="20"/>
          <w:szCs w:val="20"/>
          <w:color w:val="auto"/>
        </w:rPr>
      </w:pPr>
      <w:r>
        <w:rPr>
          <w:rFonts w:ascii="Times New Roman" w:cs="Times New Roman" w:eastAsia="Times New Roman" w:hAnsi="Times New Roman"/>
          <w:sz w:val="18"/>
          <w:szCs w:val="18"/>
          <w:color w:val="auto"/>
        </w:rPr>
        <w:t>The PRC Cybersecurity Law, the PRC Data Security Law, the PRC Personal Information Protection Law and the other related laws and regulations as mentioned above are constantly evolving, improving and will be subject to further interpretation by the regulators. Although we only gain access to user information that is necessary for, and relevant to, the services we provide, the data we obtain and use may include information that is deemed as “personal information,” “network data” or “important data” under the relevant data privacy and protection laws and regulations. As such, we have implemented a series of measures to ensure that we comply with the laws and regulations in the collection, use, disclosure, sharing, storage, and security of user information and other data. Although we believe that we have complied with such laws and regulations related to cybersecurity, data privacy and personal information protection in all material aspects, the measures we have implemented could still be deemed insufficient, improper, or even invasive of user privacy by the government authorities, which may result in penalties, including fines, suspension of business activities, restrictions on new user registrations (even temporarily) and revocation of licenses. Consequently, our reputation and results of operations could be materially and adversely affected. In addition, the activities of third parties such as our customers and business partners are beyond our control. If our business partners violate the laws and regulations relating to cybersecurity, data privacy and personal information protection, or fail to fully comply with the service agreements with us, or if any of our employees fails to comply with our internal control measures and misuse the information, we may be subject to penalties and other legal liabilities. As part of the efforts by the CAC and other regulators to enhance data protection, a wide number of apps and companies have been reprimanded since the first half of 2021, including certain Baidu apps. We have updated the apps and are committed to keeping our apps fully compliant with the requirements of the CAC. Nevertheless, due to the rapidly evolving regulatory requirements, we still cannot guarantee you that we will not be subject to more similar rectification requests from the government authorities or that we will fully comply with all applicable rules and regulations at all times. In addition, as the enforcement regime with regard to cybersecurity, data security, data privacy and personal information protection has been evolving and PRC regulators have been increasingly focusing on regulation in these areas, some of our business operations, in particular our cloud services, may be subject to enhanced oversight and scrutiny. As a result, we may be involved with enquiries, claims, complaints or other administrative actions from time to time, which are subject to the uncertainties associated with the evolving legislative activities and varied local enforcement practices. Any failure or perceived failure to comply with all applicable data privacy and protection laws and regulations or to take prompt rectification actions as required by the enforcement authorities, any failure or perceived failure of our business partners to do so, or any failure or perceived failure of our employees to comply with our internal control measures, may result in negative publicity and legal proceedings or regulatory actions against us, and could damage our reputation, discourage current and potential users and customers from using our products or services and subject us to fines, damages and rectification, which could have a material adverse effect on our business and results of operations.</w:t>
      </w:r>
    </w:p>
    <w:p>
      <w:pPr>
        <w:spacing w:after="0" w:line="204" w:lineRule="exact"/>
        <w:rPr>
          <w:sz w:val="20"/>
          <w:szCs w:val="20"/>
          <w:color w:val="auto"/>
        </w:rPr>
      </w:pPr>
    </w:p>
    <w:p>
      <w:pPr>
        <w:jc w:val="both"/>
        <w:ind w:left="120" w:firstLine="440"/>
        <w:spacing w:after="0" w:line="251" w:lineRule="auto"/>
        <w:rPr>
          <w:sz w:val="20"/>
          <w:szCs w:val="20"/>
          <w:color w:val="auto"/>
        </w:rPr>
      </w:pPr>
      <w:r>
        <w:rPr>
          <w:rFonts w:ascii="Times New Roman" w:cs="Times New Roman" w:eastAsia="Times New Roman" w:hAnsi="Times New Roman"/>
          <w:sz w:val="18"/>
          <w:szCs w:val="18"/>
          <w:color w:val="auto"/>
        </w:rPr>
        <w:t>Besides the evolving regulatory requirements on cybersecurity and data privacy in Chinese mainland, there are also a number of legislative proposals in the European Union, the United States, at both the federal and state level, as well as other jurisdictions that could impose new obligations in areas affecting our business. For instance, on February 28, 2024, the Biden administration issued an executive order titled “Preventing Access to Americans’ Bulk Sensitive Personal Data and United States Government-Related Data by Countries of Concern.” This executive order aims to prohibit and restrict the transfer of substantial quantities of personal data belonging to U.S. individuals, as well as certain data pertaining to the U.S. government, to countries of concern, including China. The types of personal data of U.S. citizens that fall under the purview of this executive order encompass, but are not limited to, biometric identifiers, human genomic information, and confidential health and financial records, subject to bulk collection thresholds that range from one hundred to one million. On December 27, 2024, the U.S. Department of Justice issued a final rule implementing this executive order. The final rule implements a regulatory framework that protects bulk U.S. sensitive personal data and government-related data from countries of concern, including China, and prohibits or restricts U.S. persons from engaging in certain data transactions concerning such data with countries of concern and their covered persons. On April 24, 2024, President Biden signed into law the “Protecting Americans’ Data from Foreign Adversaries Act of 2024”, created similar prohibitions and restrictions, and mandated the Federal Trade Commission to enforce the Act. Our data practices may be deemed inconsistent with new laws or regulations concerning data protection and transfer, or the interpretation and application of existing laws or regulations concerning data protection and transfer, which are often uncertain and in flux. Furthermore, any legal or regulatory challenge to our business partner’s following such rules could also harm our business relationships, or negatively impact our operations and reputation. Even if we are not the direct target of an enforcement action, such challenges against our partners could have an adverse effect on our business. The introduction of new products or other actions that we may take may subject us to additional laws, regulations or other government scrutiny. Complying with new laws and regulations could cause us to incur substantial costs or require us to change our business practices in a manner materially adverse to our business. For example, if new laws and regulations promulgated in the future impose restrictions on selling demographically targeted advertising, it could increase our cost and the complexity to provide such services such that we may become less attractive to online advertising customers. In addition, some countries are considering or have passed legislation implementing data protection requirements or requiring local storage and processing of data or similar requirements that could increase the cost and complexity of delivering our services.</w:t>
      </w:r>
    </w:p>
    <w:p>
      <w:pPr>
        <w:spacing w:after="0" w:line="13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40"/>
          </w:cols>
          <w:pgMar w:left="320" w:top="482" w:right="4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Any failure or perceived failure by us to prevent information security breaches or to comply with data security and privacy policies or related legal obligations, or any compromise of security that results in the unauthorized use, release or transfer of personally identifiable information or other data, could cause our users to lose trust in us and expose us to legal claims or penalties. Any perception by the public that privacy of user information or data security are becoming increasingly unsafe or vulnerable to attacks could inhibit the growth of our products and services generally. We expect that these areas will be subject to greater public scrutiny and attention from regulators and more frequent and rigid investigation or review by regulators, which will increase our compliance costs and subject us to heightened risks and challenges. We may have to spend much more personnel cost and time evaluating and managing these risks and challenges in connection with our products and services in the ordinary course of our business operations, and we have cooperated and will keep cooperating in the future with the competent regulators in these respects. If we are unable to manage these risks, we could become subject to penalties, including fines, suspension of business and revocation of required licenses, and our reputation and results of operations could be materially and adversely affected.</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business may be adversely affected if we were found to have failed to fulfill the additional obligations under the online advertising rules.</w:t>
      </w:r>
    </w:p>
    <w:p>
      <w:pPr>
        <w:spacing w:after="0" w:line="121" w:lineRule="exact"/>
        <w:rPr>
          <w:sz w:val="20"/>
          <w:szCs w:val="20"/>
          <w:color w:val="auto"/>
        </w:rPr>
      </w:pPr>
    </w:p>
    <w:p>
      <w:pPr>
        <w:jc w:val="both"/>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Although the PRC Advertising Law has not specified “paid search results” as a form of advertising, the Administrative Measures for Internet Advertising, which was promulgated and amended by the State Administration for Market Regulation, or the SAMR, on February 25, 2023 and became effective on May 1, 2023, characterize “paid search results” as a form of internet advertising from the perspective of regulating the online advertising business. Pursuant to such measures, we are subject to additional legal obligations to monitor our P4P customers’ listings on our website during the course of our provision of P4P services. For example, we must examine, verify and record identity information of our P4P customers, such as the customer’s name, address and contact information, and maintain an updated verification of such information on a regular basis. Moreover, we must examine supporting documentation provided by our P4P customers. Where a special government review is required for specific categories of advertisements before posting, we must confirm that the review has been performed and approval has been obtained. If the content of the advertisement is inconsistent with the supporting documentation, or the supporting documentation is incomplete, the advertisement cannot be published. With respect to the promotion of goods or services in the form of paid listing, advertising distributors shall indicate them conspicuously as an advertisement to distinguish them from the natural search results.</w:t>
      </w:r>
    </w:p>
    <w:p>
      <w:pPr>
        <w:spacing w:after="0" w:line="192" w:lineRule="exact"/>
        <w:rPr>
          <w:sz w:val="20"/>
          <w:szCs w:val="20"/>
          <w:color w:val="auto"/>
        </w:rPr>
      </w:pPr>
    </w:p>
    <w:p>
      <w:pPr>
        <w:jc w:val="both"/>
        <w:ind w:left="120" w:firstLine="440"/>
        <w:spacing w:after="0" w:line="252" w:lineRule="auto"/>
        <w:rPr>
          <w:sz w:val="20"/>
          <w:szCs w:val="20"/>
          <w:color w:val="auto"/>
        </w:rPr>
      </w:pPr>
      <w:r>
        <w:rPr>
          <w:rFonts w:ascii="Times New Roman" w:cs="Times New Roman" w:eastAsia="Times New Roman" w:hAnsi="Times New Roman"/>
          <w:sz w:val="18"/>
          <w:szCs w:val="18"/>
          <w:color w:val="auto"/>
        </w:rPr>
        <w:t>Publishing and distributing advertisements by means of internet shall not affect the normal internet access by users, and it is prohibited to insert advertisements in the form of paid listing into the search results of government service websites, webpages, internet apps, official accounts, etc. The advertisers, operators and publishers of internet advertisements containing links shall examine the contents in the next level link that are related to the front-end advertisements. In addition to the Administrative Measures for Internet Advertising, the PRC government may, from time to time, promulgate more detailed or new advertising laws and regulations to impose further requirements on online advertising services in specific fields, such as medical, pharmaceutical, health care, after-school tutoring and other similar businesses. For example, the Circular on the Administration of After-School Tutoring Advertisement jointly issued by the SAMR and seven other authorities on November 3, 2021 prohibits new media, internet platforms and other mainstream media from publishing or broadcasting any advertisement of after-school tutoring services targeted at pre-school children and primary and middle school students. We cannot assure you that we will be in compliance with the requirements under these more detailed or new laws and regulations and failure to comply with these obligations may subject us to fines and other administrative penalties. If advertisements shown on our platform are in violation of applicable advertising laws and regulations, or if the supporting documentation and government approvals provided to us by our P4P customers in connection with the advertising content are not complete or accurate, we may be subject to legal liabilities and our reputation could be harmed. Furthermore, we may modify the operation of our online marketing business and curb advertisements of certain restricted sectors in order to meet the evolving compliance requirements on the industry, which may adversely affect our online marketing revenue. See “Item 4.B. Information on the Company—Business Overview—Regulations—Regulations on Advertisements and Online Advertising.”</w:t>
      </w:r>
    </w:p>
    <w:p>
      <w:pPr>
        <w:spacing w:after="0" w:line="12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40"/>
          </w:cols>
          <w:pgMar w:left="320" w:top="482" w:right="4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patent infringement claims with respect to our P4P platform.</w:t>
      </w:r>
    </w:p>
    <w:p>
      <w:pPr>
        <w:spacing w:after="0" w:line="121"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Our technologies and business methods, including those relating to our P4P platform, may be subject to third-party claims or rights that limit or prevent their use. We applied for certain patents in Chinese mainland for our P4P platform, but some of our applications were rejected on the ground that they are not patentable. Certain companies have been granted patents in the United States relating to P4P platforms and similar business methods and related technologies. While we believe that we are not subject to U.S. patent laws since we conduct our business operations primarily in Chinese mainland, we cannot assure you that U.S. patent laws would not be applicable to our business operations, or that holders of patents relating to a P4P platform would not seek to enforce such patents against us in the United States or Chinese mainland.</w:t>
      </w:r>
    </w:p>
    <w:p>
      <w:pPr>
        <w:spacing w:after="0" w:line="187"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Many parties are actively developing and seeking protection for internet-related technologies, including patent protection. They may hold patents issued or pending that relate to certain aspects of our technologies, products, business methods or services. Any patent infringement claims, regardless of their merits, could be time-consuming and costly to us. If we were sued for patent infringement claims with respect to our P4P platform and were found to infringe upon the patents and were not able to adopt non-infringing technologies, we may be severely limited in our ability to operate our P4P platform, which would have a material and adverse effect on our results of operations and prospects.</w:t>
      </w:r>
    </w:p>
    <w:p>
      <w:pPr>
        <w:spacing w:after="0" w:line="287" w:lineRule="exact"/>
        <w:rPr>
          <w:sz w:val="20"/>
          <w:szCs w:val="20"/>
          <w:color w:val="auto"/>
        </w:rPr>
      </w:pPr>
    </w:p>
    <w:p>
      <w:pPr>
        <w:jc w:val="both"/>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may be adversely affected by third-party software apps or practices that interfere with our receipt of information from, or provision of information to, our users, which may impair our users’ experience.</w:t>
      </w:r>
    </w:p>
    <w:p>
      <w:pPr>
        <w:spacing w:after="0" w:line="51"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Our business may be adversely affected by third-party malicious or unintentional software apps that make changes to our users’ computers and interfere with our products and services. These software apps may change our users’ internet experience by hijacking queries to our platform, altering or replacing our search results, or otherwise interfering with our ability to connect with our users. The interference often occurs without disclosure to or consent from users, resulting in a negative experience, which users may associate with our platform. These software apps may be difficult to remove or disable, may reinstall themselves and may circumvent other apps’ efforts to block or remove them.</w:t>
      </w:r>
    </w:p>
    <w:p>
      <w:pPr>
        <w:spacing w:after="0" w:line="183"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In addition, our business may be adversely affected by the practices of third-party website owners, content providers and developers which interfere with our ability to crawl and index their web pages and contents including apps. The ability to provide a superior user experience is critical to our success. If we are unable to successfully combat malicious third-party software apps that interfere with our products and services, our reputation may be harmed. If a significant number of website owners, content providers and developers prevent us from indexing and including their high-quality web pages and content including apps in our search results, or if we cannot effectively combat web spam from low-quality and irrelevant content websites, the quality of our search results may be impaired, which may damage our reputation and deter our current and potential users from using our products and services.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prevent others from unauthorized use of our intellectual property, which could harm our business and competitive position.</w:t>
      </w:r>
    </w:p>
    <w:p>
      <w:pPr>
        <w:spacing w:after="0" w:line="121"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We rely on a combination of copyright, trademark and trade secret laws, as well as nondisclosure agreements and other methods to protect our intellectual property rights. The protection of intellectual property rights in Chinese mainland may not be as effective as those in the United States or other jurisdictions. The steps we have taken may be inadequate to prevent the misappropriation of our technology. Reverse engineering, unauthorized copying or other misappropriation of our technologies could enable third parties to benefit from our technologies without paying us. Moreover, unauthorized use of our technology could enable our competitors to offer products and services that compete with ours, which could harm our business and competitive position. We have in the past resorted to litigation to enforce our intellectual property rights, and may have to do so from time to time in the future. There is no guarantee that the competent courts will accept our claims and rule in our favor. Such litigation may result in substantial costs and diversion of resources and management attention.</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40"/>
          </w:cols>
          <w:pgMar w:left="320" w:top="482" w:right="4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both"/>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success depends on the continuing and collaborative efforts of our management team and other key personnel, and our business may be disrupted if we lose their services and are not able to find their successors in a timely manner.</w:t>
      </w:r>
    </w:p>
    <w:p>
      <w:pPr>
        <w:spacing w:after="0" w:line="51"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Our success depends heavily upon the continuing services of our management team, in particular our chairman and chief executive officer, Robin Yanhong Li. If one or more of our executives or other key personnel are unable or unwilling to continue in their present positions and we are not able to find their successors in a timely manner, our business may be disrupted and our financial condition and results of operations may be adversely affected. Competition for management and key personnel is intense, the pool of qualified candidates is limited, and we may not be able to retain the services of our executives or key personnel, or attract and retain experienced executives or key personnel in the future.</w:t>
      </w:r>
    </w:p>
    <w:p>
      <w:pPr>
        <w:spacing w:after="0" w:line="183"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If any of our executives or other key personnel joins a competitor or forms a competing company, we may not be able to successfully retain customers, key agents, know-how and key personnel. Each of our executive officers and key employees has entered into an employment agreement with us, containing confidentiality and non-competition provisions. If any disputes arise between any of our executives or key personnel and us, we cannot assure you the extent to which any of these agreements may be enforced.</w:t>
      </w:r>
    </w:p>
    <w:p>
      <w:pPr>
        <w:spacing w:after="0" w:line="284" w:lineRule="exact"/>
        <w:rPr>
          <w:sz w:val="20"/>
          <w:szCs w:val="20"/>
          <w:color w:val="auto"/>
        </w:rPr>
      </w:pPr>
    </w:p>
    <w:p>
      <w:pPr>
        <w:jc w:val="both"/>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highly skilled personnel. If we are unable to retain or motivate them or hire additional qualified personnel, we may not be able to grow effectively.</w:t>
      </w:r>
    </w:p>
    <w:p>
      <w:pPr>
        <w:spacing w:after="0" w:line="51" w:lineRule="exact"/>
        <w:rPr>
          <w:sz w:val="20"/>
          <w:szCs w:val="20"/>
          <w:color w:val="auto"/>
        </w:rPr>
      </w:pPr>
    </w:p>
    <w:p>
      <w:pPr>
        <w:jc w:val="both"/>
        <w:ind w:left="120" w:firstLine="440"/>
        <w:spacing w:after="0" w:line="252" w:lineRule="auto"/>
        <w:rPr>
          <w:sz w:val="20"/>
          <w:szCs w:val="20"/>
          <w:color w:val="auto"/>
        </w:rPr>
      </w:pPr>
      <w:r>
        <w:rPr>
          <w:rFonts w:ascii="Times New Roman" w:cs="Times New Roman" w:eastAsia="Times New Roman" w:hAnsi="Times New Roman"/>
          <w:sz w:val="18"/>
          <w:szCs w:val="18"/>
          <w:color w:val="auto"/>
        </w:rPr>
        <w:t>Our performance and future success depend on the talents and efforts of highly skilled individuals. We will need to continue to identify, hire, develop, motivate and retain highly skilled personnel for all areas of our organization and business operations. Competition for qualified employees in the industries we operate in is intense. Our continued ability to compete effectively depends on our ability to attract new employees and to retain and motivate our existing employees. As competitions in our industries intensify, it may be more difficult for us to hire, motivate and retain highly skilled personnel. In the event that we undertake workforce restructuring, we may face human resource challenges, including compensation-related costs such as employee severance costs, potential disputes or arbitration claims from affected employees, decreased employee morale, loss of institutional knowledge, disruption to ongoing projects, and increased difficulty in retaining remaining key talent. Such actions could also lead to reputational harm, making it harder to attract qualified personnel in the future. Moreover, such actions may not achieve the desired cost-saving or operational goals and may reoccur under certain circumstances. In general, if we do not succeed in attracting additional highly skilled personnel or retaining or motivating our existing personnel, we may be unable to grow effectively. In certain emerging industry, such as autonomous driving, foundation models and generative AI, many players with sufficient funds would heavily devote their resources to compete for talents with us. To keep our competitiveness and market position, we would need to, among others, recruit, train and retain our key talents and employees, in particular research and development personnel. If we fail to do so, we may lag behind with respect to the ever-emerging and cutting-edge technologies in the emerging industry, and our prospects in such industry would be ultimately harmed.</w:t>
      </w:r>
    </w:p>
    <w:p>
      <w:pPr>
        <w:spacing w:after="0" w:line="301" w:lineRule="exact"/>
        <w:rPr>
          <w:sz w:val="20"/>
          <w:szCs w:val="20"/>
          <w:color w:val="auto"/>
        </w:rPr>
      </w:pPr>
    </w:p>
    <w:p>
      <w:pPr>
        <w:jc w:val="both"/>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exposed to significant downward adjustments or impairments in the market values of our investments, which may materially affect our financial results. And the change in the fair value of our exchangeable bonds may also materially affect our financial results.</w:t>
      </w:r>
    </w:p>
    <w:p>
      <w:pPr>
        <w:spacing w:after="0" w:line="51"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As part of our business strategy, we have investments in both private and public companies. Fair values of these investments can be negatively impacted by fluctuations in the share prices of public companies we own, the fair value of private companies we own, liquidity, credit deterioration or losses, financial results, foreign exchange rates, changes in interest rates, or other factors. For equity investments without readily determinable fair value and do not qualify for the net asset value practical expedient of the investment, we elected to use the measurement alternative to measure those investments at cost, less any impairment, plus or minus changes resulting from observable price changes in orderly transactions for identical or similar investments of the same issuer, if any. Equity investments with readily determinable fair values are measured at fair value, and any changes in fair value are recognized in earnings. The impairment and change of equity investments’ fair value could result in significant fluctuation of our financial condition and operating results. Our trading investments and exchangeable bonds are measured at fair value. Significant declines in the fair value of our trading investments would reduce the value of our investment and result in fair value losses. While significant increases in the fair value of our exchangeable bonds would increase our liabilities and could materially and adversely affect our financial condition and operating results.</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40"/>
          </w:cols>
          <w:pgMar w:left="320" w:top="482" w:right="4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For example, we have recognized impairment charges on our long-term investments from 2023 to 2025 due to the impact of regulatory and competitive environment of the industries, circumstances of our invested companies and other factors. We may still suffer significant impairment loss or downward adjustments of our investments in the future, due to deterioration in global economic conditions or escalation of geopolitical conflicts or other factors. The carrying amounts of short-term investments, net, long-term investments, net, and long-term time deposits and held-to-maturity investments as of December 31, 2025 were RMB90.7 billion (US$13.0 billion), RMB44.9 billion (US$6.4 billion) and RMB123.9 billion (US$17.7 billion), respectively. The value or liquidity of our investments could decline and result in a material impairment, which could materially adversely affect our financial condition and operating results.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and uncertainties faced by companies in a rapidly evolving industry.</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We operate in the rapidly evolving internet industry, which makes it difficult to predict our future results of operations. Accordingly, you should consider our future prospects in light of the risks and uncertainties experienced by companies in evolving industries. Some of these risks and uncertainties relate to our ability to:</w:t>
      </w:r>
    </w:p>
    <w:p>
      <w:pPr>
        <w:spacing w:after="0" w:line="81" w:lineRule="exact"/>
        <w:rPr>
          <w:sz w:val="20"/>
          <w:szCs w:val="20"/>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our leading position in the Chinese-language internet search market;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attractive, useful and innovative products and services to attract and retain a larger user base;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procure content from studios and other content providers, as well as distribution channels and other licensors of content;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users’ continuing use of internet search services;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 existing customers and attract additional customers and increase spending per customer;</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the credit worthiness and collectability of accounts receivables from an evolving variety of customers, whose failure to pay us in a timely manner may adversely affect our liquidity position;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 members and attract new members of iQIYI’s membership services;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upgrade our technology to support increased traffic and expanded product-and-service offerings;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enhance our brand;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to competitive market conditions;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to evolving user preferences or industry changes;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to changes in the regulatory environment and manage legal risks, including those associated with intellectual property rights;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effective control of our costs and expenses;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our strategic investments and acquisitions and post-acquisition integrations effectively;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retain and motivate qualified personnel and maintain good relations with a young and growing work force;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profitable operations in new markets and other overseas internet markets we have entered into.</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we are unsuccessful in addressing any of these risks and uncertainties, our business may be materially and adversely affected.</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40"/>
          </w:cols>
          <w:pgMar w:left="320" w:top="482" w:right="4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both"/>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expansion into new geographical areas and jurisdictions involves inherent risks, which may adversely affect our business and results of operations.</w:t>
      </w:r>
    </w:p>
    <w:p>
      <w:pPr>
        <w:spacing w:after="0" w:line="51" w:lineRule="exact"/>
        <w:rPr>
          <w:sz w:val="20"/>
          <w:szCs w:val="20"/>
          <w:color w:val="auto"/>
        </w:rPr>
      </w:pPr>
    </w:p>
    <w:p>
      <w:pPr>
        <w:jc w:val="both"/>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Our expansion into new geographical areas and jurisdictions involves new risks and challenges associated with new markets. For example, as of February 2026, Apollo Go’s global footprint reached 26 cities. We face challenges, including obtaining permit to conduct test driving and further, commercial operation, of our intelligent driving services in these new geographical areas and jurisdictions. We may also need to adjust our pricing policies to adapt to local economic condition. Furthermore, our expansion into international markets will require us to respond timely and effectively to rapid changes in market conditions in the relevant countries and regions. Our success in international expansion partially depends on our ability to succeed in different legal, regulatory, economic, environmental, social, and political conditions which we have little control over. Our business operations in new geographical areas and jurisdictions may be disrupted by changes in local laws, regulations and policies. We cannot assure that we will be able to execute on our business strategy or that our product and service offerings will be successful in such markets.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indebtedness could adversely affect our financial condition and our ability to obtain additional capital on reasonable terms when necessary.</w:t>
      </w:r>
    </w:p>
    <w:p>
      <w:pPr>
        <w:spacing w:after="0" w:line="121"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As of December 31, 2025, we had an aggregate of RMB 89.5 billion (US$ 12.8 billion) of outstanding indebtedness (including loans, convertible senior notes and notes payable), which will mature between 2026 and 2035, which include RMB14.8 billion (US$ 2.1 billion) of outstanding indebtedness of iQIYI. On April 2, 2021, we entered into a five-year term and revolving facilities agreement with a group of 22 arrangers, pursuant to which we are entitled to borrow US$3.0 billion with a term of five years and we have drawn down US$2.0 billion (RMB14.0 billion) loan under the facility commitment. In 2024, we canceled US$1.0 billion unused revolving loan lines under the facility commitment. See “Item 5.B. Operating and Financial Review and Prospects—Liquidity and Capital Resources.” We may incur additional indebtedness in the future. Our current and future debt requires us to dedicate a portion of our cash flow to service interest and principal payments and may limit our ability to engage in other transactions. Our ability to pay interest and repay the principal for our indebtedness is dependent upon our ability to manage our business operations, generate sufficient cash flows, raise additional capital and the other factors discussed in this section. There can be no assurance that we will be able to manage any of these risks successfully.</w:t>
      </w:r>
    </w:p>
    <w:p>
      <w:pPr>
        <w:spacing w:after="0" w:line="194"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Certain of our outstanding indebtedness include financial and other covenants. For example, certain of these covenants require iQIYI to maintain minimum liquidity or pertain to iQIYI’s solvency or listing status. If we fail to comply with these covenants and are unable to remedy or obtain a waiver or amendment, an event of default would result. If an event of default were to occur, the lenders could, among other things, declare outstanding amounts due and payable. In addition, outstanding notes of Baidu, Inc. contain customary cross default and cross acceleration provisions, which would permit the notes holders to accelerate the repayment of these notes. In particular, for certain of the outstanding notes of Baidu, Inc., an event of default or declaration of acceleration under the indebtedness of principal controlled entities, such as iQIYI, could also result in an event of default under such notes of Baidu, Inc., which would permit the notes holders to accelerate the repayment of such notes of Baidu, Inc. For more detailed description of cross default and cross acceleration provisions under these notes, see “Item 5.B. Operating and Financial Review and Prospects—Liquidity and Capital Resources.” If the payment of any of our outstanding notes is accelerated, we may be required to renegotiate, repay or refinance these obligations and may not have sufficient funds available to repay it, and our liquidity and financial position would be materially and adversely affected.</w:t>
      </w:r>
    </w:p>
    <w:p>
      <w:pPr>
        <w:spacing w:after="0" w:line="194"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We may require additional capital to support our business growth or to respond to business opportunities, challenges or unforeseen circumstances. Our ability to obtain additional capital, if and when required, will depend on our business plans, investor demand, our operating performance, the condition of the capital markets, and other factors, and our indebtedness may limit our ability to borrow additional funds. We may have difficulty incurring new debt on terms that we would consider to be commercially reasonable. In addition, we may also need to refinance a portion or all of our outstanding debt as it matures. There is a risk that we may not be able to refinance existing debt or that the terms of any refinancing may not be as favorable as the terms of our existing debt.</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40"/>
          </w:cols>
          <w:pgMar w:left="320" w:top="482" w:right="4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both"/>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iQIYI has significant working capital requirements, and our controlling interest in iQIYI may be diluted if iQIYI raises additional capital by issuing and selling additional equity in the future.</w:t>
      </w:r>
    </w:p>
    <w:p>
      <w:pPr>
        <w:spacing w:after="0" w:line="51"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iQIYI, our controlled subsidiary listed on the Nasdaq Global Select Market, had experienced a working capital deficit as of December 31, 2023, 2024 and 2025. There is no assurance that iQIYI will be able to improve its working capital position and achieve working capital surplus, although iQIYI will take actions to manage its working capital. In December 2022, iQIYI issued US$500 million convertible senior notes due January 2028 to PAGAC IV-1 (Cayman) Limited, PAG Pegasus Fund LP and/or their affiliates, collectively referred to as PAG in this annual report. In February 2023, iQIYI issued to PAG an additional US$50 million principal amount of such notes upon its exercise to subscribe for additional notes in full. In January 2023, iQIYI completed a registered follow-on public offering of iQIYI’s ordinary shares in the form of ADSs and received net proceeds of US$500 million in aggregate. In March 2023, iQIYI completed an offering of US$600 million in aggregate principal amount of 6.50% convertible senior notes due March 2028, or the iQIYI 2028 Convertible Notes. In February 2025, iQIYI completed an offering of US$350 million in aggregate principal amount of 4.625% convertible senior notes due March 2030, or the iQIYI 2030 Convertible Notes. There can be no assurance that iQIYI will be able to raise additional equity or debt financing on terms that are acceptable to iQIYI in the future. Any failure to do so as and when necessary could materially adversely affect iQIYI’s liquidity, results of operations, financial condition and ability to operate. In addition, when iQIYI obtains additional financing by issuing and selling additional equity or equity-linked securities, such as convertible bonds, our interest in iQIYI will be diluted.</w:t>
      </w:r>
    </w:p>
    <w:p>
      <w:pPr>
        <w:spacing w:after="0" w:line="294" w:lineRule="exact"/>
        <w:rPr>
          <w:sz w:val="20"/>
          <w:szCs w:val="20"/>
          <w:color w:val="auto"/>
        </w:rPr>
      </w:pPr>
    </w:p>
    <w:p>
      <w:pPr>
        <w:jc w:val="both"/>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iQIYI operates in a capital intensive industry and requires a significant amount of cash to fund its operations, content acquisitions and technology investments. If iQIYI cannot obtain sufficient capital, its business, financial condition and prospects may be materially and adversely affected.</w:t>
      </w:r>
    </w:p>
    <w:p>
      <w:pPr>
        <w:spacing w:after="0" w:line="51"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The operation of an internet video streaming platform requires significant and continuous investment in content and technology. Producing high-quality original content is costly and time-consuming and will typically take a long period of time to realize returns on investment, if at all. To date, iQIYI has financed its operations primarily with net cash generated from financing activities such as placements of shares, convertible senior notes and asset-based securities, bank loans, and the proceeds from its initial public offering and offering of securities. In order to implement its growth strategies, iQIYI will incur additional capital in the future to cover, among others, costs to produce and license content. iQIYI may need to obtain additional financing, including equity offerings or debt financing, to fund the operation and expansion of business. iQIYI’s ability to obtain additional financing in the future, however, is subject to a number of uncertainties, including those relating to:</w:t>
      </w:r>
    </w:p>
    <w:p>
      <w:pPr>
        <w:spacing w:after="0" w:line="94" w:lineRule="exact"/>
        <w:rPr>
          <w:sz w:val="20"/>
          <w:szCs w:val="20"/>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iQIYI’s future business development, financial condition and results of operations;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 for financing activities by companies in iQIYI’s industry;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and other conditions in Chinese mainland and elsewhere.</w:t>
      </w:r>
    </w:p>
    <w:p>
      <w:pPr>
        <w:spacing w:after="0" w:line="225" w:lineRule="exact"/>
        <w:rPr>
          <w:sz w:val="20"/>
          <w:szCs w:val="20"/>
          <w:color w:val="auto"/>
        </w:rPr>
      </w:pPr>
    </w:p>
    <w:p>
      <w:pPr>
        <w:jc w:val="both"/>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As a public company with a growing business, iQIYI expects to increasingly rely on net cash provided by operating activities, financing through capital markets and commercial banks for its liquidity needs. However, iQIYI cannot assure you that it will be successful in its efforts to further diversify its sources of liquidity and obtain financing. In addition, certain financing may pose additional capital needs on iQIYI, for example, the potential redemption by holders of iQIYI’s convertible notes. Further, inability to maintain liquidity or solvency might result in default under iQIYI’s existing indebtedness, which would pose additional repayment needs and negatively impact iQIYI’s ability to raise more funds through new financing. Moreover, deterioration in global economic conditions or escalation of geopolitical conflicts may adversely impact iQIYI’s ability to secure additional financing. If iQIYI cannot obtain sufficient capital to meet its capital needs, iQIYI may not be able to execute its growth strategies and its business, financial condition and prospects may be materially and adversely affected.</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140"/>
          </w:cols>
          <w:pgMar w:left="320" w:top="482" w:right="4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results of operations may fluctuate, which makes our results difficult to predict and could cause our results to fall short of expectations.</w:t>
      </w:r>
    </w:p>
    <w:p>
      <w:pPr>
        <w:spacing w:after="0" w:line="121" w:lineRule="exact"/>
        <w:rPr>
          <w:sz w:val="20"/>
          <w:szCs w:val="20"/>
          <w:color w:val="auto"/>
        </w:rPr>
      </w:pPr>
    </w:p>
    <w:p>
      <w:pPr>
        <w:jc w:val="both"/>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Our results of operations may fluctuate as a result of a number of factors, many of which are beyond our control. For these reasons, comparing our results of operations on a period-to-period basis may not be meaningful, and you should not rely on our past results as an indication of our future performance. Our quarterly and annual revenues and costs and expenses as a percentage of our revenues may be significantly different from our historical or projected figures. Our results of operations in future quarters may fall below expectations. We have ceased or downsized certain of our business, such as games and education, in the past year due to the changing business and regulatory environment in China, which had an adverse effect on our financial results. We cannot assure you that similar cessation or downsize of business will not take place in the future, and our financial results may be adversely affected. Any of the foregoing could cause the price of our ADSs to fall. Any of the risk factors listed in this “Risk Factors” section, and in particular the following factors, could cause our results of operations to fluctuate from quarter to quarter:</w:t>
      </w:r>
    </w:p>
    <w:p>
      <w:pPr>
        <w:spacing w:after="0" w:line="97" w:lineRule="exact"/>
        <w:rPr>
          <w:sz w:val="20"/>
          <w:szCs w:val="20"/>
          <w:color w:val="auto"/>
        </w:rPr>
      </w:pPr>
    </w:p>
    <w:p>
      <w:pPr>
        <w:ind w:left="1080" w:right="2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in China and economic conditions specific to the internet, internet search and feed, and online marketing industries;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attract users to our platform despite the emergence of mobile apps and other services;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existing customers, attract additional customers and increase spending per customer;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announcement or introduction of new or enhanced products and services by us or our competitors;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new technology by us or our competitors;</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operating costs and capital expenditures related to the maintenance and expansion of our businesses, operations and infrastructure;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acquisitions of, or investments in, other businesses or assets;</w:t>
      </w:r>
    </w:p>
    <w:p>
      <w:pPr>
        <w:spacing w:after="0" w:line="130" w:lineRule="exact"/>
        <w:rPr>
          <w:rFonts w:ascii="Times New Roman" w:cs="Times New Roman" w:eastAsia="Times New Roman" w:hAnsi="Times New Roman"/>
          <w:sz w:val="18"/>
          <w:szCs w:val="18"/>
          <w:color w:val="auto"/>
        </w:rPr>
      </w:pPr>
    </w:p>
    <w:p>
      <w:pPr>
        <w:jc w:val="both"/>
        <w:ind w:left="1080" w:right="20" w:hanging="424"/>
        <w:spacing w:after="0" w:line="266"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Chinese mainland’s regulations or government actions pertaining to activities on the internet, including various forms of entertainment, online payment and activities otherwise affecting our online marketing customers, and those relating to the products and services we provide;</w:t>
      </w:r>
    </w:p>
    <w:p>
      <w:pPr>
        <w:spacing w:after="0" w:line="81"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events, such as negative publicity arising from widespread media coverage and other sources and labor disputes, or unexpected cessation or downsize of existing business;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events, natural disasters or epidemics.</w:t>
      </w:r>
    </w:p>
    <w:p>
      <w:pPr>
        <w:spacing w:after="0" w:line="225"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Because of the rapid growth of our business, our historical results of operations may not be useful to you in predicting our future results of operations. Our user traffic tends to be seasonal. For example, we generally experience less user traffic during public holidays and other special event periods in China. In addition, advertising and other marketing spending in China has historically been cyclical, reflecting overall economic conditions as well as budgeting and buying patterns. As we continue to grow, we expect that the cyclicality and seasonality in our business may cause our results of operations to fluctuate.</w:t>
      </w:r>
    </w:p>
    <w:p>
      <w:pPr>
        <w:spacing w:after="0" w:line="287" w:lineRule="exact"/>
        <w:rPr>
          <w:sz w:val="20"/>
          <w:szCs w:val="20"/>
          <w:color w:val="auto"/>
        </w:rPr>
      </w:pPr>
    </w:p>
    <w:p>
      <w:pPr>
        <w:jc w:val="both"/>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severe and prolonged downturn in the Chinese or global economy could materially and adversely affect our business, results of operations and financial condition.</w:t>
      </w:r>
    </w:p>
    <w:p>
      <w:pPr>
        <w:spacing w:after="0" w:line="51"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The growth rate of the Chinese economy has been slowing since 2010 and the Chinese population began to decline in 2022. The Russia-Ukraine conflict, the Hamas-Israel conflict and the attacks on shipping in the Red Sea have heightened geopolitical tensions across the world. The impact of the Russia-Ukraine conflict on Ukraine food exports has contributed to increases in food prices and thus to inflation more generally. There have also been concerns about the relationship between China and other countries which may potentially have economic effects. In particular, there is significant uncertainty about the future relationship between the United States and China with respect to a wide range of issues including trade policies, treaties, government regulations and tariffs. Economic conditions in China are sensitive to global economic conditions, as well as changes in domestic economic and political policies and the expected or perceived overall economic growth rate in China. In addition, SMEs as our customers are more vulnerable to changes in macroeconomic conditions. If macroeconomic conditions deteriorate, SMEs may be directly hit, which in turn may lead to higher default rates or decreasing borrowings. As a result, any severe or prolonged slowdown in the global or Chinese economy may materially and adversely affect our business, results of operations and financial condition.</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40"/>
          </w:cols>
          <w:pgMar w:left="320" w:top="482" w:right="4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both"/>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Rising international political tensions, including changes in U.S. and international trade policies and investment related regulations, particularly with regard to China, may adversely impact our business and operating results.</w:t>
      </w:r>
    </w:p>
    <w:p>
      <w:pPr>
        <w:spacing w:after="0" w:line="5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U.S. government has made statements and taken certain actions that may lead to changes in U.S. and international trade policies towards China. It remains unclear what additional actions, if any, will be taken by the U.S. or other governments with respect to international trade agreements, the imposition of tariffs on goods imported into the United States, tax policy related to international commerce, or other trade matters.</w:t>
      </w:r>
    </w:p>
    <w:p>
      <w:pPr>
        <w:spacing w:after="0" w:line="176"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We are closely monitoring potential changes in U.S. trade policy and assessing the potential impact of these and other trade policy changes on our business operations and financial performance. For example, since early 2025, the U.S. has implemented significant changes to U.S. trade policy with China, including by imposing additional tariffs on Chinese imports. There remains considerable uncertainty regarding future tariff rates and the trajectory of U.S.-China trade relations. The continued tensions and the prospect of escalating tariffs could potentially impact the Chinese economy. While cross-border business is not a primary area of focus for us, any unfavorable government policies on international trade, such as capital controls or tariffs, may affect the demand for our products and services, the competitive position of our products, or prevent us from selling products in certain countries. If any new tariffs, legislation and/or regulations are implemented, existing trade agreements are renegotiated or, in particular, the U.S. government takes further actions due to ongoing U.S.-China trade tensions, such changes could have an adverse effect on our business, financial condition, and results of operations.</w:t>
      </w:r>
    </w:p>
    <w:p>
      <w:pPr>
        <w:spacing w:after="0" w:line="188"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In addition, we have been closely monitoring policies in the United States designed to restrict certain Chinese companies from supplying or operating in the U.S. market. These policies include the Clean Network project initiated by the U.S. Department of State in August 2020, the Executive Order on Protecting America’s Sensitive Data from Foreign Adversaries published in June 2021, and new authorities granted to the Department of Commerce to prohibit or restrict the use of certain information and communications technology and services from Chinese companies. Utilizing these new authorities, in January 2025, the Department of Commerce Bureau of Industry and Security (BIS) announced a final rule prohibiting transactions involving the sale or import of connected vehicles when the integrated software has a sufficient nexus to China. Additionally, the U.S. Department of Defense has included dozens of prominent Chinese companies on its list of “Chinese military companies” (CMC) that are “operating directly or indirectly in the United States” in accordance with Section 1260H of the National Defense Authorization Act. Furthermore, entities on the CMC list and their subsidiaries are currently prohibited from receiving contracts or other funding from the U.S. Department of Homeland Security. Effective June 30, 2026, entities on this list and their controlled affiliates will be prohibited from entering into contracts with the U.S. Department of Defense for the procurement of goods, services, or technology. As of June 30, 2027, the U.S. Department of Defense will be prohibited from purchasing goods or services produced or developed by entities on the list indirectly through third parties.</w:t>
      </w:r>
    </w:p>
    <w:p>
      <w:pPr>
        <w:spacing w:after="0" w:line="190"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While a substantial majority of our business is conducted in Chinese mainland, policies like these may deter U.S. users from accessing and/or using our search engine, apps and other products in the United States, which could adversely impact our user experience and reputation. Similarly, India has, since 2020, permanently banned a large number of apps, many of which are China-based (including our apps), based on national security concerns and escalating regional political and trade tensions. Such government measures, and potential subsequent developments, are beyond our control, and could have a negative effect on our business.</w:t>
      </w:r>
    </w:p>
    <w:p>
      <w:pPr>
        <w:spacing w:after="0" w:line="183" w:lineRule="exact"/>
        <w:rPr>
          <w:sz w:val="20"/>
          <w:szCs w:val="20"/>
          <w:color w:val="auto"/>
        </w:rPr>
      </w:pPr>
    </w:p>
    <w:p>
      <w:pPr>
        <w:jc w:val="both"/>
        <w:ind w:left="120" w:firstLine="440"/>
        <w:spacing w:after="0" w:line="252" w:lineRule="auto"/>
        <w:rPr>
          <w:sz w:val="20"/>
          <w:szCs w:val="20"/>
          <w:color w:val="auto"/>
        </w:rPr>
      </w:pPr>
      <w:r>
        <w:rPr>
          <w:rFonts w:ascii="Times New Roman" w:cs="Times New Roman" w:eastAsia="Times New Roman" w:hAnsi="Times New Roman"/>
          <w:sz w:val="18"/>
          <w:szCs w:val="18"/>
          <w:color w:val="auto"/>
        </w:rPr>
        <w:t>Likewise, we are monitoring policies in the United States aimed at restricting the export of items and technology subject to U.S. jurisdiction to Chinese companies. The United States and various foreign governments have imposed license requirements and restrictions on the export of technologies and products to China, or voiced the intention to do so. For instance, since 2022, the United States has imposed increasingly strict export control measures relating to exports of semiconductors to China. In October 2023, BIS promulgated two new rules that expanded export controls to cover a broader array of advanced semiconductors and semiconductor manufacturing equipment. The rules also introduced end-use controls for any company headquartered in China or whose ultimate parent is headquartered in China, and established new licensing requirements for additional countries. Similarly, in January 2025, BIS released an interim final rule that established licensing requirements for the export of advanced computing integrated circuits that facilitate advanced artificial intelligence (AI) research and development, as well as certain AI model technology. The rule prohibits the export of such items to any company headquartered in China or whose ultimate parent is located in China. These measures also restrict the ability of U.S. persons to provide “support” for semiconductor manufacturing and related activities in China and may seriously affect the ability of Chinese companies to purchase or obtain certain semiconductor manufacturing equipment or advanced chips. We have invested significant resources in the research and development of AI technology and expect this element to be a driver for our future growth. However, the introduction of a series of export control measures in recent years could potentially impose limitations on our access to advanced semiconductor technologies, which may hinder the process of the research and development of our AI technology and capabilities. In particular, these procurement limitations also directly threaten the competitiveness and reliability of our cloud services. If we are unable to procure sufficient quantities of chips with advanced semiconductors due to export controls, we may face significant challenges, including capacity constraints, increased costs and reduced performance. As a result, our future business, operating results, and our financial performance may be materially and adversely affected.</w:t>
      </w:r>
    </w:p>
    <w:p>
      <w:pPr>
        <w:spacing w:after="0" w:line="1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140"/>
          </w:cols>
          <w:pgMar w:left="320" w:top="482" w:right="4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United States has also taken efforts to limit U.S. investment in China. On October 28, 2024, the U.S. Department of the Treasury issued a final rule to prohibit U.S. investment in Chinese companies active in developing certain national security technologies (Outbound Investment Rule). The Outbound Investment Rule targets investments involving persons and entities associated with “countries of concern,” a designation currently limited to China. In effect since January 2025, the Outbound Investment Rule imposes investment prohibitions and notification requirements on a range of investments in companies engaged in activities relating to three sectors: (i) semiconductors and microelectronics, (ii) quantum technologies, and</w:t>
      </w:r>
    </w:p>
    <w:p>
      <w:pPr>
        <w:spacing w:after="0" w:line="3" w:lineRule="exact"/>
        <w:rPr>
          <w:sz w:val="20"/>
          <w:szCs w:val="20"/>
          <w:color w:val="auto"/>
        </w:rPr>
      </w:pPr>
    </w:p>
    <w:p>
      <w:pPr>
        <w:jc w:val="both"/>
        <w:ind w:left="120" w:hanging="4"/>
        <w:spacing w:after="0" w:line="253" w:lineRule="auto"/>
        <w:tabs>
          <w:tab w:leader="none" w:pos="44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artificial intelligence systems. Persons from countries of concern engaged in these activities are defined as “covered foreign persons.” Investments by U.S. persons subject to the Outbound Investment Rule include the acquisition of equity or a contingent equity interest, the provision of certain debt financing, the conversion of contingent equity interest into equity interest, involvement in a greenfield or brownfield investment, entrance into a joint venture, and the acquisition of a limited partner interest in non-U.S. pooled investment fund. Separately, the United States has also restricted U.S. persons from investing in publicly traded securities of “Chinese Military-Industrial Complex” companies identified by the Treasury Department.</w:t>
      </w:r>
    </w:p>
    <w:p>
      <w:pPr>
        <w:spacing w:after="0" w:line="187" w:lineRule="exact"/>
        <w:rPr>
          <w:sz w:val="20"/>
          <w:szCs w:val="20"/>
          <w:color w:val="auto"/>
        </w:rPr>
      </w:pPr>
    </w:p>
    <w:p>
      <w:pPr>
        <w:jc w:val="both"/>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Outbound Investment Rule and Chinese Military-Industrial Complex restrictions are aimed at exerting greater U.S. government oversight of U.S. direct and indirect investments involving China, and they may introduce new hurdles and uncertainties for cross-border collaborations, investments, and funding opportunities of China-based companies. Importantly, the Outbound Investment Rule excludes some investments from the scope of covered transactions, including those in publicly traded securities listed on a national stock exchange. U.S. persons’ acquisitions of publicly traded securities, such as our ADSs, will therefore be exempted from the scope of covered transactions under the Outbound Investment Rule. But if we are deemed to be a covered foreign person engaged in the development of specified AI technologies and services, and therefore subject to the Outbound Investment Rule, our ability to raise capital or contingent equity capital from U.S. investors would be limited and could negatively affect our stock price. As a result, our financial condition, business, results of operations and prospects could also be adversely affected.</w:t>
      </w:r>
    </w:p>
    <w:p>
      <w:pPr>
        <w:spacing w:after="0" w:line="192"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On February 21, 2025, the White House released the “America First Investment Policy” memorandum, or the Investment Policy, which outlined several initiatives to restrict investments involving China. While legislative and regulatory actions are required to effect these proposed changes, the Investment Policy may expand enforcement against inbound investment from China to the United States by potentially implementing broader, sector-based restriction on PRC investments in the U.S., expanding CFIUS’ jurisdiction over greenfield investment by Chinese companies, and replacing open-ended mitigation agreements with mitigation agreements prescribing specific timeframes and concrete actions. Additionally, the Investment Policy proposes to create restrictions on U.S. investments in China additional to those already imposed under the Outbound Investment Rule, by potentially expanding industry sectors covered in sectors by existing U.S. outbound investment regulations, supplementing outbound investment restrictions with sanctions, and directing a review to suspend or terminate the 1984 United States-The People’s Republic of China Income Tax Convention. As the Investment Policy and its related legislative and regulatory proposals are still relatively new, it is unclear how these policies, and any future policies concerning investments between the U.S. and China, will be interpreted, amended and implemented by U.S. government authorities. These policies may restrict our ability to implement our investment strategy and could adversely affect our business and prospects.</w:t>
      </w:r>
    </w:p>
    <w:p>
      <w:pPr>
        <w:spacing w:after="0" w:line="192"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In addition, on September 29, 2025, the U.S. Department of Commerce’s Bureau of Industry and Security (BIS) issued an immediately effective interim final rule that, among others, extends Entity List and Military End-User List restrictions to entities that are 50% or more owned, directly or indirectly, by parties designated on those lists. This rule is currently suspended for one year. If implemented, these measures are expected to have significant impact on the targeted countries, markets and/or entities, making compliance more complicated and time-consuming and increasing the risk of inadvertent omissions.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140"/>
          </w:cols>
          <w:pgMar w:left="320" w:top="482" w:right="4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Measures such as these could deter suppliers in the United States and/or other countries that impose export controls and other restrictions from providing technologies and products to, making investments in, or otherwise engaging in transactions with Chinese companies. As a result, Chinese companies may have to identify and secure alternative supplies or sources of financing, which they may not be able to do so in a timely manner and at commercially acceptable terms, or at all. In addition, Chinese companies may have to limit and reduce their research and development and other business activities, or cease conducting transactions, with parties in the United States and other countries that impose export controls or other restrictions. Like other Chinese companies, our business, financial condition and results of operations could be adversely affected as a result.</w:t>
      </w:r>
    </w:p>
    <w:p>
      <w:pPr>
        <w:spacing w:after="0" w:line="291" w:lineRule="exact"/>
        <w:rPr>
          <w:sz w:val="20"/>
          <w:szCs w:val="20"/>
          <w:color w:val="auto"/>
        </w:rPr>
      </w:pPr>
    </w:p>
    <w:p>
      <w:pPr>
        <w:jc w:val="both"/>
        <w:ind w:left="120"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Failure to retain key third-party agents or attract additional third-party agents, or termination of our relationship with third-party agents could materially and adversely affect our business. Moreover, there is no assurance that our direct sales model in some key geographic markets will continue to be successful.</w:t>
      </w:r>
    </w:p>
    <w:p>
      <w:pPr>
        <w:spacing w:after="0" w:line="67"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We rely, to a large extent, on a nationwide distribution network of third-party agents for our sales to, and collection of payment from, our customers. The operations and conduct of such third-party agents are beyond our control. They may fail to provide quality services to our customers or otherwise breach their contracts with our customers, or experience operational or financial difficulties or run out of business, or engage in misconduct with respect to our sales and our customers. If any of the foregoing issues arise, we may terminate our relationship with third-party agents, lose customers and our results of operations may be materially and adversely affected. In addition, since most of third-party agents are not bound by long-term contracts, we cannot assure you that we will continue to maintain favorable relationships with them. If we fail to retain key third-party agents or attract additional ones on terms that are commercially reasonable, our business and results of operations could be materially and adversely affected. We may decide to terminate existing third-party agents and transition to new ones or to our own distribution channel. If we decide and fail to smoothly transition our business to new third-party agents or to our own distribution channel, our business and results of operations could be materially and adversely affected.</w:t>
      </w:r>
    </w:p>
    <w:p>
      <w:pPr>
        <w:spacing w:after="0" w:line="194"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have transitioned to using our direct sales force to serve customers in some key geographic markets, such as Beijing, Shanghai and other cities. There is no assurance that our direct sales model in those markets will continue to be successful. If we fail to maintain an adequate direct sales force, retain existing customers and continue to attract new customers in those markets, our business, results of operations and prospects could be materially and adversely affected.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detect or prevent misconduct committed by our employees or third parties.</w:t>
      </w:r>
    </w:p>
    <w:p>
      <w:pPr>
        <w:spacing w:after="0" w:line="121"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Misconduct by our employees, such as unauthorized business transactions, bribery, corruption and breach of our internal policies and procedures, or by consultants or other third parties, such as breach of law, may be difficult to detect or prevent. It could subject us to financial loss and sanctions imposed by government authorities while seriously damaging our reputation. This may also impair our ability to effectively attract prospective users, develop customer loyalty, obtain financing on favorable terms and conduct other business activities. Our risk management systems, information technology systems and internal control procedures are designed to monitor our operations and overall compliance. Historically we have identified certain incidents of employee and third-party misconduct. Although we have zero tolerance towards any illegal activities and have put in place internal policies and procedures against employee misconduct, however, there can be no assurance we will be able to identify non-compliance or illegal activities promptly, or at all. Furthermore, it is not always possible to detect and prevent misconduct committed by our employees or third parties, and the precautions we take to prevent and detect such activities may not be effective. This may materially and adversely affect our business, brand, financial condition and results of operations.</w:t>
      </w:r>
    </w:p>
    <w:p>
      <w:pPr>
        <w:spacing w:after="0" w:line="298" w:lineRule="exact"/>
        <w:rPr>
          <w:sz w:val="20"/>
          <w:szCs w:val="20"/>
          <w:color w:val="auto"/>
        </w:rPr>
      </w:pPr>
    </w:p>
    <w:p>
      <w:pPr>
        <w:jc w:val="both"/>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Baidu Union partners for a significant portion of our revenue. If we fail to retain existing Baidu Union partners or attract additional members, our revenue growth and profitability may be adversely affected.</w:t>
      </w:r>
    </w:p>
    <w:p>
      <w:pPr>
        <w:spacing w:after="0" w:line="51"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We pay Baidu Union partners a portion of our revenue as we leverage traffic of the Baidu Union partners’ internet properties. Some of Baidu Union partners, however, may compete with us in one or more areas of our business. Therefore, they may decide in the future to terminate their relationships with us. If Baidu Union partners decide to use a competitor’s or their own internet search services, or if our competitors offer more attractive prices to bid for union traffic, our user traffic may decline, which may adversely affect our revenue. If we fail to attract additional Baidu Union partners, our revenue growth may be adversely affected. In addition, if we have to share a larger portion of our revenue to retain existing Baidu Union partners or attract additional partners, our profitability may be adversely affected.</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140"/>
          </w:cols>
          <w:pgMar w:left="320" w:top="482" w:right="4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overseas operations may not be successful.</w:t>
      </w:r>
    </w:p>
    <w:p>
      <w:pPr>
        <w:spacing w:after="0" w:line="121"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We have launched products and services in local languages to internet users in several countries. It is uncertain when the operation will become profitable, if at all. In particular, we rely on local telecommunication operators and service providers to provide us with network services and data center hosting services, and our systems for these international products and services are not redundant across different regions and data centers. Any interruption to the internet infrastructure or any data center may render our products and services in the region unavailable.</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face certain risks inherent in doing business internationally, including:</w:t>
      </w:r>
    </w:p>
    <w:p>
      <w:pPr>
        <w:spacing w:after="0" w:line="131" w:lineRule="exact"/>
        <w:rPr>
          <w:sz w:val="20"/>
          <w:szCs w:val="20"/>
          <w:color w:val="auto"/>
        </w:rPr>
      </w:pPr>
    </w:p>
    <w:p>
      <w:pPr>
        <w:ind w:left="1080" w:right="2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developing, staffing and simultaneously managing a foreign operation as a result of distance, language and cultural differences;</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formulating effective local sales and marketing strategies targeting users from various jurisdictions and cultures, who have a diverse range of preferences and demands;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identifying appropriate local business partners and establishing and maintaining good working relationships with them;</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local platforms in marketing our international products and services overseas;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selecting suitable geographical regions for international business;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customer payment cycles;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exchange rate fluctuations;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or social unrest or economic instability;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applicable foreign laws and regulations and unexpected changes in laws or regulations;</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different tax jurisdictions that may subject us to greater fluctuations in our effective tax rate and potentially adverse tax consequences;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associated with doing business in foreign jurisdictions.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One or more of these factors could harm our overseas operations and consequently, could harm our overall results of operations.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 and goodwill could adversely affect our financial condition and results of operations.</w:t>
      </w:r>
    </w:p>
    <w:p>
      <w:pPr>
        <w:spacing w:after="0" w:line="121"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In 2025, we recorded impairment of long-lived assets of RMB16.2 billion (US$2.3 billion). The assessment of potential impairment requires management to make estimates and assumptions, including revenue growth rates and discount rate. These estimates involve significant judgment and are subject to inherent uncertainties. Should actual results or market conditions differ from these assumptions in future periods, whether due to changes in macroeconomic conditions, increased competition, adverse regulatory developments, changes in business strategy, or shifts in technology that render certain assets less valuable, additional material impairment charges may be recorded, which could materially adversely affect our financial condition and results of operations.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140"/>
          </w:cols>
          <w:pgMar w:left="320" w:top="482" w:right="4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also carry a significant amount of goodwill on our balance sheet. We recorded goodwill of RMB36.8 billion (US$5.3 billion) as of December 31, 2025. Although no goodwill impairment was recorded as of December 31, 2025, future events or changes in circumstances—such as deterioration in our operating performance, increased competitive pressures, or the occurrence of other adverse conditions—could result in an impairment charge. Furthermore, the conditions that gave rise to the recent long-lived asset impairment could similarly lead to a future impairment of goodwill. Any future impairment of goodwill could materially and adversely affect our financial condition and results of operations.</w:t>
      </w:r>
    </w:p>
    <w:p>
      <w:pPr>
        <w:spacing w:after="0" w:line="287" w:lineRule="exact"/>
        <w:rPr>
          <w:sz w:val="20"/>
          <w:szCs w:val="20"/>
          <w:color w:val="auto"/>
        </w:rPr>
      </w:pPr>
    </w:p>
    <w:p>
      <w:pPr>
        <w:jc w:val="both"/>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adapt or expand our existing technology infrastructure to accommodate greater traffic, content or additional customer requirements, our business may be harmed.</w:t>
      </w:r>
    </w:p>
    <w:p>
      <w:pPr>
        <w:spacing w:after="0" w:line="51"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Our Baidu platform regularly serves a large number of users and customers and delivers a large number of daily page views. Our technology infrastructure is highly complex and may not provide satisfactory service in the future, especially as the number of users and customers increases. We may be required to upgrade our technology infrastructure to keep up with the increasing traffic on our Baidu platform, such as increasing the capacity of our servers and the sophistication of our software. If we fail to adapt our technology infrastructure to accommodate greater traffic or customer requirements, our users and customers may become dissatisfied with our services and switch to our competitors’ websites, which could harm our business.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we fail to detect fraudulent click-throughs, our customers’ confidence in us could be damaged and our revenue could decline.</w:t>
      </w:r>
    </w:p>
    <w:p>
      <w:pPr>
        <w:spacing w:after="0" w:line="121"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We are exposed to the risk of click-through fraud on our paid search results. Click-through fraud occurs when a person clicks paid search results for a reason other than to view the underlying content of search results. Although our anti-spam algorithms and tools can identify and respond to spam web pages quickly and effectively and thus capture and prevent some fraudulent click-throughs, there is no assurance that our anti-spam technology is able to detect and stop all fraudulent click-throughs. If we fail to detect fraudulent clicks or otherwise are unable to prevent this fraudulent activity, the affected customers may experience a reduced return on investment in our online marketing services and lose confidence in the effectiveness of our services, and we may issue refunds to our customers. If this happens, we may be unable to retain existing customers or attract new customers for our online marketing services, and our online marketing revenue could decline. In addition, affected customers may also file legal actions against us claiming that we have over-charged or failed to refund them. Any such claims or similar claims, regardless of their merits, could be time-consuming and costly for us to defend against and could also adversely affect our brand and our customers’ confidence in the effectiveness of our services. We experienced a number of incidents involving fraudulent click-throughs in recent years. Although the amount of revenue involved in these incidents was immaterial, such cases of fraudulent click-throughs, if occurring on a large-scale and widespread manner, may damage the reputation of our search ecosystem.</w:t>
      </w:r>
    </w:p>
    <w:p>
      <w:pPr>
        <w:spacing w:after="0" w:line="294" w:lineRule="exact"/>
        <w:rPr>
          <w:sz w:val="20"/>
          <w:szCs w:val="20"/>
          <w:color w:val="auto"/>
        </w:rPr>
      </w:pPr>
    </w:p>
    <w:p>
      <w:pPr>
        <w:jc w:val="both"/>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successful operation of our business depends upon the performance and reliability of the internet infrastructure and fixed telecommunications networks in China.</w:t>
      </w:r>
    </w:p>
    <w:p>
      <w:pPr>
        <w:spacing w:after="0" w:line="51"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Our business depends on the performance and reliability of the internet infrastructure in China. Almost all access to the internet is maintained through state-owned telecommunication operators under the administrative control and regulatory supervision of the PRC Ministry of Industry and Information Technology, or the MIIT. In addition, the national networks in Chinese mainland are connected to the internet through international gateways controlled by the PRC government. These international gateways are the only channels through which a domestic user can connect to the internet. It is unpredictable whether a more sophisticated internet infrastructure will be developed in Chinese mainland. We may not have access to alternative networks in the event of disruptions, failures or other problems with Chinese mainland’s internet infrastructure. In addition, the internet infrastructure in Chinese mainland may not support the demands associated with continued growth in internet usage.</w:t>
      </w:r>
    </w:p>
    <w:p>
      <w:pPr>
        <w:spacing w:after="0" w:line="189"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We rely heavily on China Telecommunications Corporation, China United Network Communications Group Company Limited, and China Mobile Communications Corporation to provide us with network services and data center hosting services. We have entered into contracts with various local branches or subsidiaries of China Telecommunications Corporation, China United Network Communications Group Company Limited and China Mobile Communications Corporation to obtain data communications capacity. We have limited access to alternative services in the event of disruptions, failures or other problems with the fixed telecommunications networks of these companies, or if these companies otherwise fail to provide the services. Any unscheduled service interruption could damage our reputation and result in a decrease in our revenue. Furthermore, we have no control over the costs of the services provided by these telecommunication companies. If the prices that we pay for telecommunications and internet services rise significantly, our gross margins could be adversely affected. In addition, if internet access fees or other charges to internet users increase, our user traffic may decrease, which in turn may harm our revenue.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140"/>
          </w:cols>
          <w:pgMar w:left="320" w:top="482" w:right="4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both"/>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Security breaches and improper access to or disclosure of our data or user data, or any system failure or compromise of our security, could harm our reputation and adversely affect our business.</w:t>
      </w:r>
    </w:p>
    <w:p>
      <w:pPr>
        <w:spacing w:after="0" w:line="51"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Our business is prone to cyber-attacks seeking unauthorized access to our data or user data or to disrupt our ability to provide services. Any failure to prevent or mitigate security breaches and improper access to or disclosure of our data or user data, such as personal information, including names, accounts, user IDs and passwords, and payment or transaction related information, could result in the loss or misuse of such data, which could cause a loss or give rise to liabilities to the owners of confidential information, such as our users, customers, third-party agents, content providers and Baidu Union partners, subject us to penalties imposed by administrative authorities, and disrupt our operations. For example, Baidu Drive provides services to many individual users who may upload sensitive personal information and documents of significance to Baidu Drive. In the event of an unauthorized access, such information and documents might be leaked or even further sold through illegal means. In addition, computer malware, viruses, social engineering (predominantly spear phishing attacks), and general hacking have become more prevalent in our industry, have occurred on our systems in the past, and may occur again on our systems in the future. We also regularly encounter attempts to create false or undesirable user accounts, purchase ads, or take other actions on our platform for purposes such as spamming, spreading misinformation, or other objectionable ends. As a result of our prominence, the size of our user base, and the types and volume of personal data on our systems, we believe that we are a particularly attractive target for such breaches and attacks. Such attacks may cause interruptions to the services we provide, degrade the user experience, cause users or customers to lose confidence and trust in our products and services, impair our internal systems, or result in financial harm to us.</w:t>
      </w:r>
    </w:p>
    <w:p>
      <w:pPr>
        <w:spacing w:after="0" w:line="187"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have adopted strict information security policies and deployed advanced measures to implement the policies, including, among others, advanced encryption technologies. However, we may not be able to implement adequate preventative measures or prevent compromises or breaches of our preventative measures due to the evolution of the sophistication of cyber-attacks, advances in technology, an increased level of sophistication and diversity of our products and services, an increased level of expertise of hackers, new discoveries in the field of cryptography or others, software bugs or other technical malfunctions, employee, contractor, or vendor error or malfeasance, government surveillance, or other evolving threats. As a result, we may incur significant costs in protecting against or remediating cyber-attacks.</w:t>
      </w:r>
    </w:p>
    <w:p>
      <w:pPr>
        <w:spacing w:after="0" w:line="187"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 addition, some of our developers or other partners, such as those that help us measure the effectiveness of advertisements, may receive or store information provided by us or by our users through mobile or web applications integrated with our products. We provide limited information to such third parties based on the scope of services provided to us. However, if these third parties fail to adopt or adhere to adequate data security practices, or in the event of a breach of their networks, our data or our users’ data may be improperly accessed, used, or disclosed.</w:t>
      </w:r>
    </w:p>
    <w:p>
      <w:pPr>
        <w:spacing w:after="0" w:line="180"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Affected users or government authorities could initiate legal or regulatory actions against us in connection with any actual or perceived security breaches or improper disclosure of data, which could cause us to incur significant expense and liabilities or result in orders or consent decrees forcing us to modify our business practices. Such incidents or our efforts to remediate such incidents may also result in a decline in our user base or engagement levels. Any of these events could have a material and adverse effect on our business, reputation, or results of operations.</w:t>
      </w:r>
    </w:p>
    <w:p>
      <w:pPr>
        <w:spacing w:after="0" w:line="284" w:lineRule="exact"/>
        <w:rPr>
          <w:sz w:val="20"/>
          <w:szCs w:val="20"/>
          <w:color w:val="auto"/>
        </w:rPr>
      </w:pPr>
    </w:p>
    <w:p>
      <w:pPr>
        <w:jc w:val="both"/>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Defects or errors in our products or services could diminish demand for our products or services, harm our business and results of operations and subject us to liability.</w:t>
      </w:r>
    </w:p>
    <w:p>
      <w:pPr>
        <w:spacing w:after="0" w:line="51"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Our customers use our products for important aspects of their personal lives or businesses. Any errors, defects or disruptions to our products and any other performance problems with our products could damage our customers’ personal lives or businesses and, in turn, hurt our brand and reputation. We provide regular updates to our products, which have in the past contained, and may in the future contain, undetected errors, failures, vulnerabilities and bugs when first introduced or released. Real or perceived errors, failures or bugs in our products could result in negative publicity, loss of or delay in market acceptance of our platform, loss of competitive position, lower customer retention or claims by customers for losses sustained by them. In such an event, we may be required, or may choose, for customer relations or other reasons, to expend additional resources in order to help correct the problem. In addition, we may not carry insurance to compensate us for any losses that may result from claims arising from defects or disruptions in our products. As a result, our reputation and our brand could be harmed, and our business, results of operations and financial condition may be adversely affected.</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140"/>
          </w:cols>
          <w:pgMar w:left="320" w:top="482" w:right="4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both"/>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Concerns and unfavorable media coverage relating to our privacy practices could damage our reputation, deter current and potential users and customers from using our products and services and negatively impact our business.</w:t>
      </w:r>
    </w:p>
    <w:p>
      <w:pPr>
        <w:spacing w:after="0" w:line="51"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internet industry is facing significant challenges with respect to information security and privacy, including the storage, transmission and sharing of confidential information. The general public, our users, customers, third-party agents, content providers and Baidu Union partners are increasingly aware of the vulnerability of confidential and private information. We will continue to experience media or regulatory scrutiny of our actions or decisions regarding user privacy, content or advertising. Furthermore, concerns have been expressed from time to time about whether our products, services or processes could compromise the privacy of users and others.</w:t>
      </w:r>
    </w:p>
    <w:p>
      <w:pPr>
        <w:spacing w:after="0" w:line="183"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We transmit and store confidential and private information of our users, customers, third-party agents, content providers and Baidu Union partners, such as personal information, including names, accounts, user IDs and passwords, and payment or transaction related information. Historically there has been negative publicity or media reports making allegations about our practice, and we cannot rule out similar possibilities of such in the future. Although we strive to comply with all privacy related requirements, we cannot guarantee that our products or services are at all times without defect due to the complexity and rapid evolvement of technology, etc. Concerns about our practices with regard to the collection, use, disclosure, or security of personal information or other privacy related matters, and any negative publicity on our information safety or privacy protection mechanism and policy, even if unfounded, has in the past, and could adversely affect our business and results of operations and financial condition. Such concerns and negative publicity could damage our reputation and brand, and have an adverse effect on the size, engagement and loyalty of our user base, which could adversely affect our business and results.</w:t>
      </w:r>
    </w:p>
    <w:p>
      <w:pPr>
        <w:spacing w:after="0" w:line="292" w:lineRule="exact"/>
        <w:rPr>
          <w:sz w:val="20"/>
          <w:szCs w:val="20"/>
          <w:color w:val="auto"/>
        </w:rPr>
      </w:pPr>
    </w:p>
    <w:p>
      <w:pPr>
        <w:jc w:val="both"/>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 over financial reporting, we may lose investor confidence in the reliability of our financial statements.</w:t>
      </w:r>
    </w:p>
    <w:p>
      <w:pPr>
        <w:spacing w:after="0" w:line="51"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are subject to reporting obligations under the U.S. securities laws. The SEC, as required by Section 404 of the Sarbanes-Oxley Act of 2002, adopted rules requiring every public company to include a management report on the company’s internal control over financial reporting in its annual report, which contains management’s assessment of the effectiveness of its internal control over financial reporting. In addition, an independent registered public accounting firm must attest to and report on the effectiveness of the company’s internal control over financial reporting.</w:t>
      </w:r>
    </w:p>
    <w:p>
      <w:pPr>
        <w:spacing w:after="0" w:line="180"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Our management has concluded that our internal control over financial reporting was effective as of December 31, 2025. See “Item 15. Controls and Procedures.” Our independent registered public accounting firm has issued an attestation report, which has concluded that our internal control over financial reporting was effective in all material aspects as of December 31, 2025. However, if we fail to maintain an effective system of internal control over financial reporting in the future, our management and our independent registered public accounting firm may not be able to conclude that we have effective internal control over financial reporting at a reasonable assurance level. This could in turn result in loss of investor confidence in the reliability of our financial statements and negatively impact the trading price of our Class A ordinary shares and ADSs. Furthermore, we have incurred and anticipate that we will continue to incur considerable costs, management time and other resources in an effort to comply with Section 404 of the Sarbanes-Oxley Act and other requirements.</w:t>
      </w:r>
    </w:p>
    <w:p>
      <w:pPr>
        <w:spacing w:after="0" w:line="296" w:lineRule="exact"/>
        <w:rPr>
          <w:sz w:val="20"/>
          <w:szCs w:val="20"/>
          <w:color w:val="auto"/>
        </w:rPr>
      </w:pPr>
    </w:p>
    <w:p>
      <w:pPr>
        <w:jc w:val="both"/>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Termination or other changes of related party transactions in the ordinary course of business may have an adverse impact on our results of operations and financial performance.</w:t>
      </w:r>
    </w:p>
    <w:p>
      <w:pPr>
        <w:spacing w:after="0" w:line="51" w:lineRule="exact"/>
        <w:rPr>
          <w:sz w:val="20"/>
          <w:szCs w:val="20"/>
          <w:color w:val="auto"/>
        </w:rPr>
      </w:pPr>
    </w:p>
    <w:p>
      <w:pPr>
        <w:jc w:val="both"/>
        <w:ind w:left="120" w:firstLine="440"/>
        <w:spacing w:after="0" w:line="252" w:lineRule="auto"/>
        <w:rPr>
          <w:sz w:val="20"/>
          <w:szCs w:val="20"/>
          <w:color w:val="auto"/>
        </w:rPr>
      </w:pPr>
      <w:r>
        <w:rPr>
          <w:rFonts w:ascii="Times New Roman" w:cs="Times New Roman" w:eastAsia="Times New Roman" w:hAnsi="Times New Roman"/>
          <w:sz w:val="18"/>
          <w:szCs w:val="18"/>
          <w:color w:val="auto"/>
        </w:rPr>
        <w:t>Certain parties with which we transact may be deemed as our related parties by virtual of our equity interests in or significant influence over them. We have entered into transactions with these related parties in the ordinary course of business such as providing online marketing services and/or others to them. In 2023, 2024 and 2025, we had related party transactions of RMB4.5 billion, RMB2.7 billion and RMB2.1 billion (US$301 million) in aggregate, respectively, in connection with online marketing services and others provided to related parties in our ordinary course of business. Please refer to “Item 7. Major Shareholders and Related Party Transactions” for more details. However, such related party transactions may discontinue in the future for a variety of reasons, such as the development status of relevant business or our relationship with the relevant parties. For example, a party may cease to be our related party, when we strategically dispose of our equity interests or otherwise cease to have significant influence over it, and such change in relationship may adversely affect our transactions and other business collaboration with the party. In addition, if we later on acquire a controlling stake in a related party or otherwise consolidate its results into our consolidated financial statements, our transactions with such party will no longer be related party transactions, and will not contribute to our financial results on a consolidated basis. Although we do not rely on these related party transactions, such change in relationship and/or transactions with related parties may have an adverse impact on our results of operations and financial performance. We have also made loans to certain of our related parties. Please refer to “Item 7. Major Shareholders and Related Party Transactions” for more details. There can be no assurance that these loans will be repaid in full or in a timely manner. Any failure by these related parties to meet their repayment obligations could result in partial or total losses, which may adversely affect our financial condition and results of operations.</w:t>
      </w:r>
    </w:p>
    <w:p>
      <w:pPr>
        <w:spacing w:after="0" w:line="12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140"/>
          </w:cols>
          <w:pgMar w:left="320" w:top="482" w:right="4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have exposure to greater than anticipated tax liabilities.</w:t>
      </w:r>
    </w:p>
    <w:p>
      <w:pPr>
        <w:spacing w:after="0" w:line="121" w:lineRule="exact"/>
        <w:rPr>
          <w:sz w:val="20"/>
          <w:szCs w:val="20"/>
          <w:color w:val="auto"/>
        </w:rPr>
      </w:pPr>
    </w:p>
    <w:p>
      <w:pPr>
        <w:jc w:val="both"/>
        <w:ind w:left="120" w:firstLine="440"/>
        <w:spacing w:after="0" w:line="252" w:lineRule="auto"/>
        <w:rPr>
          <w:sz w:val="20"/>
          <w:szCs w:val="20"/>
          <w:color w:val="auto"/>
        </w:rPr>
      </w:pPr>
      <w:r>
        <w:rPr>
          <w:rFonts w:ascii="Times New Roman" w:cs="Times New Roman" w:eastAsia="Times New Roman" w:hAnsi="Times New Roman"/>
          <w:sz w:val="18"/>
          <w:szCs w:val="18"/>
          <w:color w:val="auto"/>
        </w:rPr>
        <w:t>We are subject to enterprise income tax, value-added tax and other taxes in many provinces and cities in Chinese mainland and our tax structure is subject to review by various local tax authorities. The determination of our provision for income tax and other tax liabilities requires significant judgment. In the ordinary course of our business, there are many transactions and calculations where the ultimate tax determination is uncertain. For example, if our P4P service is classified as a form of advertisement distribution service, we may be required to pay a cultural business construction fee. See “Item 5.A. Operating and Financial Review and Prospects—Operating Results—Taxation.” In addition, if this classification of P4P services were to be retroactively applied, we might be subject to sanctions, including payment of delinquent fees and fines for the revenues generated from our P4P services prior to the classification. Moreover, under the PRC Enterprise Income Tax Law, or the EIT Law, the PRC tax authorities may impose reasonable adjustments on taxation if they have identified any related party transactions that are inconsistent with arm’s-length principles. Particularly, pursuant to the Administrative Measures for Special Tax Adjustment and Investigation and Mutual Consultation Procedures issued by the State Administration of Tax in March 2017, if a Chinese mainland enterprise makes an outbound payment to its overseas related party which undertakes no functions, bears no risks or has no substantial operation or activities and such payment is inconsistent with arm’s-length principles, the tax authorities may carry out a special tax adjustment based on the full amount deducted prior to tax. Although we believe all our related party transactions, including all payments by our Chinese mainland subsidiaries and the variable interest entities to our non-Chinese mainland entities, are made on an arm’s-length basis and our estimates are reasonable, the ultimate decisions by the tax authorities may differ from the amounts recorded in our financial statements and may materially affect our financial results in the period or periods for which such determination is made.</w:t>
      </w:r>
    </w:p>
    <w:p>
      <w:pPr>
        <w:spacing w:after="0" w:line="196"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Furthermore, due to shifting economic and political conditions, tax policies and laws, tax rates in various jurisdictions may be subject to significant changes in ways that could impair our financial results. Various jurisdictions around the world have enacted or are considering enacting digital services taxes, which could lead to inconsistent and potentially overlapping international tax regimes applicable to highly-digitalized businesses. In 2021, the Organization for Economic Cooperation and Development announced an Inclusive Framework on Base Erosion and Profit Shifting including Pillar Two Model Rules defining the global minimum tax, which calls for the taxation of large multinational corporations at a minimum rate of 15%. Subsequently, multiple sets of administrative guidance have been issued. Various tax jurisdictions have either enacted legislation to adopt certain components of the Pillar Two Model Rules beginning in 2024 with the adoption of additional components in later years or announced their plans to enact such legislation in future years. We will continue to evaluate the impact of such legislative initiatives in the tax jurisdictions we operate in. There are uncertainties on the rules and implementations and there is no guarantee that this will not affect our financial results.</w:t>
      </w:r>
    </w:p>
    <w:p>
      <w:pPr>
        <w:spacing w:after="0" w:line="188"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In addition, our Chinese mainland subsidiaries and the variable interest entities providing advertising services are exempted from cultural business construction fee for 2020 and 2021 and enjoy a 50% reduction of cultural business construction fee from January 1, 2022 to December 31, 2025. The 50% reduction is currently extended to December 31, 2027, and there is no assurance that the 50% reduction will continue after 2027.</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140"/>
          </w:cols>
          <w:pgMar w:left="320" w:top="482" w:right="4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both"/>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changing laws and regulations regarding regulatory matters, corporate governance and public disclosures that have increased both our costs and the risk of non-compliance.</w:t>
      </w:r>
    </w:p>
    <w:p>
      <w:pPr>
        <w:spacing w:after="0" w:line="51"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are subject to rules and regulations by various governing bodies, including, for example, the SEC, which is charged with the protection of investors and the oversight of companies whose securities are publicly traded, and the various regulatory authorities in China and the Cayman Islands, and to new and evolving regulatory measures under applicable law. Our efforts to comply with new and changing laws and regulations have resulted in and are likely to continue to result in, increased general and administrative expenses and a diversion of management time and attention from revenue-generating activities to compliance activities.</w:t>
      </w:r>
    </w:p>
    <w:p>
      <w:pPr>
        <w:spacing w:after="0" w:line="183" w:lineRule="exact"/>
        <w:rPr>
          <w:sz w:val="20"/>
          <w:szCs w:val="20"/>
          <w:color w:val="auto"/>
        </w:rPr>
      </w:pPr>
    </w:p>
    <w:p>
      <w:pPr>
        <w:jc w:val="both"/>
        <w:ind w:left="120" w:firstLine="440"/>
        <w:spacing w:after="0" w:line="252" w:lineRule="auto"/>
        <w:rPr>
          <w:sz w:val="20"/>
          <w:szCs w:val="20"/>
          <w:color w:val="auto"/>
        </w:rPr>
      </w:pPr>
      <w:r>
        <w:rPr>
          <w:rFonts w:ascii="Times New Roman" w:cs="Times New Roman" w:eastAsia="Times New Roman" w:hAnsi="Times New Roman"/>
          <w:sz w:val="18"/>
          <w:szCs w:val="18"/>
          <w:color w:val="auto"/>
        </w:rPr>
        <w:t>Moreover, because these laws, regulations and standards change over time and are subject to varying interpretations, their application in practice may evolve as new guidance becomes available. This evolution may result in ongoing uncertainty regarding compliance matters and additional costs due to continuous revisions of our disclosure and governance practices. If we fail to address and comply with these regulations and any subsequent changes, we may face penalties and our business could suffer harm. For example, on December 29, 2023, the Standing Committee of the National People’s Congress promulgated the Amended PRC Company Law, which came into effect on July 1, 2024 and supersede the PRC Company Law which was amended in October 2018. The amended PRC Company Law imposes stricter requirements on capital contributions for companies established in the PRC. On July 1, 2024, the State Council released the Provisions of the State Council on Implementing the Registered Capital Registration and Management System under the Amended PRC Company Law. These provisions further specify the detailed requirements and measures for the registration and management of registered capital under the Amended PRC Company Law. See “Item 4.B. Information on the Company—Business Overview—Regulations—Regulations on Corporate Governance” for details. According to the Amended PRC Company Law, we may need to fulfill capital contribution obligations to our subsidiaries or provide financial support to the nominee shareholders of the variable interest entities within a much shorter time frame than currently required. However, since the amended PRC Company Law and the relevant regulations are still relatively new, there remains uncertainty regarding the implementation and interpretation of these laws and regulations. We will closely monitor the legislative developments related to the amended PRC Company Law and its implementation measures to assess the potential impact on us in a timely manner.</w:t>
      </w:r>
    </w:p>
    <w:p>
      <w:pPr>
        <w:spacing w:after="0" w:line="30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have limited business insurance coverage.</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We have purchased insurance to cover certain liabilities, properties, product quality and employees in connection with certain aspects of our businesses. However, we only have limited business liability or disruption insurance coverage for our operations in Chinese mainland. Any business disruption may result in our incurring substantial costs and the diversion of our resources.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face risks related to health epidemics, severe weather conditions and other outbreaks.</w:t>
      </w:r>
    </w:p>
    <w:p>
      <w:pPr>
        <w:spacing w:after="0" w:line="121"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 recent years, there have been outbreaks of health epidemics in China and globally, including the outbreak of COVID-19 pandemic. COVID-19 resulted in quarantines, travel restrictions, and temporary closure of businesses and facilities in China and worldwide between 2020 and 2022. For its impact on our financial results, please see “Item 5. Operating and Financial Review and Prospects.” Potential impacts of health epidemics may include, but are not limited to, the following:</w:t>
      </w:r>
    </w:p>
    <w:p>
      <w:pPr>
        <w:spacing w:after="0" w:line="85" w:lineRule="exact"/>
        <w:rPr>
          <w:sz w:val="20"/>
          <w:szCs w:val="20"/>
          <w:color w:val="auto"/>
        </w:rPr>
      </w:pPr>
    </w:p>
    <w:p>
      <w:pPr>
        <w:ind w:left="1080" w:right="2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temporary closure of offices, travel restrictions or suspension of services of our customers and suppliers may negatively affect the demand for our services;</w:t>
      </w:r>
    </w:p>
    <w:p>
      <w:pPr>
        <w:spacing w:after="0" w:line="67" w:lineRule="exact"/>
        <w:rPr>
          <w:rFonts w:ascii="Times New Roman" w:cs="Times New Roman" w:eastAsia="Times New Roman" w:hAnsi="Times New Roman"/>
          <w:sz w:val="18"/>
          <w:szCs w:val="18"/>
          <w:color w:val="auto"/>
        </w:rPr>
      </w:pPr>
    </w:p>
    <w:p>
      <w:pPr>
        <w:jc w:val="both"/>
        <w:ind w:left="1080" w:right="20" w:hanging="424"/>
        <w:spacing w:after="0" w:line="266"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in industries that are negatively impacted by epidemics, including the healthcare, travel, offline education, franchising, auto/transportation and real estate/home furnishing sectors, may reduce their budgets on online advertising and marketing, which may materially adversely impact our revenue from online marketing services;</w:t>
      </w:r>
    </w:p>
    <w:p>
      <w:pPr>
        <w:spacing w:after="0" w:line="81"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may require additional time to pay us or fail to pay us at all, which could significantly increase the amount of accounts receivable and require us to record additional allowances for doubtful accounts;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140"/>
          </w:cols>
          <w:pgMar w:left="320" w:top="482" w:right="4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080" w:hanging="424"/>
        <w:spacing w:after="0" w:line="266"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operations of our third-party agents could be negatively impacted, which may negatively impact our distribution channel, or result in loss of customers or disruption of our services, which may in turn materially adversely affect our financial condition and operating results;</w:t>
      </w:r>
    </w:p>
    <w:p>
      <w:pPr>
        <w:spacing w:after="0" w:line="81" w:lineRule="exact"/>
        <w:rPr>
          <w:rFonts w:ascii="Times New Roman" w:cs="Times New Roman" w:eastAsia="Times New Roman" w:hAnsi="Times New Roman"/>
          <w:sz w:val="18"/>
          <w:szCs w:val="18"/>
          <w:color w:val="auto"/>
        </w:rPr>
      </w:pPr>
    </w:p>
    <w:p>
      <w:pPr>
        <w:jc w:val="both"/>
        <w:ind w:left="1080" w:hanging="424"/>
        <w:spacing w:after="0" w:line="266"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disruption of our supply chain, logistics providers or customers could adversely impact our business and results of operations, including causing us or our suppliers to cease manufacturing Xiaodu smart devices for a period of time or materially delay delivery to customers, which may also lead to loss of customers, as well as reputational, competitive and business harm to us;</w:t>
      </w:r>
    </w:p>
    <w:p>
      <w:pPr>
        <w:spacing w:after="0" w:line="81"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many of our customers, third-party agents, suppliers and other partners are SMEs, which may not have strong cash flows or be well capitalized, and may be vulnerable to a pandemic and slowing macroeconomic conditions;</w:t>
      </w:r>
    </w:p>
    <w:p>
      <w:pPr>
        <w:spacing w:after="0" w:line="67" w:lineRule="exact"/>
        <w:rPr>
          <w:rFonts w:ascii="Times New Roman" w:cs="Times New Roman" w:eastAsia="Times New Roman" w:hAnsi="Times New Roman"/>
          <w:sz w:val="18"/>
          <w:szCs w:val="18"/>
          <w:color w:val="auto"/>
        </w:rPr>
      </w:pPr>
    </w:p>
    <w:p>
      <w:pPr>
        <w:jc w:val="both"/>
        <w:ind w:left="1080" w:hanging="424"/>
        <w:spacing w:after="0" w:line="266"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global stock markets may experience significant declines and the private and public companies that we have invested in could be materially adversely affected, which may lead to significant impairment in the fair values of our investments and in turn materially adversely affect our financial condition and operating results; and</w:t>
      </w:r>
    </w:p>
    <w:p>
      <w:pPr>
        <w:spacing w:after="0" w:line="81"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social responsibility initiatives we put forth in response to epidemics may negatively affect our financial condition and operating results.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Corporate Structure</w:t>
      </w:r>
    </w:p>
    <w:p>
      <w:pPr>
        <w:spacing w:after="0" w:line="117" w:lineRule="exact"/>
        <w:rPr>
          <w:sz w:val="20"/>
          <w:szCs w:val="20"/>
          <w:color w:val="auto"/>
        </w:rPr>
      </w:pPr>
    </w:p>
    <w:p>
      <w:pPr>
        <w:jc w:val="both"/>
        <w:ind w:left="120"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Laws and regulations of Chinese mainland governing our businesses and the validity of certain of our contractual arrangements are uncertain. If we are found to be in violation, we could be subject to sanctions. In addition, changes in the laws and regulations of Chinese mainland or changes in interpretations thereof may materially and adversely affect our business.</w:t>
      </w:r>
    </w:p>
    <w:p>
      <w:pPr>
        <w:spacing w:after="0" w:line="67"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Current laws and regulations of Chinese mainland place certain restrictions and conditions on foreign ownership of certain areas of businesses. For example, pursuant to the Special Administrative Measures (Negative List) for Foreign Investment Access (2024 Version), foreign investors are not allowed to own more than 50% of the equity interests in a value-added telecommunication service provider (excluding e-commerce, domestic multiparty communications, store-and-forward and call centers). In addition, foreign investors are prohibited from investing in companies engaged in internet culture businesses (except for music) and radio and television program production businesses.</w:t>
      </w:r>
    </w:p>
    <w:p>
      <w:pPr>
        <w:spacing w:after="0" w:line="183"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We and our Chinese mainland subsidiaries are still considered foreign persons or foreign-invested enterprises under the laws related to foreign investment of Chinese mainland. As a result, we and our Chinese mainland subsidiaries are subject to legal restrictions on or conditions for foreign ownership of various industries, including the aforementioned ones. Due to these restrictions and conditions, we operate our platform and conduct business in certain restricted or prohibited industries in Chinese mainland through the variable interest entities. As all the nominee shareholders of the variable interest entities are either citizens of Chinese mainland or domestic enterprises in Chinese mainland, these entities are therefore considered as domestic enterprises under the laws of Chinese mainland. The “nominee shareholders” refer to those shareholders who have entered into exclusive equity purchase and transfer option agreements and equity pledge agreements with us as part of the contractual arrangements. Our contractual arrangements with the variable interest entities and the nominee shareholders allow us to have the power to direct the activities of these entities that most significantly impact their economic performance. These contractual arrangements demonstrate our ability and intention to continue to exercise the ability to absorb losses or receive economic benefits that could potentially be significant to the variable interest entities. In 2023, 2024 and 2025, we derived 45%, 44% and 50% of our external revenues from the variable interest entities, respectively.</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140"/>
          </w:cols>
          <w:pgMar w:left="320" w:top="482" w:right="4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However, our company is a Cayman Islands holding company with no equity ownership in the variable interest entities and we conduct our operations in Chinese mainland through (i) our Chinese mainland subsidiaries and (ii) the variable interest entities with which we have maintained contractual arrangements. Investors in our Class A ordinary shares or the ADSs thus are not purchasing equity interest in the variable interest entities in Chinese mainland but instead are purchasing equity interest in a Cayman Islands holding company. If the PRC government deems that our contractual arrangements with the variable interest entities do not comply with Chinese mainland’s regulatory restrictions on foreign investment in the relevant industries, or if these regulations or the interpretation of existing regulations change or are interpreted differently in the future, we could be subject to severe penalties or be forced to relinquish our interests in those operations. Baidu, Inc. may not be able to repay our indebtedness, and our shares may decline in value or become worthless, if we are unable to assert our contractual control rights over the assets of the variable interest entities. Our holding company in the Cayman Islands, the variable interest entities, and investors of our company face uncertainty about potential future actions by the PRC government that could affect the enforceability of the contractual arrangements with the variable interest entities and, consequently, significantly affect the financial performance of the variable interest entities and our company as a group.</w:t>
      </w:r>
    </w:p>
    <w:p>
      <w:pPr>
        <w:spacing w:after="0" w:line="192" w:lineRule="exact"/>
        <w:rPr>
          <w:sz w:val="20"/>
          <w:szCs w:val="20"/>
          <w:color w:val="auto"/>
        </w:rPr>
      </w:pPr>
    </w:p>
    <w:p>
      <w:pPr>
        <w:jc w:val="both"/>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There are substantial uncertainties regarding the interpretation, application and change of the laws and regulations of Chinese mainland, including, but not limited to, the laws and regulations governing our business, or the enforcement and performance of our contractual arrangements with the variable interest entities, including but not limited to Baidu Netcom and the nominee shareholders. These laws and regulations may be subject to change, and their official interpretation and enforcement may involve substantial uncertainty. The application and interpretation of new laws and regulations that affect existing and proposed future businesses may also have retroactive effect. Due to the uncertainty and complexity of the regulatory environment, we cannot assure you that we would always be in full compliance with applicable laws and regulations, the violation of which may have adverse effect on our business and our reputation.</w:t>
      </w:r>
    </w:p>
    <w:p>
      <w:pPr>
        <w:spacing w:after="0" w:line="189" w:lineRule="exact"/>
        <w:rPr>
          <w:sz w:val="20"/>
          <w:szCs w:val="20"/>
          <w:color w:val="auto"/>
        </w:rPr>
      </w:pPr>
    </w:p>
    <w:p>
      <w:pPr>
        <w:jc w:val="both"/>
        <w:ind w:left="120" w:firstLine="440"/>
        <w:spacing w:after="0" w:line="252" w:lineRule="auto"/>
        <w:rPr>
          <w:sz w:val="20"/>
          <w:szCs w:val="20"/>
          <w:color w:val="auto"/>
        </w:rPr>
      </w:pPr>
      <w:r>
        <w:rPr>
          <w:rFonts w:ascii="Times New Roman" w:cs="Times New Roman" w:eastAsia="Times New Roman" w:hAnsi="Times New Roman"/>
          <w:sz w:val="18"/>
          <w:szCs w:val="18"/>
          <w:color w:val="auto"/>
        </w:rPr>
        <w:t>Although we believe we, our Chinese mainland subsidiaries and the variable interest entities comply with current laws and regulations of Chinese mainland, we cannot assure you that the PRC government would agree that our contractual arrangements comply with the licensing, registration or other regulatory requirements of Chinese mainland, with existing policies or with requirements or policies that may be adopted in the future. The PRC government has discretion in determining rectifiable or punitive measures for non-compliance with or violations of the laws and regulations of Chinese mainland. If the PRC government determines that we or the variable interest entities do not comply with applicable law, it could revoke the variable interest entities’ business and operating licenses, require the variable interest entities to discontinue or restrict the variable interest entities’ operations, restrict the variable interest entities’ right to collect revenues, block the variable interest entities’ websites, require the variable interest entities to restructure their operations, impose additional conditions or requirements with which the variable interest entities may not be able to comply, impose restrictions on the variable interest entities’ business operations or on their customers, or take other regulatory or enforcement actions against the variable interest entities that could be harmful to their business. Any of these or similar occurrences could significantly disrupt our or the variable interest entities’ business operations or restrict the variable interest entities from conducting a substantial portion of their business operations, which could materially and adversely affect the variable interest entities’ business, financial condition and results of operations. If any of these occurrences results in our inability to direct the activities of any of the variable interest entities that most significantly impact its economic performance, and/or our failure to receive the economic benefits from any of the variable interest entities, we may not be able to consolidate these entities in our consolidated financial statements in accordance with U.S. GAAP.</w:t>
      </w:r>
    </w:p>
    <w:p>
      <w:pPr>
        <w:spacing w:after="0" w:line="196" w:lineRule="exact"/>
        <w:rPr>
          <w:sz w:val="20"/>
          <w:szCs w:val="20"/>
          <w:color w:val="auto"/>
        </w:rPr>
      </w:pPr>
    </w:p>
    <w:p>
      <w:pPr>
        <w:jc w:val="both"/>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In October 2024, Yangshipin Integrated Media Development Co., Ltd. completed its investment of approximately RMB0.3 million in Beijing iQIYI to acquire 1% of Beijing iQIYI’s enlarged registered capital. Yangshipin Integrated Media Development Co., Ltd. is not a party to the contractual arrangements currently in effect among Beijing iQIYI, Beijing QIYI Century, and other shareholder of Beijing iQIYI. Therefore, we are unable to mandatorily purchase, or have Yangshipin Integrated Media Development Co., Ltd. pledge, the 1% equity interests in Beijing iQIYI in the same manner as agreed under existing contractual arrangements, nor are we granted the authorization of the voting rights of the 1% equity interests. We believe iQIYI, Inc. still controls and is the primary beneficiary of Beijing iQIYI for accounting purposes, as it continues to have a controlling financial interest in Beijing iQIYI pursuant to ASC 810-10-25-38A after the issuance of such 1% equity interests.</w:t>
      </w:r>
    </w:p>
    <w:p>
      <w:pPr>
        <w:spacing w:after="0" w:line="293" w:lineRule="exact"/>
        <w:rPr>
          <w:sz w:val="20"/>
          <w:szCs w:val="20"/>
          <w:color w:val="auto"/>
        </w:rPr>
      </w:pPr>
    </w:p>
    <w:p>
      <w:pPr>
        <w:jc w:val="both"/>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contractual arrangements with the variable interest entities in Chinese mainland and the individual nominee shareholders may not be as effective in providing control over these entities as direct ownership.</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140"/>
          </w:cols>
          <w:pgMar w:left="320" w:top="482" w:right="4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firstLine="440"/>
        <w:spacing w:after="0" w:line="252" w:lineRule="auto"/>
        <w:rPr>
          <w:sz w:val="20"/>
          <w:szCs w:val="20"/>
          <w:color w:val="auto"/>
        </w:rPr>
      </w:pPr>
      <w:r>
        <w:rPr>
          <w:rFonts w:ascii="Times New Roman" w:cs="Times New Roman" w:eastAsia="Times New Roman" w:hAnsi="Times New Roman"/>
          <w:sz w:val="18"/>
          <w:szCs w:val="18"/>
          <w:color w:val="auto"/>
        </w:rPr>
        <w:t>Since the laws of Chinese mainland restrict or impose conditions on foreign equity ownership in, among other areas, the internet content services, value-added telecommunication-based services, internet map services, online audio and video services and mobile application distribution companies in Chinese mainland, we operate our platform and conduct these businesses through the variable interest entities in Chinese mainland. We have no equity interest in any of these entities and must rely on contractual arrangements to control and operate the businesses and assets held by the variable interest entities, including the domain names and trademarks that have been transferred from our subsidiaries to the variable interest entities in accordance with requirements of the laws of Chinese mainland. These contractual arrangements may not be as effective in providing control over these entities as direct ownership. For example, the variable interest entities and the individual nominee shareholders could breach their contractual arrangements with us by, among other things, failing to operate our business, such as using the domain names and trademarks our subsidiaries have transferred to them or maintaining our platform, in an acceptable manner or taking other actions that are detrimental to our interests. If the variable interest entities or the individual nominee shareholders fail to perform their obligations under these contractual arrangements, we may have to incur substantial costs to enforce such arrangements, and rely on legal remedies under the laws of Chinese mainland, including contract remedies, which may not be sufficient or effective. If we are unable to enforce these contractual arrangements, or if we suffer significant delay or other obstacles in the process of enforcing these contractual arrangements, we may not be able to have the power to direct the activities that most significantly affect the economic performance of the variable interest entities, and we may lose control over the assets owned by the variable interest entities, including our baidu.com domain name and website, and any other domain names and websites we have access to may not attract a large number of users and customers at the same level as baidu.com. As a result, our ability to conduct our business may be materially and adversely affected, and we may not be able to consolidate the financial results of the relevant variable interest entities into our consolidated financial statements in accordance with U.S. GAAP, which may materially and adversely affect our results of operations and damage our reputation. In addition, we have entered into similar contractual arrangements with other consolidated affiliated entities and their nominee shareholders in other jurisdictions. Similar to the potential risks associated with the contractual arrangement in the Chinese mainland, the effectiveness and enforceability of such contractual arrangements may also be subject to the laws and precedents of the respective jurisdictions.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contractual arrangements with the variable interest entities in Chinese mainland may result in adverse tax consequences to us.</w:t>
      </w:r>
    </w:p>
    <w:p>
      <w:pPr>
        <w:spacing w:after="0" w:line="121"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As a result of our corporate structure and the contractual arrangements between our subsidiaries and each of the variable interest entities in Chinese mainland, we would be subject to adverse tax consequences if the PRC tax authorities were to determine that the contracts between our subsidiaries and these variable interest entities were not on an arm’s-length basis and therefore constituted a favorable transfer pricing. Under the EIT Law, an enterprise must submit its annual tax return together with information on related-party transactions to the PRC tax authorities. The PRC tax authorities may impose reasonable adjustments on taxation if they have identified any related party transactions that are inconsistent with arm’s-length principles. For example, the PRC tax authorities could request that the variable interest entities adjust their taxable income upward for PRC tax purposes. Such adjustment could adversely affect us by increasing the variable interest entities’ tax expenses without reducing our subsidiaries’ tax expenses, which could subject the variable interest entities to interest due on late payments and other penalties for under-payment of taxes.</w:t>
      </w:r>
    </w:p>
    <w:p>
      <w:pPr>
        <w:spacing w:after="0" w:line="296" w:lineRule="exact"/>
        <w:rPr>
          <w:sz w:val="20"/>
          <w:szCs w:val="20"/>
          <w:color w:val="auto"/>
        </w:rPr>
      </w:pPr>
    </w:p>
    <w:p>
      <w:pPr>
        <w:jc w:val="both"/>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individual nominee shareholders of the variable interest entities may have potential conflicts of interest with us, which may adversely affect our business. We do not have any arrangements in place to address such potential conflicts.</w:t>
      </w:r>
    </w:p>
    <w:p>
      <w:pPr>
        <w:spacing w:after="0" w:line="5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We have designated individuals who are PRC nationals to be the nominee shareholders of the variable interest entities in Chinese mainland. For example, Robin Yanhong Li, our chairman, chief executive officer and co-founder, is also the principal nominee shareholder of Baidu Netcom, which is the principal variable interest entity.</w:t>
      </w:r>
    </w:p>
    <w:p>
      <w:pPr>
        <w:spacing w:after="0" w:line="176" w:lineRule="exact"/>
        <w:rPr>
          <w:sz w:val="20"/>
          <w:szCs w:val="20"/>
          <w:color w:val="auto"/>
        </w:rPr>
      </w:pPr>
    </w:p>
    <w:p>
      <w:pPr>
        <w:jc w:val="both"/>
        <w:ind w:left="120" w:firstLine="440"/>
        <w:spacing w:after="0" w:line="268" w:lineRule="auto"/>
        <w:rPr>
          <w:sz w:val="20"/>
          <w:szCs w:val="20"/>
          <w:color w:val="auto"/>
        </w:rPr>
      </w:pPr>
      <w:r>
        <w:rPr>
          <w:rFonts w:ascii="Times New Roman" w:cs="Times New Roman" w:eastAsia="Times New Roman" w:hAnsi="Times New Roman"/>
          <w:sz w:val="17"/>
          <w:szCs w:val="17"/>
          <w:color w:val="auto"/>
        </w:rPr>
        <w:t>Although the individual nominee shareholders are contractually obligated to act in good faith and in our best interest, they may still have potential conflicts of interest with us. For example, some individual nominee shareholders of the variable interest entities do not have a significant equity stake in our company other than the share options granted to them. We cannot assure you that when conflicts of interest arise, any or all of these individuals will act in the best interests of our company or such conflicts will be resolved in our favor. In addition, these individuals may breach, cause the variable interest entities to breach or refuse to renew, the existing contractual arrangements with us. Currently, we do not have any arrangements to address potential conflicts of interest between these individuals and our company, except that we could exercise our transfer option under the exclusive equity purchase and transfer option agreement with the relevant individual nominee shareholder to request him/her to transfer all of his/her equity ownership in the relevant variable interest entity to a Chinese mainland entity or individual designated by us. We rely on Mr. Robin Yanhong Li, who is also a director of our company, to abide by the Cayman Islands law, which provides that directors owe a fiduciary duty to the company, those who are also directors of our certain offshore subsidiaries to abide by the laws of the jurisdiction in which such offshore subsidiaries are established, which provides that directors owe a fiduciary duty to the company, and those who are also directors or officers of our Chinese mainland subsidiaries to abide by the laws of Chinese mainland, which provides that directors and officers owe a fiduciary duty to the company. Such fiduciary duty requires directors and/or officers to act in good faith and in the best interests of the company and not to use their positions for personal gains. There are, however, no specific provisions under the Cayman Islands law or the laws of Chinese mainland on how to address potential conflicts of interest. If we cannot resolve any conflict of interest or dispute between us and the individual nominee shareholders of the variable interest entities, we would have to rely on legal proceedings, which could disrupt our business, distract management and subject us to substantial uncertainty as to the outcome of any such legal proceedings.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140"/>
          </w:cols>
          <w:pgMar w:left="320" w:top="482" w:right="4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collect long-term loans to the nominee shareholders of the variable interest entities in Chinese mainland.</w:t>
      </w:r>
    </w:p>
    <w:p>
      <w:pPr>
        <w:spacing w:after="0" w:line="121"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As of December 31, 2025, we have made long-term loans in an aggregate principal amount of RMB19.6 billion (US$2.8 billion) to the nominee shareholders of the variable interest entities. We extended these loans to enable the nominee shareholders to fund the capitalization of these entities. We may in the future provide additional loans to the nominee shareholders of the variable interest entities in Chinese mainland in connection with any increase in their capitalization to the extent necessary and permissible under applicable law. Our ability to ultimately collect these loans will depend on the profitability of these variable interest entities and their operational needs, which are uncertain. As of the date of this annual report, we do not have any repayment schedule with respect to such loans to the nominee shareholders of the variable interest entities.</w:t>
      </w:r>
    </w:p>
    <w:p>
      <w:pPr>
        <w:spacing w:after="0" w:line="291" w:lineRule="exact"/>
        <w:rPr>
          <w:sz w:val="20"/>
          <w:szCs w:val="20"/>
          <w:color w:val="auto"/>
        </w:rPr>
      </w:pPr>
    </w:p>
    <w:p>
      <w:pPr>
        <w:jc w:val="both"/>
        <w:ind w:left="120"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in the process of registering the pledges of equity interests by nominee shareholders of some of the variable interest entities, and we may not be able to enforce the equity pledges against any third parties who acquire the equity interests in good faith in the relevant variable interest entities before the pledges are registered.</w:t>
      </w:r>
    </w:p>
    <w:p>
      <w:pPr>
        <w:spacing w:after="0" w:line="67" w:lineRule="exact"/>
        <w:rPr>
          <w:sz w:val="20"/>
          <w:szCs w:val="20"/>
          <w:color w:val="auto"/>
        </w:rPr>
      </w:pPr>
    </w:p>
    <w:p>
      <w:pPr>
        <w:jc w:val="both"/>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Pursuant to equity pledge agreements under the contractual arrangements, the nominee shareholders of each of the variable interest entities should pledge all of their equity interests in the relevant variable interest entities to our subsidiaries. An equity pledge agreement becomes effective among the parties upon execution. However, according to the PRC Civil Code, which became effective from January 1, 2021, an equity pledge is not perfected as a security property right unless it is registered with the local administration for market regulation. We are still in the process of registering the pledge relating to certain variable interest entity(ies), relating to recent equity interest transfers and capital increase. Prior to the completion of the registration, we may not be able to successfully enforce the equity pledge against any third parties who have acquired property right interests in good faith in the equity interests in the relevant variable interest entity(ies).</w:t>
      </w:r>
    </w:p>
    <w:p>
      <w:pPr>
        <w:spacing w:after="0" w:line="293" w:lineRule="exact"/>
        <w:rPr>
          <w:sz w:val="20"/>
          <w:szCs w:val="20"/>
          <w:color w:val="auto"/>
        </w:rPr>
      </w:pPr>
    </w:p>
    <w:p>
      <w:pPr>
        <w:jc w:val="both"/>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chops of our Chinese mainland subsidiaries and the variable interest entities are not kept safely, are stolen or are used by unauthorized persons or for unauthorized purposes, the corporate governance of these entities could be severely and adversely compromised.</w:t>
      </w:r>
    </w:p>
    <w:p>
      <w:pPr>
        <w:spacing w:after="0" w:line="51"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In Chinese mainland, a company chop or seal serves as the legal representation of the company towards third parties even when unaccompanied by a signature. Each legally registered company in Chinese mainland is required to maintain a company chop, which must be registered with the local Public Security Bureau. In addition to this mandatory company chop, companies may have several other chops which can be used for specific purposes. The chops of our Chinese mainland subsidiaries and the variable interest entities are generally held securely by personnel designated or approved by us in accordance with our internal control procedures. To the extent those chops are not kept safely, are stolen or are used by unauthorized persons or for unauthorized purposes, the corporate governance of these entities could be severely and adversely compromised and those corporate entities may be bound to abide by the terms of any documents so chopped, even if they were chopped by an individual who lacked the requisite power and authority to do so. In addition, if the chops are misused by unauthorized persons, we could experience disruption to our normal business operations. We may have to take corporate or legal action, which could involve significant time and resources to resolve while distracting management from our operations.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140"/>
          </w:cols>
          <w:pgMar w:left="320" w:top="482" w:right="4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Doing Business in China</w:t>
      </w:r>
    </w:p>
    <w:p>
      <w:pPr>
        <w:spacing w:after="0" w:line="117" w:lineRule="exact"/>
        <w:rPr>
          <w:sz w:val="20"/>
          <w:szCs w:val="20"/>
          <w:color w:val="auto"/>
        </w:rPr>
      </w:pPr>
    </w:p>
    <w:p>
      <w:pPr>
        <w:jc w:val="both"/>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China’s economic, political or social conditions or government policies could have a material and adverse effect on our business and operations.</w:t>
      </w:r>
    </w:p>
    <w:p>
      <w:pPr>
        <w:spacing w:after="0" w:line="51"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Most of our business operations are conducted in Chinese mainland. Accordingly, our business, results of operations, financial condition and prospects are affected by economic, political and social conditions in China generally and by continued economic growth in China as a whole.</w:t>
      </w:r>
    </w:p>
    <w:p>
      <w:pPr>
        <w:spacing w:after="0" w:line="162"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As a developing country, China’s economy differs from the economies of most developed countries in many respects, including level of development, growth rate, control of foreign exchange and allocation of resources. In recent decades, the PRC government has implemented a series of reform measures, including among others, emphasizing the utilization of market forces for economic reform and the establishment of improved corporate governance in business enterprises. Meanwhile, a considerable portion of productive assets in Chinese mainland is still owned by the government. In addition, the PRC government also plays a certain role in regulating industry development and has extensive influence over China’s economic growth through allocating resources, foreign exchange control, and setting monetary and fiscal policy.</w:t>
      </w:r>
    </w:p>
    <w:p>
      <w:pPr>
        <w:spacing w:after="0" w:line="187" w:lineRule="exact"/>
        <w:rPr>
          <w:sz w:val="20"/>
          <w:szCs w:val="20"/>
          <w:color w:val="auto"/>
        </w:rPr>
      </w:pPr>
    </w:p>
    <w:p>
      <w:pPr>
        <w:jc w:val="both"/>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Although Chinese mainland’s economy has grown significantly in the past decades, growth has been uneven, both geographically and among various sectors of the economy. Some of the government measures aim to benefit the overall Chinese economy, but may unexpectedly have a negative effect on us. For example, our financial condition and results of operations may be adversely affected by government control over capital investments or changes in tax regulations. Some of the stimulus measures designed to boost the Chinese economy may unexpectedly cause higher inflation, which could adversely affect our results of operations and financial condition. For example, certain costs and expenses, such as employee compensation and office operating expenses, may increase as a result of higher inflation. Additionally, because a substantial portion of our assets consists of cash and cash equivalents, restricted cash and short-term investments, high inflation could significantly reduce the value and purchasing power of these assets.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There are uncertainties regarding the interpretation and enforcement of PRC laws, rules and regulations.</w:t>
      </w:r>
    </w:p>
    <w:p>
      <w:pPr>
        <w:spacing w:after="0" w:line="121"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We conduct our business primarily through our subsidiaries and the variable interest entities in Chinese mainland. Our operations in Chinese mainland are governed by the laws and regulations of Chinese mainland. Our subsidiaries are generally subject to laws and regulations applicable to foreign investments in Chinese mainland. As a civil law jurisdiction, the legal system of Chinese mainland is based on written statutes. Prior court decisions may be cited for reference but have limited precedential value.</w:t>
      </w:r>
    </w:p>
    <w:p>
      <w:pPr>
        <w:spacing w:after="0" w:line="180"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laws and regulations of Chinese mainland have significantly enhanced the protections afforded to various forms of foreign investments in Chinese mainland for the past decades. However, because certain laws and regulations are relatively new, and because of the limited volume of published decisions and their nonbinding nature, the interpretation and enforcement of these laws and regulations involve uncertainties.</w:t>
      </w:r>
    </w:p>
    <w:p>
      <w:pPr>
        <w:spacing w:after="0" w:line="176"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Furthermore, the legal system of Chinese mainland is based in part on government policies and Chinese mainland is geographically large and divided into various provinces and municipalities. As such, different regulations and policies may have different and varying applications and interpretations in different parts of Chinese mainland, and it is possible that we may not be aware in a timely manner that we have been identified to be in violation of these policies and rules until sometime after the occurrence of the violation. In addition, certain administrative and court proceedings in Chinese mainland may result in substantial costs and diversion of resources and management attention.</w:t>
      </w:r>
    </w:p>
    <w:p>
      <w:pPr>
        <w:spacing w:after="0" w:line="183" w:lineRule="exact"/>
        <w:rPr>
          <w:sz w:val="20"/>
          <w:szCs w:val="20"/>
          <w:color w:val="auto"/>
        </w:rPr>
      </w:pPr>
    </w:p>
    <w:p>
      <w:pPr>
        <w:jc w:val="both"/>
        <w:ind w:left="120" w:right="20" w:firstLine="440"/>
        <w:spacing w:after="0" w:line="289" w:lineRule="auto"/>
        <w:rPr>
          <w:sz w:val="20"/>
          <w:szCs w:val="20"/>
          <w:color w:val="auto"/>
        </w:rPr>
      </w:pPr>
      <w:r>
        <w:rPr>
          <w:rFonts w:ascii="Times New Roman" w:cs="Times New Roman" w:eastAsia="Times New Roman" w:hAnsi="Times New Roman"/>
          <w:sz w:val="17"/>
          <w:szCs w:val="17"/>
          <w:color w:val="auto"/>
        </w:rPr>
        <w:t>PRC government has complex regulatory requirements on the conduct of our business and it has recently promulgated certain regulations and rules to exert more oversight over offerings that are conducted overseas and/ or foreign investment in Chinese mainland-based issuers. Such action could significantly limit or hinder our ability to offer or continue to offer securities to investors and cause the value of such securities to significantly decline.</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140"/>
          </w:cols>
          <w:pgMar w:left="320" w:top="482" w:right="4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both"/>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adversely affected by the complexity, uncertainties and changes in the regulations of internet, artificial intelligence and related business and companies in Chinese mainland.</w:t>
      </w:r>
    </w:p>
    <w:p>
      <w:pPr>
        <w:spacing w:after="0" w:line="51"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PRC government regulates the internet and related industry extensively, including foreign ownership of, and the licensing and permit requirements pertaining to, companies in the internet industry. These internet-related laws and regulations are rapidly developing and evolving, and thus their interpretation and enforcement, and under certain circumstances, the compliance requirements still involve significant uncertainties. For example, we only have contractual control over our websites. We do not own the websites due to the restriction of foreign investment in businesses providing value-added telecommunications services in Chinese mainland, including online information services.</w:t>
      </w:r>
    </w:p>
    <w:p>
      <w:pPr>
        <w:spacing w:after="0" w:line="183" w:lineRule="exact"/>
        <w:rPr>
          <w:sz w:val="20"/>
          <w:szCs w:val="20"/>
          <w:color w:val="auto"/>
        </w:rPr>
      </w:pPr>
    </w:p>
    <w:p>
      <w:pPr>
        <w:jc w:val="both"/>
        <w:ind w:left="120" w:firstLine="440"/>
        <w:spacing w:after="0" w:line="251" w:lineRule="auto"/>
        <w:rPr>
          <w:sz w:val="20"/>
          <w:szCs w:val="20"/>
          <w:color w:val="auto"/>
        </w:rPr>
      </w:pPr>
      <w:r>
        <w:rPr>
          <w:rFonts w:ascii="Times New Roman" w:cs="Times New Roman" w:eastAsia="Times New Roman" w:hAnsi="Times New Roman"/>
          <w:sz w:val="18"/>
          <w:szCs w:val="18"/>
          <w:color w:val="auto"/>
        </w:rPr>
        <w:t>The licensing requirements relating to the internet business in Chinese mainland are uncertain and evolving. This means that permits, licenses or operations at some of our Chinese mainland subsidiaries and the variable interest entities may be subject to challenge, or we may not be able to obtain or renew certain permits or licenses, including, without limitation, several Value-Added Telecommunication Business Operating Licenses, which are issued by the MIIT or local branches of the MIIT, an Internet News License, which is issued by the CAC, a Short Messaging Service Access Code Certificate, which is issued by the MIIT, several Online Audio/Video Program Transmission Licenses, which are issued by the State Administration of Press, Publication, Radio, Film and Television (the corresponding regulatory body currently known as National Radio and Television Administration, or the NRTA), several Radio and Television Program Production Licenses, which are issued by the local bureaus of the NRTA, a Surveying and Mapping Qualification Certificate for internet map services, which is issued by the National Administration of Surveying, Mapping and Geo-information, several Internet Culture Business Permits, which are issued by the local bureaus of the then Ministry of Culture, or the Ministry of Culture and Tourism which has replaced the Ministry of Culture, a Publication Business Operating License, which is issued by the local bureau of the State Administration of Press, Publication, Radio, Film and Television or the National Press and Publication Administration, a Filing Certificate for Internet Drug and Medical Devices Information Services or the Filing Certificate for Internet Drug Information Services, which is issued by provincial branch of the State Food and Drug Administration (the corresponding regulatory body currently known as the National Medical Products Administration), a Human Resource Services License, which is issued by the local bureau of the Ministry of Human Resources and Social Security, a Filing Certificate for the Business of Category II Medical Devices, which is issued by Haidian Branch of Beijing Administration for Market Regulation, a Registration Certificate for Medical Devices, which is issued by Beijing Medical Products Administration, several Filing Certificate for Sales of Pre-Packaged Foods, which are issued by the local branches of the SAMR, a Medicine Business License, which is issued by Guangdong Medical Products Administration, several Filing Certificates for the Publication Online Transaction Platform, which are issued by local branches of the National Press and Publication Administration, an Internet Domain Name Services License, which is issued by Beijing Communications Administration, a Medical Device Operation License, which is issued by Guangzhou Administration for Market Regulation, a Filing Certificate for Third-Party Platform Provider of Online Trading Service for Drugs, which is issued by Beijing Medical Products Administration, a Filing Certificate for Third-Party Platform Provider of Online Trading Service for Medical Devices, which is issued by Beijing Medical Products Administration, the Practice Licenses of Medical Institutions, which are issued by the local competent government authorities of Yinchuan and Hainan, an Internet Religious Information Service License, which is issued by Beijing Ethnic and Religious Affairs Commission, a Filing Information Form of Third Party Platform Providers of Online Food Trading, which is issued by Beijing Medical Products Administration, a Filing Certificate for Customs Clearance and several Filing Certificates of a Consignee or Consignor of Imported or Exported Goods, which are issued by the local branches of the relevant local Customs, a Foreign-Related Investigation License, which is issued by the National Bureau of Statistics, several Filing Certificates of Used Motor Vehicle Business Operators, which are issued by the local branches of the MOFCOM, several Online Taxi-Hailing Operation Licenses and several permits for road testing, demonstration application and/or commercial operation of autonomous driving vehicles, which are issued by the local competent administrations in certain cities in Chinese mainland. Violation of the laws and regulations governing these licenses, approvals, filings or qualifications may result in penalties and even suspension or revocation of the licenses, approvals, filings or qualifications. Failure to obtain, maintain or renew these permits and licenses may significantly disrupt our business, or subject us to sanctions, requirements to increase capital or other conditions or enforcement, or compromise enforceability of related contractual arrangements, or have other harmful effects on us.</w:t>
      </w:r>
    </w:p>
    <w:p>
      <w:pPr>
        <w:spacing w:after="0" w:line="200"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New laws and regulations may be promulgated to regulate internet activities, including online advertising and internet cultural activities. Other aspects of our online operations may be further regulated in the future. If these new laws and regulations are promulgated, additional licenses may be required for our online operations. If our operations do not comply with these new regulations at the time they become effective, or if we fail to obtain any licenses required under these new laws and regulations, we could be subject to penalties.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140"/>
          </w:cols>
          <w:pgMar w:left="320" w:top="482" w:right="4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We provide value-added telecommunications services through the variable interest entities, which hold the required licenses. In July 2006, the MIIT issued the Notice of the Ministry of Industry and Information Technology on Intensifying the Administration of Foreign Investment in Value-Added Telecommunications Services. This notice prohibits domestic telecommunication service providers from leasing, transferring or selling telecommunication business operating licenses to any foreign investor in any form, or providing any resources, sites or facilities to any foreign investor for their illegal operation of a telecommunication business in Chinese mainland. According to this notice, either the holder of a Value-Added Telecommunication Business Operating License or its shareholders must directly own the domain names and trademarks used by the license holder in its provision of value-added telecommunications services. The major variable interest entities hold the necessary assets that are material to the operation of our business, including domain names, personnel, facilities and most of our intellectual property rights.</w:t>
      </w:r>
    </w:p>
    <w:p>
      <w:pPr>
        <w:spacing w:after="0" w:line="192" w:lineRule="exact"/>
        <w:rPr>
          <w:sz w:val="20"/>
          <w:szCs w:val="20"/>
          <w:color w:val="auto"/>
        </w:rPr>
      </w:pPr>
    </w:p>
    <w:p>
      <w:pPr>
        <w:jc w:val="both"/>
        <w:ind w:left="120" w:firstLine="440"/>
        <w:spacing w:after="0" w:line="251" w:lineRule="auto"/>
        <w:rPr>
          <w:sz w:val="20"/>
          <w:szCs w:val="20"/>
          <w:color w:val="auto"/>
        </w:rPr>
      </w:pPr>
      <w:r>
        <w:rPr>
          <w:rFonts w:ascii="Times New Roman" w:cs="Times New Roman" w:eastAsia="Times New Roman" w:hAnsi="Times New Roman"/>
          <w:sz w:val="18"/>
          <w:szCs w:val="18"/>
          <w:color w:val="auto"/>
        </w:rPr>
        <w:t>As we enter into new businesses, we may encounter additional regulatory uncertainties. For example, the current legal framework of Chinese mainland on autonomous cars or autonomous driving is constantly evolving. Pursuant to the local rules and regulations in various cities including Beijing, Shanghai, Chongqing, Guangzhou, Wuhan and other cities, any entity intending to conduct a road testing, demonstration application of autonomous driving vehicles and/or commercial operations in these cities must file an application for road testing, demonstration application and/or commercial operations with a designated local agency supervising road testing, operation and commercialization of autonomous vehicles in these cities. It also remains uncertain what additional compliance requirements we need to meet in order to undertake a road testing, operation and commercialization of our autonomous driving cars in other locations in Chinese mainland. Baidu has received the remote driving road test permit in Beijing, Shanghai, Guangzhou, Shenzhen, Chongqing, Wuhan, Chengdu, Nanjing, Hainan, Xiong’an, Suzhou and certain other cities or regions. It has also achieved the qualification for remote driving commercialization demonstration, allowing it to carry out fully driverless pilot commercialization in Wuhan, Chongqing, Beijing, Shenzhen, Shanghai, Hainan, Xiong’an and other cites or regions. There is no guarantee that the road testing, demonstration application and/or commercial operations of our autonomous driving cars in other locations fully complies with local laws and regulations. If our road testing, demonstration application and/or commercial operations are deemed by local enforcement authority as a violation of the applicable traffic and transportation laws, in addition to being warned or fined according to the laws and regulations on road traffic safety, we may also have to suspend the road testing, the demonstration application and/or commercial operations, which may result in that the progress of our research and development of autonomous cars will be adversely affected and our revenue from driverless ride-hailing services will decline. On January 30, 2026, eight departments including the MIIT issued the Guidelines on Automotive Data Outbound Transfer Security (2026 Edition), which took effect on the same date. The guidelines stipulate that in the autonomous driving scenario, algorithm files, source code, and algorithm parameters shall be classified as important data if they meet certain criteria. Automotive data processors are required, in accordance with the guidelines, to identify which automotive data shall undergo a security assessment for outbound transfer, enter into a standard contract for personal information outbound transfer, or obtain personal information outbound transfer certification. Where a data security assessment is required, automotive data processors shall submit the application through a legal entity established within Chinese mainland. See “Item 4.B. Information on the Company—Business Overview—Regulations —Regulations on Information Security.” Given that the guidelines are relatively new, their implementation in practice will be subject to further interpretation by the competent authorities. We will continue to monitor the requirements of the competent authorities; and undertake internal efforts to identify important data in accordance with these guidelines. Failure to complete the necessary security assessment for outbound transfer of important data as determined and required by the guidelines may negatively impact the stability of our business operations abroad. Furthermore, if we fail to comply with the provisions of the guidelines, we may face penalties imposed by the competent authorities. In addition, we also engage in generative AI business which is a new business area in Chinese mainland. The regulatory and legal framework on generative AI is evolving rapidly and may not sufficiently cover all aspects of the research, development and application of generative AI in Chinese mainland. The PRC government authorities have gradually accelerated the pace of legislation for generative AI related technologies including algorithm recommendation and deep synthesis in recent years. Since the end of 2021, PRC government authorities have released a series of regulations on generative AI. See “Item 4.B. Information on the Company—Business Overview—Regulations—Regulations on Artificial Intelligence—Regulations on Generative AI.” However, since some of such laws and regulations are still relatively new and significant uncertainties exist with respect to the interpretation and implementation of such laws and regulations, we cannot assure whether we will be able to comply with the requirements of such laws and regulations in a timely manner or at all. If we are unable to obtain the necessary approvals or if we have any dispute with any third party relating to intellectual property or data security, our business operation may be adversely affected.</w:t>
      </w:r>
    </w:p>
    <w:p>
      <w:pPr>
        <w:spacing w:after="0" w:line="13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140"/>
          </w:cols>
          <w:pgMar w:left="320" w:top="482" w:right="4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interpretation and application of existing laws, regulations and policies and possible new laws, regulations or policies of Chinese mainland relating to the internet industry and artificial intelligence have created substantial uncertainties regarding the legality of existing and future foreign investments in, and the businesses and activities of, internet businesses in Chinese mainland, including our business.</w:t>
      </w:r>
    </w:p>
    <w:p>
      <w:pPr>
        <w:spacing w:after="0" w:line="280" w:lineRule="exact"/>
        <w:rPr>
          <w:sz w:val="20"/>
          <w:szCs w:val="20"/>
          <w:color w:val="auto"/>
        </w:rPr>
      </w:pPr>
    </w:p>
    <w:p>
      <w:pPr>
        <w:jc w:val="both"/>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failure to meet the PRC government’s complex regulatory requirements on our business operation could have a material adverse effect on our operations and the value of our securities.</w:t>
      </w:r>
    </w:p>
    <w:p>
      <w:pPr>
        <w:spacing w:after="0" w:line="51" w:lineRule="exact"/>
        <w:rPr>
          <w:sz w:val="20"/>
          <w:szCs w:val="20"/>
          <w:color w:val="auto"/>
        </w:rPr>
      </w:pPr>
    </w:p>
    <w:p>
      <w:pPr>
        <w:jc w:val="both"/>
        <w:ind w:left="120" w:firstLine="440"/>
        <w:spacing w:after="0" w:line="251" w:lineRule="auto"/>
        <w:rPr>
          <w:sz w:val="20"/>
          <w:szCs w:val="20"/>
          <w:color w:val="auto"/>
        </w:rPr>
      </w:pPr>
      <w:r>
        <w:rPr>
          <w:rFonts w:ascii="Times New Roman" w:cs="Times New Roman" w:eastAsia="Times New Roman" w:hAnsi="Times New Roman"/>
          <w:sz w:val="18"/>
          <w:szCs w:val="18"/>
          <w:color w:val="auto"/>
        </w:rPr>
        <w:t>We conduct our business primarily through the variable interest entities and the variable interest entities’ subsidiaries in Chinese mainland. The PRC government has significant oversight over the conduct of our business according to the laws and regulations of Chinese mainland. However, since the PRC legal system continues to rapidly evolve and many laws and regulations are relatively new, the interpretation and enforcement of these laws, regulations and rules involve uncertainties. Any failure to meet the PRC government’s complex regulatory requirements due to such uncertainties could have a material adverse effect on our operation and/or the value of our listed securities. Also, the PRC government has recently promulgated certain regulations and rules to exert more oversight and control over offerings that are conducted overseas and/or foreign investment in China-based issuers. For example, on July 6, 2021, the relevant PRC government authorities made public the Opinions on Strictly Scrutinizing Illegal Securities Activities in Accordance with the Law, which emphasize the need to strengthen the administration over illegal securities activities and the supervision on overseas listings by Chinese mainland-based companies. On February 17, 2023, the CSRC released the Trial Administrative Measures of Overseas Securities Offering and Listing by Domestic Companies and five supporting guidelines, which took effect on March 31, 2023. Pursuant to the Filing Rules, domestic companies that seek to offer or list their securities in an overseas market, whether directly or indirectly, are required to fulfill a filing procedure and report relevant information to the CSRC. On December 28, 2021, the CAC issued the Cybersecurity Review Measures, which require that network platform operators holding over one million users’ personal information are required to apply for a cybersecurity review with the Cybersecurity Review Office before any public offering in a foreign country. On September 24, 2024, the State Council also issued the Regulations on the Network Data Security, which provide that where network data processors carry out network data processing activities that have affected or may affect national security, they shall undergo a national security review in accordance with the relevant laws and regulations. Since the Opinions on Strictly Scrutinizing Illegal Securities Activities in Accordance with the Law, the Filing Rules, the Cybersecurity Review Measures, and the Regulations on the Network Data Security are relatively new and remain unclear on how they will be interpreted, amended and implemented by the PRC government authorities, it remains uncertain whether we can obtain the specific regulatory approvals from, and complete the required filings with the CSRC, CAC or any other PRC government authorities for our future securities offering in a timely basis or at all. If we are unable to obtain such approvals or complete such filings, or such approvals or filings are rescinded even if obtained, our ability to continue to offer securities to investors will be significantly limited or completely hindered and the value of such securities may be significantly declined. In addition, implementation of industry-wide regulations directly targeting our operations could result in adverse effect on the value of our securities. Therefore, investors of our company and our business face potential uncertainty if we fail to meet the PRC government’s regulatory requirements on our operation.</w:t>
      </w:r>
    </w:p>
    <w:p>
      <w:pPr>
        <w:spacing w:after="0" w:line="309" w:lineRule="exact"/>
        <w:rPr>
          <w:sz w:val="20"/>
          <w:szCs w:val="20"/>
          <w:color w:val="auto"/>
        </w:rPr>
      </w:pPr>
    </w:p>
    <w:p>
      <w:pPr>
        <w:jc w:val="both"/>
        <w:ind w:left="120"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failure or perceived failure by us to comply with the enacted Guidelines to Anti-Monopoly in the Field of Internet Platforms and other anti-monopoly laws and regulations may result in governmental investigations or enforcement actions, litigation or claims against us and could have an adverse effect on our business, financial condition and results of operations.</w:t>
      </w:r>
    </w:p>
    <w:p>
      <w:pPr>
        <w:spacing w:after="0" w:line="67" w:lineRule="exact"/>
        <w:rPr>
          <w:sz w:val="20"/>
          <w:szCs w:val="20"/>
          <w:color w:val="auto"/>
        </w:rPr>
      </w:pPr>
    </w:p>
    <w:p>
      <w:pPr>
        <w:jc w:val="both"/>
        <w:ind w:left="120" w:right="20" w:firstLine="440"/>
        <w:spacing w:after="0" w:line="277" w:lineRule="auto"/>
        <w:rPr>
          <w:sz w:val="20"/>
          <w:szCs w:val="20"/>
          <w:color w:val="auto"/>
        </w:rPr>
      </w:pPr>
      <w:r>
        <w:rPr>
          <w:rFonts w:ascii="Times New Roman" w:cs="Times New Roman" w:eastAsia="Times New Roman" w:hAnsi="Times New Roman"/>
          <w:sz w:val="17"/>
          <w:szCs w:val="17"/>
          <w:color w:val="auto"/>
        </w:rPr>
        <w:t>The PRC anti-monopoly enforcement agencies have in recent years strengthened enforcement under the PRC Anti-monopoly Law. The SAMR was formed in March 2018 to take over, among other things, the anti-monopoly enforcement functions from other government authorities, and has since then continued to strengthen anti-monopoly enforcement. In November 2021, the National Anti-monopoly Bureau was inaugurated by the State Council, which aims to further implement the fair competition policies, and strengthen anti-monopoly supervision in Chinese mainland, especially to strengthen oversight and law enforcement in areas involving platform economy, innovation, science and technology, information security and people’s livelihood.</w:t>
      </w:r>
    </w:p>
    <w:p>
      <w:pPr>
        <w:spacing w:after="0" w:line="10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140"/>
          </w:cols>
          <w:pgMar w:left="320" w:top="482" w:right="4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firstLine="440"/>
        <w:spacing w:after="0" w:line="251" w:lineRule="auto"/>
        <w:rPr>
          <w:sz w:val="20"/>
          <w:szCs w:val="20"/>
          <w:color w:val="auto"/>
        </w:rPr>
      </w:pPr>
      <w:r>
        <w:rPr>
          <w:rFonts w:ascii="Times New Roman" w:cs="Times New Roman" w:eastAsia="Times New Roman" w:hAnsi="Times New Roman"/>
          <w:sz w:val="18"/>
          <w:szCs w:val="18"/>
          <w:color w:val="auto"/>
        </w:rPr>
        <w:t>In addition to improving the anti-monopoly enforcement agencies, the PRC government is also enhancing its anti-monopoly laws, regulations and guidance in recent years. In September 2020, the SAMR issued Anti-monopoly Compliance Guideline for Operators, which encourages, under the PRC Anti-monopoly Law, operators to establish anti-monopoly compliance management systems to prevent anti-monopoly compliance risks. In particular, in February 2021, the Anti-monopoly Commission of the State Council officially promulgated Guidelines to Anti-Monopoly in the Field of Internet Platforms. Pursuant to an official interpretation from the Anti-monopoly Commission of the State Council, these guidelines mainly cover five aspects, including general provisions, monopoly agreements, abuse of market dominance, concentration of undertakings, and abuse of administrative powers that eliminate or restrict competition. These guidelines prohibit certain monopolistic acts of internet platforms so as to protect market competition and safeguard interests of consumers and undertakings participating in internet platform economy, including without limitation, prohibiting companies with dominant position from abusing their market dominance (such as discriminating customers in terms of pricing and other transactional conditions using big data and analytics, coercing counterparties into exclusivity arrangements through entering into written or oral agreements or using technologies to block competitors’ interface or reduce positions in search results of goods displays, using bundle services to sell different services or products, compulsory collection of unnecessary user data). In addition, these guidelines also reinforce anti-monopoly merger review for internet platform related transactions to safeguard market competition. In practice, the PRC government authority also strengthens the supervision of monopoly and other unfair competition acts, and requests to establish a new order of the platform economy. In April 2021, the SAMR, together with certain other PRC government authorities convened an administrative guidance meeting, focusing on the problem of requiring the operators on the platform to choose “one out of two” competitive platforms and other prominent problems, requesting major internet companies to conduct self-inspection and rectification on the activities which may violate anti-monopoly, anti-unfair competition, tax and other related laws and regulations, to comply with the laws and regulations strictly and to be subject to public supervision. In addition, many internet companies, including the over 30 companies which attended such administrative guidance meeting, were required to conduct a comprehensive self-inspection and make necessary rectification accordingly. The SAMR stated it would organize and conduct inspections on the companies’ rectification results. If any companies were found to conduct illegal activities, more severe penalties would be imposed on them in accordance with the laws. We completed such self-inspection and did not receive any further inquiry from the government authorities. We cannot assure you that our business operations comply with such regulations and authorities’ requirements in all respects. If any non-compliance is raised by the authorities and determined against us, we may be subject to fines and other penalties.</w:t>
      </w:r>
    </w:p>
    <w:p>
      <w:pPr>
        <w:spacing w:after="0" w:line="205" w:lineRule="exact"/>
        <w:rPr>
          <w:sz w:val="20"/>
          <w:szCs w:val="20"/>
          <w:color w:val="auto"/>
        </w:rPr>
      </w:pPr>
    </w:p>
    <w:p>
      <w:pPr>
        <w:jc w:val="both"/>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According to the PRC Anti-monopoly Law and related regulations, companies undertaking certain investments and acquisitions relating to business in China must notify and obtain approval from the PRC anti-monopoly enforcement agencies before completing any transaction where the parties’ revenues exceed certain thresholds and the buyer would obtain control of, or decisive influence over, the other party, or any transaction that would otherwise trigger the merger control filing obligations. As part of the PRC government authorities’ measures to strengthen antimonopoly supervision, the PRC Anti-monopoly Law, which was amended and became effective on August 1, 2022, raises the maximum fines for failure to file for concentration of undertakings, and introduces a “stop-clock mechanism” which may prolong the length of period for concentration review. In addition, on January 22, 2024, the State Council of the PRC released the revised Provisions of the State Council on the Threshold for the Filing of Concentration of Undertakings, which raise the filing threshold of revenue, and provide that certain transactions should also be reported to the anti-monopoly authority even if the revenue threshold is not met. Under these provisions, certain acquisition or investment transactions between one party with large revenue, like us, and small-scale enterprises, may be also subject to the filing of concentration of undertakings. See “Item 4.B. Information on the Company— Business Overview—Regulations—Regulations on Anti-Monopoly and Unfair Competition Matters related to Internet Platform Companies.”</w:t>
      </w:r>
    </w:p>
    <w:p>
      <w:pPr>
        <w:spacing w:after="0" w:line="192"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In addition to amending certain laws and regulations related to concentrations of undertaking, the PRC government has also expanded the scope of the concentrations of undertaking subject to examination. To our knowledge, there had been few precedents where internet companies with a VIE structure were investigated for being involved in the concentrations of undertaking before year of 2020. It had been long debated whether transactions involving internet companies with a VIE structure are subject to prior filing of notification requirements, since filing of notification of concentration of undertaking made by some internet companies were not accepted in the past. Due to such regulatory history in the industry and as a matter of common industry practice at the time, we did not file prior notification of concentrations of undertaking in the past. However, since 2020, the SAMR has indicated a change of its regulatory practice in this regard by publishing cases of concentration of undertaking involving a VIE structure, explicit inclusion for the first time of the filing requirement for concentrations involving a VIE structure in the anti-monopoly regulations and rules and penalizing certain internet companies with a VIE structure for failure to file prior notifications of implementing concentrations. Hence, starting from 2020, the SAMR has been reviewing historical cases of concentrations of undertaking of internet companies with a VIE structure, and past failure to file prior notification of concentrations of undertaking may be investigated and penalized.</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140"/>
          </w:cols>
          <w:pgMar w:left="320" w:top="482" w:right="4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We previously received enquiries from the SAMR related to failure to file prior notification of concentrations of undertaking, and with respect to certain past transactions for which we failed to file the prior notification, we were fined an amount of RMB500,000 for each case. There can be no assurance that we will not be subject to more enquiries or penalties in the future. If the anti-monopoly authority determines we, in the past or in the future, have failed to file other concentrations which are subject to the prior notification, we may be subject to penalty, and in extreme case being ordered to terminate the contemplated concentration, to dispose of our equity or asset within a prescribed period, to transfer our business within a prescribed time or to take any other necessary measures to restore to the pre-concentration status.</w:t>
      </w:r>
    </w:p>
    <w:p>
      <w:pPr>
        <w:spacing w:after="0" w:line="187"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Due to the enhanced enforcement of and tightened regulatory requirements under the Amended Anti-Monopoly Law, we may receive greater scrutiny and attention from regulators and more frequent and stringent investigation or review by regulators, which will increase our compliance costs and subject us to heightened risks and challenges. In addition, there are significant uncertainties on the evolving legislative activities and varied local implementation practices of anti-monopoly and competition laws and regulations in Chinese mainland. We may have to spend more resources and time evaluating and managing these risks and challenges in connection with our products and services as well as our investments in our ordinary business course to avoid any failure to comply with these regulations. Any failure or perceived failure by us to comply with the enacted Guidelines to Anti-Monopoly in the Field of Internet Platforms and other anti-monopoly laws and regulations may result in governmental investigations or enforcement actions, lawsuits or claims against us and could have an adverse effect on our business, financial condition and results of operations.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various economic sanction and export control laws.</w:t>
      </w:r>
    </w:p>
    <w:p>
      <w:pPr>
        <w:spacing w:after="0" w:line="121"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are subject to various economic and trade sanctions laws in different jurisdictions. For example, U.S. economic sanctions prohibit the provision of products and services to countries, governments, and persons targeted by U.S. sanctions, including specific license requirements for the export, re-export and/or transfer of specified items. United Kingdom financial sanctions and European Union sanctions also have similar regime to prohibit the provision of products and services to countries, governments and persons on their respective target list.</w:t>
      </w:r>
    </w:p>
    <w:p>
      <w:pPr>
        <w:spacing w:after="0" w:line="180" w:lineRule="exact"/>
        <w:rPr>
          <w:sz w:val="20"/>
          <w:szCs w:val="20"/>
          <w:color w:val="auto"/>
        </w:rPr>
      </w:pPr>
    </w:p>
    <w:p>
      <w:pPr>
        <w:jc w:val="both"/>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In July 2025, the Ministry of Commerce and the Ministry of Technology jointly promulgated the amended Catalog of Technologies Prohibited or Restricted from Export of the PRC, which superseded the No. 57 Announcement in 2023 on Adjusting and Promulgating the Catalogue of Technologies Prohibited or Restricted from Export of the PRC and provided that certain technologies on interactive interface of AI, voice recognition and speech synthesis which are specially used in Chinese and minority languages in the PRC and personalized information push service technology based on data analysis could be restricted for export from Chinese mainland without approval. According to the Administrative Measures on the Import and Export of Technologies of the PRC, which were revised by the State Council in November 2020, if we would like to conduct any type of cross-border technology service or cooperation involving certain AI technologies which are or may be (subject to determination by the government authority) restricted from export, we would be required to apply for approval from the provincial competent commercial department before entering into any substantial stage of negotiation or execution of any technology export contract. If and after such contract is executed, we must apply for an export certificate and such contract would only come into effect after the competent commercial department has granted us the permit. Such process may be time consuming and there is no guarantee that such permit would always be granted, which could negatively affect our potential cross-border technology service or cooperation.</w:t>
      </w:r>
    </w:p>
    <w:p>
      <w:pPr>
        <w:spacing w:after="0" w:line="190"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While we believe that we have been, and that we continue to be, in compliance with applicable economic sanction and export control laws, our failure to employ appropriate safeguards with respect to users located in countries that are targets of economic sanctions or export control may result in a violation of such laws and regulations. Non-compliance with applicable governmental economic sanctions or export control laws could subject us to adverse media coverage, investigations, severe administrative, civil and possibly criminal sanctions, and expenses related to remedial measures and legal expenses, which could materially and adversely affect our reputation, business, financial condition, results of operations and prospects.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140"/>
          </w:cols>
          <w:pgMar w:left="320" w:top="482" w:right="4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both"/>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are uncertainties associated with the laws and regulations of Chinese mainland on virtual assets, and therefore it is not clear what liabilities, if any, we may have relating to the loss of virtual assets by our users.</w:t>
      </w:r>
    </w:p>
    <w:p>
      <w:pPr>
        <w:spacing w:after="0" w:line="51"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While participating on our platform, our users may acquire, purchase and accumulate certain virtual assets, such as gifts or certain statuses and privileges. Such virtual assets can be important to users and have monetary value and, in some cases, can be cashed to actual money. However, virtual assets may become lost for various reasons, often through unauthorized use of the account of one user by other users and occasionally through data loss caused by delays in network service, network crashes or hacking activities. Currently, since the legislation of Chinese mainland on virtual assets are still developing and evolving, uncertainties still exist as to who the legal owner of virtual assets is, whether and how the ownership of virtual assets is protected by law, and whether an operator of a platform would have any liability, whether in contract, tort or otherwise, to users or other interested parties, for loss of such virtual assets. Some judgments of the courts of Chinese mainland ordered certain online platform operators liable for losses of virtual assets by platform users, and have ordered online platform operators to restore the lost virtual items to users or pay damages and losses. In case of a loss of virtual assets, we may be sued by our users and held liable for losses, which may negatively affect our reputation, business, financial condition, results of operations and prospects. We have been involved in virtual items related lawsuits in the past, and we cannot assure you that such lawsuits will not be brought against us again in the future.</w:t>
      </w:r>
    </w:p>
    <w:p>
      <w:pPr>
        <w:spacing w:after="0" w:line="296" w:lineRule="exact"/>
        <w:rPr>
          <w:sz w:val="20"/>
          <w:szCs w:val="20"/>
          <w:color w:val="auto"/>
        </w:rPr>
      </w:pPr>
    </w:p>
    <w:p>
      <w:pPr>
        <w:jc w:val="both"/>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Uncertainties exist with respect to the interpretation and implementation of the PRC Foreign Investment Law and its implementation regulations and how it may impact the viability of our current corporate structure, corporate governance and business operations.</w:t>
      </w:r>
    </w:p>
    <w:p>
      <w:pPr>
        <w:spacing w:after="0" w:line="51" w:lineRule="exact"/>
        <w:rPr>
          <w:sz w:val="20"/>
          <w:szCs w:val="20"/>
          <w:color w:val="auto"/>
        </w:rPr>
      </w:pPr>
    </w:p>
    <w:p>
      <w:pPr>
        <w:jc w:val="both"/>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On January 1, 2020, the PRC Foreign Investment Law and the Regulations for Implementation of the PRC Foreign Investment Law came into effect and replaced the trio of prior laws regulating foreign investment in Chinese mainland, namely, the Sino-foreign Equity Joint Venture Enterprise Law, the Sino-foreign Cooperative Joint Venture Enterprise Law and the Wholly Foreign-invested Enterprise Law, together with their implementation rules and ancillary regulations. The PRC Foreign Investment Law and its implementation regulations embody an expected regulatory trend of Chinese mainland to rationalize its foreign investment regulatory regime in line with prevailing international practice and the legislative efforts to unify the corporate legal requirements for both foreign and domestic investments. However, there are still uncertainties in relation to the interpretation and implementation of the PRC Foreign Investment Law and its implementation regulations. For instance, under the PRC Foreign Investment Law, “foreign investment” refers to the investment activities directly or indirectly conducted in Chinese mainland by foreign individuals, enterprises or other entities. Though it does not explicitly classify contractual arrangements as a form of foreign investment, there is no assurance that foreign investment via contractual arrangement would not be interpreted as a type of indirect foreign investment activities under the definition in the future. In addition, the definition contains a catch-all provision which includes investments made by foreign investors through means stipulated in laws or administrative regulations or other methods prescribed by the State Council. Therefore, it still leaves leeway for future laws, administrative regulations or provisions promulgated by the State Council to provide for contractual arrangements as a form of foreign investment. In any of these cases, it will be uncertain whether our contractual arrangements will be deemed to be in violation of the market access requirements for foreign investment under the laws and regulations of Chinese mainland. Furthermore, if future laws, administrative regulations or provisions prescribed by the State Council mandate further actions to be taken by companies with respect to existing contractual arrangements, we may face substantial uncertainties as to whether we can complete such actions in a timely manner, or at all.</w:t>
      </w:r>
    </w:p>
    <w:p>
      <w:pPr>
        <w:spacing w:after="0" w:line="1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140"/>
          </w:cols>
          <w:pgMar w:left="320" w:top="482" w:right="4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If any of the variable interest entities were deemed as foreign invested enterprise under any such future laws, administrative regulations or provisions and any of our business were included in any negative list or other form of restrictions on foreign investment, we may need to take further actions to comply with such future laws, administrative regulations or provisions. Such actions may have a material and adverse impact on our business, financial condition, result of operations and prospects. If we or any of the variable interest entities is found to be in violation of any existing or future laws, administrative regulations or provisions of Chinese mainland, or fail to obtain or maintain any of the required permits or approvals, the PRC regulatory authorities would have broad discretion to take corresponding action regarding such violations or failures to such entities, such as:</w:t>
      </w:r>
    </w:p>
    <w:p>
      <w:pPr>
        <w:spacing w:after="0" w:line="93" w:lineRule="exact"/>
        <w:rPr>
          <w:sz w:val="20"/>
          <w:szCs w:val="20"/>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 to immediately terminate prohibited investment activities and to take certain measures to return to the pre-investment status;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 to rectify within prescribed period and to take necessary measures to comply with such laws, administrative regulations or provisions;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revocation of such entities’ business licenses and/or operating licenses;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shutting down of our website, or discontinuance or restriction on any transactions between certain of our Chinese mainland subsidiaries with them;</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confiscation of the income from our Chinese mainland subsidiaries or the variable interest entities, or other requirements with which we or the variable interest entities may not be able to comply;</w:t>
      </w:r>
    </w:p>
    <w:p>
      <w:pPr>
        <w:spacing w:after="0" w:line="67" w:lineRule="exact"/>
        <w:rPr>
          <w:rFonts w:ascii="Times New Roman" w:cs="Times New Roman" w:eastAsia="Times New Roman" w:hAnsi="Times New Roman"/>
          <w:sz w:val="18"/>
          <w:szCs w:val="18"/>
          <w:color w:val="auto"/>
        </w:rPr>
      </w:pPr>
    </w:p>
    <w:p>
      <w:pPr>
        <w:jc w:val="both"/>
        <w:ind w:left="1080" w:hanging="424"/>
        <w:spacing w:after="0" w:line="266"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 to restructure our ownership structure, corporate governance and business operations, including terminating the contractual arrangements with the variable interest entities and deregistering the equity pledges of the variable interest entities, which in turn would affect our ability to consolidate, derive economic interests from, or impose control over the variable interest entities; or</w:t>
      </w:r>
    </w:p>
    <w:p>
      <w:pPr>
        <w:spacing w:after="0" w:line="81"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 or prohibition on our use of the proceeds of any financing outside Chinese mainland to finance our business operations in Chinese mainland, and other regulatory or enforcement actions that could be harmful to our business.</w:t>
      </w:r>
    </w:p>
    <w:p>
      <w:pPr>
        <w:spacing w:after="0" w:line="162" w:lineRule="exact"/>
        <w:rPr>
          <w:sz w:val="20"/>
          <w:szCs w:val="20"/>
          <w:color w:val="auto"/>
        </w:rPr>
      </w:pPr>
    </w:p>
    <w:p>
      <w:pPr>
        <w:jc w:val="both"/>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Any of the above penalties may result in a material and adverse effect on our business operation. In addition, if the PRC regulatory authorities were to find our legal structure and contractual arrangements to be in violation of any laws, administrative regulations or provisions of Chinese mainland, we are uncertain what impact of above PRC regulatory authorities’ actions would have on us and our ability to consolidate the variable interest entities in the consolidated financial statement. If any of these regulatory actions result in us losing our right to direct the activities of the variable interest entities or to receive substantially all the economic benefits and residual returns from the variable interest entities and we are not able to restructure our ownership structure and operations in a satisfactory manner, we would no longer be able to consolidate the financial results of the variable interest entities in the consolidated financial statements. Any of the above results, or any other significant unfavorable actions that might be imposed on us in this event, would have an adverse effect on our business, financial condition, results of operations and prospects. Failure to take timely and appropriate measures to cope with any of these or similar regulatory compliance challenges could materially and adversely affect our current corporate structure, corporate governance and business operations.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It may be difficult for overseas regulators to conduct investigation or collect evidence within Chinese mainland.</w:t>
      </w:r>
    </w:p>
    <w:p>
      <w:pPr>
        <w:spacing w:after="0" w:line="121"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Shareholder claims or regulatory investigation that are common in the United States generally are difficult to pursue as a matter of law or practicality in Chinese mainland. For example, in Chinese mainland, there are significant legal and other obstacles to providing information needed for regulatory investigations or litigation initiated outside Chinese mainland. Although the authorities in Chinese mainland may establish a regulatory cooperation mechanism with the securities regulatory authorities of another country or region to implement cross-border supervision and administration, such cooperation with the securities regulatory authorities in the United States may not be efficient in the absence of mutual and practical cooperation mechanism. Furthermore, according to Article 177 of the PRC Securities Law, which became effective in March 2020, no overseas securities regulator is allowed to directly conduct investigation or evidence collection activities within the territory of Chinese mainland. While detailed interpretation of or implementation rules under this Article 177 have yet to be promulgated, the inability for an overseas securities regulator to directly conduct investigation or evidence collection activities within Chinese mainland may further increase difficulties faced by you in protecting your interests. See also “—Risks Related to Our ADSs and Class A Ordinary Shares—Certain judgments obtained against us by our shareholders may not be enforceable.” for risks associated with investing in us as a Cayman Islands company.</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140"/>
          </w:cols>
          <w:pgMar w:left="320" w:top="482" w:right="4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both"/>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liability for information displayed on or linked to our websites or mobile apps and negative publicity in international media, and our business may be adversely affected as a result.</w:t>
      </w:r>
    </w:p>
    <w:p>
      <w:pPr>
        <w:spacing w:after="0" w:line="51"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The PRC government has adopted regulations governing internet access and distribution of news and other information over the internet. Under these regulations, internet content providers and internet publishers are prohibited from posting or displaying over the internet content that, among other things, violates the laws and regulations of Chinese mainland, impairs the national dignity of China, contains terrorism or extremism content, or is reactionary, obscene, superstitious, fraudulent or defamatory. Failure to comply with these requirements may result in the revocation of licenses to provide internet content and other licenses and the closure of the concerned websites. In the past, failure to comply with these requirements has resulted in the closure of certain websites. The website operator may also be held liable for the information displayed on or linked to the website or the mobile apps.</w:t>
      </w:r>
    </w:p>
    <w:p>
      <w:pPr>
        <w:spacing w:after="0" w:line="189"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In particular, the MIIT has published regulations that subject website operators to potential liability for content displayed on their websites or mobile apps and the actions of users and others using their systems, including liability for violations of the laws and regulations of Chinese mainland prohibiting the dissemination of content deemed to be socially destabilizing. The Ministry of Public Security has the authority to order any local internet service provider to block any internet website at its sole discretion. From time to time, the Ministry of Public Security has stopped the dissemination over the internet of information which it believes to be socially destabilizing. The State Secrecy Bureau is also authorized to block any website it deems to be leaking state secrets or failing to meet the regulations relating to the protection of state secrets in the dissemination of online information. Furthermore, we are required to report any suspicious content to the government authorities, and to undergo computer security inspections. If we fail to implement the relevant safeguards against security breaches, our websites may be shut down and our business and ICP licenses may be revoked. In addition, the CAC has, from time to time, also issued rules enhancing the internet service provider’s obligations to monitor information displayed on its information platform and prevent dissemination of illegal contents. See “Item 4.B. Information on the Company—Business Overview—Regulations— Regulations on Value-Added Telecommunications Services and Internet Content Services—Regulations on Content.”</w:t>
      </w:r>
    </w:p>
    <w:p>
      <w:pPr>
        <w:spacing w:after="0" w:line="192"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The PRC Anti-Terrorism Law, which took effect on January 1, 2016 and was amended on April 27, 2018, further requires internet service providers to verify the identity of their users, and to not provide services to anyone whose identity is unclear or who declines verification. Although the identity verification requirements are already embodied in some internet related regulations, the PRC Anti-Terrorism Law extends these requirements to all types of internet services. The internet service providers are also required to provide technical interfaces, decryption and other technical support and assistance for the competent departments to prevent and investigate terrorist activities. See “Item 4.B. Information on the Company—Business Overview—Regulations—Regulations on Information Security” for more details.</w:t>
      </w:r>
    </w:p>
    <w:p>
      <w:pPr>
        <w:spacing w:after="0" w:line="187" w:lineRule="exact"/>
        <w:rPr>
          <w:sz w:val="20"/>
          <w:szCs w:val="20"/>
          <w:color w:val="auto"/>
        </w:rPr>
      </w:pPr>
    </w:p>
    <w:p>
      <w:pPr>
        <w:jc w:val="both"/>
        <w:ind w:left="120" w:firstLine="440"/>
        <w:spacing w:after="0" w:line="252" w:lineRule="auto"/>
        <w:rPr>
          <w:sz w:val="20"/>
          <w:szCs w:val="20"/>
          <w:color w:val="auto"/>
        </w:rPr>
      </w:pPr>
      <w:r>
        <w:rPr>
          <w:rFonts w:ascii="Times New Roman" w:cs="Times New Roman" w:eastAsia="Times New Roman" w:hAnsi="Times New Roman"/>
          <w:sz w:val="18"/>
          <w:szCs w:val="18"/>
          <w:color w:val="auto"/>
        </w:rPr>
        <w:t>Although we attempt to monitor the content in our search results, mobile apps, online communities such as Baidu Post, we are not able to control or restrict the content of other internet content providers linked to or accessible through our websites, mobile apps, or content generated or placed on our Baidu Post message boards, mini programs, or our other online communities by our users. To the extent that PRC regulatory authorities find any content displayed on our websites or mobile apps illegal, they may require us to limit or eliminate the dissemination of such information on our websites or mobile apps. To the extent that PRC regulatory authorities find any content displayed on our websites or mobile apps objectionable, they may suggest that we limit or eliminate the dissemination of such information on our websites or mobile apps. If third-party websites linked to or accessible through our websites or mini programs accessible through our mobile apps conduct unlawful activities such as online gambling, PRC regulatory authorities may require us to report such unlawful activities to the authorities and to remove the links to such websites or mobile apps, or they may suspend or shut down the operation of these third-party websites. PRC regulatory authorities may also temporarily block access to certain websites or mobile apps for a period of time for reasons beyond our control. Any of these actions may reduce our user traffic and adversely affect our business. In addition, we have been and may be subject to penalties in the future for violations of those regulations arising from information displayed on or linked to our websites or mobile apps, including a suspension or shutdown of our online operations. Although we make our best efforts to closely monitor and filter the contents displayed and disseminated on our Baidu App and other products, we cannot assure you that incidents of similar type would not take place in the future. Moreover, our compliance with Chinese mainland’s regulations governing internet access and distribution of news and other information over the internet may subject us to negative publicity or even legal actions outside of Chinese mainland.</w:t>
      </w:r>
    </w:p>
    <w:p>
      <w:pPr>
        <w:spacing w:after="0" w:line="12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140"/>
          </w:cols>
          <w:pgMar w:left="320" w:top="482" w:right="4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both"/>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Discontinuation of any of the preferential income tax treatments currently available to us in Chinese mainland could have a material and adverse effect on our result of operations and financial condition.</w:t>
      </w:r>
    </w:p>
    <w:p>
      <w:pPr>
        <w:spacing w:after="0" w:line="51"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Pursuant to the EIT Law, as further clarified by subsequent tax regulations implementing the EIT Law, foreign-invested enterprises and domestic enterprises are subject to enterprise income tax at a uniform rate of 25%. Certain enterprises may benefit from a preferential tax rate of 15% under the EIT Law if they qualify as “High and New Technology Enterprises strongly supported by the state,” subject to certain general factors described in the EIT Law and the related regulations. Furthermore, a “High and New Technology Enterprise” can claim a super deduction for eligible research and development expenses, receiving a 175% super deduction from January 1, 2018 to September 30, 2022, and a 200% super deduction from October 1, 2022 onwards.</w:t>
      </w:r>
    </w:p>
    <w:p>
      <w:pPr>
        <w:spacing w:after="0" w:line="187"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A number of our Chinese mainland subsidiaries and the variable interest entities are entitled to enjoy a preferential tax rate of 15% due to their qualification as “High and New Technology Enterprise,” which are subject to renewal every three years. If any or some of these Chinese mainland subsidiaries and variable interest entities fail to maintain the “High and New Technology Enterprise” qualification, their applicable enterprise income tax rate will increase to 25%. Certain of our Chinese mainland subsidiaries and the variable interest entities enjoy a 200% super deduction for eligible research and development expenses. However, there is no assurance that the 200% super deduction preferential policy will continue in the future.</w:t>
      </w:r>
    </w:p>
    <w:p>
      <w:pPr>
        <w:spacing w:after="0" w:line="183"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Discontinuation of any of the above-mentioned preferential income tax treatments currently available to us in Chinese mainland could have a material and adverse effect on our result of operations and financial condition. We cannot assure you that we will be able to maintain our current effective tax rate in the future.</w:t>
      </w:r>
    </w:p>
    <w:p>
      <w:pPr>
        <w:spacing w:after="0" w:line="280" w:lineRule="exact"/>
        <w:rPr>
          <w:sz w:val="20"/>
          <w:szCs w:val="20"/>
          <w:color w:val="auto"/>
        </w:rPr>
      </w:pPr>
    </w:p>
    <w:p>
      <w:pPr>
        <w:jc w:val="both"/>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Chinese mainland subsidiaries declare and distribute dividends to their respective offshore parent companies, we will be required to pay more taxes, which could have a material and adverse effect on our result of operations.</w:t>
      </w:r>
    </w:p>
    <w:p>
      <w:pPr>
        <w:spacing w:after="0" w:line="51"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Under the EIT Law and related regulations, dividends, interests, rent or royalties payable by a foreign-invested enterprise, such as our Chinese mainland subsidiaries, to any of its foreign non-resident enterprise investors, and proceeds from any such foreign enterprise investor’s disposition of assets (after deducting the net value of such assets) are subject to a 10% withholding tax, unless the foreign enterprise investor’s jurisdiction of incorporation has a tax treaty with Chinese mainland that provides for a reduced rate of withholding tax. Undistributed profits earned by foreign-invested enterprises prior to January 1, 2008 are exempted from any withholding tax. The British Virgin Islands, where Baidu Holdings Limited, the sole shareholder of certain of our Chinese mainland subsidiaries such as Baidu Online, is incorporated, does not have such a tax treaty with Chinese mainland. Hong Kong has a tax arrangement with Chinese mainland that provides for a 5% withholding tax on dividends subject to certain conditions and requirements, such as the requirement that the Hong Kong resident enterprise owns at least 25% of the Chinese mainland enterprise distributing the dividend at all times within the 12-month period immediately preceding the distribution of dividends and be a “beneficial owner” of the dividends. For example, Baidu (Hong Kong) Limited, which directly owns our Chinese mainland subsidiaries Baidu China and Baidu Times, is incorporated in Hong Kong.</w:t>
      </w:r>
    </w:p>
    <w:p>
      <w:pPr>
        <w:spacing w:after="0" w:line="192"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However, if Baidu (Hong Kong) Limited is not considered to be a Hong Kong tax resident enterprise or the beneficial owner of dividends paid or to be paid to it by Baidu China and Baidu Times under the tax circulars promulgated in February 2009 and 2018, such dividends would be subject to withholding tax at a rate of 10% which would result in additional tax expenses for us. See “Item 5.A. Operating and Financial Review and Prospects— Operating Results—Taxation—Chinese Mainland Enterprise Income Tax.” If our Chinese mainland subsidiaries further declare and distribute profits earned after January 1, 2008 to us in the future, such payments will be subject to withholding tax, which will further increase our tax liability and reduce the amount of cash available to our company.</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140"/>
          </w:cols>
          <w:pgMar w:left="320" w:top="482" w:right="4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both"/>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deemed a Chinese mainland resident enterprise under the EIT Law, which could subject us to Chinese mainland’s taxation on our global income, and which may have a material and adverse effect on our results of operations.</w:t>
      </w:r>
    </w:p>
    <w:p>
      <w:pPr>
        <w:spacing w:after="0" w:line="51" w:lineRule="exact"/>
        <w:rPr>
          <w:sz w:val="20"/>
          <w:szCs w:val="20"/>
          <w:color w:val="auto"/>
        </w:rPr>
      </w:pPr>
    </w:p>
    <w:p>
      <w:pPr>
        <w:jc w:val="both"/>
        <w:ind w:left="120" w:firstLine="440"/>
        <w:spacing w:after="0" w:line="252" w:lineRule="auto"/>
        <w:rPr>
          <w:sz w:val="20"/>
          <w:szCs w:val="20"/>
          <w:color w:val="auto"/>
        </w:rPr>
      </w:pPr>
      <w:r>
        <w:rPr>
          <w:rFonts w:ascii="Times New Roman" w:cs="Times New Roman" w:eastAsia="Times New Roman" w:hAnsi="Times New Roman"/>
          <w:sz w:val="18"/>
          <w:szCs w:val="18"/>
          <w:color w:val="auto"/>
        </w:rPr>
        <w:t>Under the EIT Law and related regulations, an enterprise established outside of Chinese mainland with “de facto management body” within Chinese mainland is considered a Chinese mainland resident enterprise and is subject to enterprise income tax at the rate of 25% on its worldwide income as well as PRC enterprise income tax reporting obligations. The related regulations define the term “de facto management body” as “the establishment that exercises substantial and overall management and control over the production, business, personnel, accounts and properties of an enterprise.” The State Administration of Taxation issued the Notice Regarding the Determination of Chinese-Controlled Offshore-Incorporated Enterprises as PRC Tax Resident Enterprises on the basis of de facto management bodies, issued on April 22, 2009 and further amended on December 29, 2017, or the SAT Circular 82, in April 2009, which provides certain specific criteria for determining whether the “de facto management body” of a Chinese-controlled overseas-incorporated enterprise is located in Chinese mainland. The State Administration of Taxation issued additional rules to provide more guidance on the implementation of SAT Circular 82 in July 2011, and issued an amendment to SAT Circular 82 delegating the authority to its provincial branches to determine whether a Chinese-controlled overseas-incorporated enterprise should be considered a Chinese mainland resident enterprise, in January 2014. See “Item 5.A. Operating and Financial Review and Prospects—Operating Results—Taxation—Chinese Mainland Enterprise Income Tax.” Although the SAT Circular 82, the additional guidance and amendment apply only to overseas registered enterprises controlled by Chinese mainland enterprises, not to those controlled by Chinese mainland individuals or foreigners, the criteria set forth in SAT Circular 82 may reflect the State Administration of Taxation’s general position on how the “de facto management body” test should be applied in determining the tax resident status of offshore enterprises, regardless of whether they are controlled by enterprises or individuals of Chinese mainland. If we are deemed a Chinese mainland resident enterprise, we may be subject to enterprise income tax at 25% on our global income, except that the dividends we receive from our Chinese mainland subsidiaries may be exempt from enterprise income tax to the extent such dividends are deemed as “dividends among qualified Chinese mainland resident enterprises.” If we are deemed a Chinese mainland resident enterprise and earn income other than dividends from our Chinese mainland subsidiaries, a 25% enterprise income tax on our global income could significantly increase our tax burden and materially and adversely affect our cash flow and profitability.</w:t>
      </w:r>
    </w:p>
    <w:p>
      <w:pPr>
        <w:spacing w:after="0" w:line="293" w:lineRule="exact"/>
        <w:rPr>
          <w:sz w:val="20"/>
          <w:szCs w:val="20"/>
          <w:color w:val="auto"/>
        </w:rPr>
      </w:pPr>
    </w:p>
    <w:p>
      <w:pPr>
        <w:jc w:val="both"/>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Under the tax laws of Chinese mainland, dividends payable by us and gains on the disposition of our shares or ADSs may be subject to Chinese mainland taxation.</w:t>
      </w:r>
    </w:p>
    <w:p>
      <w:pPr>
        <w:spacing w:after="0" w:line="51"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If we are considered a Chinese mainland resident enterprise under the EIT Law, our shareholders and ADS holders who are deemed non-resident enterprises may be subject to enterprise income tax at the rate of 10% upon the dividends payable by us or upon any gains realized from the transfer of our shares or ADSs, if such income is deemed derived from Chinese mainland;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such foreign enterprise investor has no establishment or premises in Chinese mainland, or (ii) it has establishment or premises in Chinese mainland but its income derived from Chinese mainland has no real connection with such establishment or premises. If we are required under the EIT Law to withhold Chinese mainland income tax on our dividends payable to our non-Chinese mainland resident enterprise shareholders and ADS holders, or if any gains realized from the transfer of our shares or ADSs by our non-Chinese mainland resident enterprise shareholders and ADS holders are subject to enterprise income tax, your investment in our shares or ADSs could be materially and adversely affected.</w:t>
      </w:r>
    </w:p>
    <w:p>
      <w:pPr>
        <w:spacing w:after="0" w:line="192"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Furthermore, if we are considered a Chinese mainland resident enterprise and the PRC tax authorities consider dividends we pay with respect to our shares or ADSs and the gains realized from the transfer of our shares or ADSs to be income derived from sources within Chinese mainland, it is possible that such dividends and gains earned by non-resident individuals may be subject to Chinese mainland individual income tax at a rate of 20%. If we are required under the tax laws of Chinese mainland to withhold Chinese mainland income tax on dividends payable to our non-Chinese mainland investors that are non-resident individuals or if you are required to pay Chinese mainland income tax on the transfer of our shares or ADSs, the value of your investment in our shares or ADSs may be materially and adversely affected.</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140"/>
          </w:cols>
          <w:pgMar w:left="320" w:top="482" w:right="4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both"/>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subsidiaries and the variable interest entities in Chinese mainland are subject to restrictions on paying dividends and making other payments to our holding company.</w:t>
      </w:r>
    </w:p>
    <w:p>
      <w:pPr>
        <w:spacing w:after="0" w:line="51"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Baidu, Inc. is our holding company incorporated in the Cayman Islands. As a result of the holding company structure, it currently relies on dividend payments from our subsidiaries in Chinese mainland. However, the regulations of Chinese mainland currently permit payment of dividends only out of accumulated profits, as determined in accordance with PRC accounting standards and regulations. Our subsidiaries and the variable interest entities in Chinese mainland are also required to set aside a portion of their after-tax profits according to PRC accounting standards and regulations to fund certain reserve funds. The PRC government also imposes controls on the conversion of RMB into foreign currencies and the remittance of foreign currencies out of Chinese mainland. We may experience difficulties in completing the administrative procedures necessary to obtain and remit foreign currency. See “—Governmental control of currency conversion may affect the value of your investment.” Furthermore, if our subsidiaries or the variable interest entities in Chinese mainland incur debt on their own in the future, the instruments governing the debt may restrict their ability to pay dividends or make other payments. If our subsidiaries and the variable interest entities in Chinese mainland are unable to pay dividends or make other payments to us, we may be unable to pay dividends on our ordinary shares and ADSs.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Governmental control of currency conversion may affect the value of your investment.</w:t>
      </w:r>
    </w:p>
    <w:p>
      <w:pPr>
        <w:spacing w:after="0" w:line="121"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The PRC government imposes controls on the convertibility of RMB into foreign currencies and, in certain cases, the remittance of foreign currency out of Chinese mainland. We receive most of our revenue in RMB. Under our current structure, our income at the Cayman Islands holding company level will primarily be derived from dividend payments from our Chinese mainland subsidiaries. Shortages in the availability of foreign currency may restrict the ability of our mainland subsidiaries and the variable interest entities to remit sufficient foreign currency to pay dividends or other payments to us, or otherwise satisfy their foreign currency denominated obligations. Under existing foreign exchange regulations of Chinese mainland, payments of current account items, including profit distributions, interest payments and expenditures from trade-related transactions, can be made in foreign currencies without prior approval from the SAFE by complying with certain procedural requirements. However, approval from appropriate government authorities is required where RMB is to be converted into foreign currency and remitted out of Chinese mainland to pay capital expenses such as the repayment of loans denominated in foreign currencies. The PRC government may also at its discretion restrict access in the future to foreign currencies for current account transactions. If the foreign exchange control system prevents us from obtaining sufficient foreign currency to satisfy our currency demands, we may not be able to pay dividends in foreign currencies to our shareholders or ADS holders.</w:t>
      </w:r>
    </w:p>
    <w:p>
      <w:pPr>
        <w:spacing w:after="0" w:line="296" w:lineRule="exact"/>
        <w:rPr>
          <w:sz w:val="20"/>
          <w:szCs w:val="20"/>
          <w:color w:val="auto"/>
        </w:rPr>
      </w:pPr>
    </w:p>
    <w:p>
      <w:pPr>
        <w:jc w:val="both"/>
        <w:ind w:lef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Chinese mainland’s regulation of loans to and direct investment in entities in Chinese mainland by offshore holding companies and governmental control of currency conversion may delay or prevent us from making loans to our Chinese mainland subsidiaries, the variable interest entities and certain related parties, or making additional capital contributions to our Chinese mainland subsidiaries, which could adversely affect our ability to fund and expand our business.</w:t>
      </w:r>
    </w:p>
    <w:p>
      <w:pPr>
        <w:spacing w:after="0" w:line="72"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Baidu, Inc. is our offshore holding company conducting operations in Chinese mainland through our Chinese mainland subsidiaries and the variable interest entities. We may make loans to our Chinese mainland subsidiaries and the variable interest entities, or we may make additional capital contributions to our Chinese mainland subsidiaries. Loans by Baidu, Inc. or any of our offshore subsidiaries to our Chinese mainland subsidiaries, which are treated as foreign-invested enterprises under the laws of Chinese mainland, or to the variable interest entities are subject to the regulations and foreign exchange loan registrations of Chinese mainland. Such loans to any of our Chinese mainland subsidiaries and the variable interest entities to finance their activities cannot exceed a statutory upper limit and must be filed with SAFE through the online filing system of SAFE pursuant to the applicable regulations of Chinese mainland. We may also decide to finance our Chinese mainland subsidiaries by means of capital contributions, in which case the Chinese mainland subsidiary is required to register the details of the capital contribution with the local branch of SAMR and submit a report on the capital contribution via the online enterprise registration system to the Ministry of Commerce. Meanwhile, we are not likely to finance the activities of the variable interest entities by means of capital contributions given the Chinese mainland’s legal restrictions on foreign ownership of internet content services, value-added telecommunication-based services, internet map services, online audio and video services and mobile application distribution businesses.</w:t>
      </w:r>
    </w:p>
    <w:p>
      <w:pPr>
        <w:spacing w:after="0" w:line="190"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In May 2014, SAFE promulgated the Provisions on the Foreign Exchange Administration Rules on Cross-border Guarantee, which, along with the PRC Foreign Currency Administration Rules, provides that failure to register a cross-border guarantee may subject the violator to order to rectify, warning and a fine no more than RMB300,000. In June 2016, SAFE promulgated SAFE Circular No. 16, which removed certain restrictions previously provided under several SAFE circulars in respect of conversion by a foreign-invested enterprise of foreign currency registered capital into RMB and use of such RMB capital. However, SAFE Circular No. 16 continues to prohibit foreign-invested enterprises from, among other things, using RMB fund converted from its foreign exchange capitals for expenditure beyond its business scope, and providing loans to non-affiliated enterprises except as permitted in the business scope. On October 23, 2019, the SAFE issued the Circular on Further Promoting Cross-border Trade and Investment Facilitation. Among others, this circular relaxes prior restrictions and allows foreign-invested enterprises that do not have equity investments in their approved business scope to use their capital obtained from foreign exchange settlement to make domestic equity investments as long as the investments are real and in compliance with the foreign investment-related laws and regulations.</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140"/>
          </w:cols>
          <w:pgMar w:left="320" w:top="482" w:right="4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In light of the various requirements imposed by the regulations of Chinese mainland on loans to and direct investment in entities in Chinese mainland by offshore holding companies, including SAFE Rules and Circulars referred to above, we cannot assure you that we will be able to complete the necessary government registrations or filings on a timely basis, if at all, with respect to existing and future loans by us to our Chinese mainland subsidiaries, the variable interest entities and certain related parties or additional capital contributions by us to our Chinese mainland subsidiaries, and conversion of such loans or capital contributions into RMB. If we fail to complete such registrations or filings, our ability to capitalize or otherwise fund our operations in Chinese mainland may be negatively affected, which could adversely affect our ability to fund and expand our business.</w:t>
      </w:r>
    </w:p>
    <w:p>
      <w:pPr>
        <w:spacing w:after="0" w:line="291" w:lineRule="exact"/>
        <w:rPr>
          <w:sz w:val="20"/>
          <w:szCs w:val="20"/>
          <w:color w:val="auto"/>
        </w:rPr>
      </w:pPr>
    </w:p>
    <w:p>
      <w:pPr>
        <w:jc w:val="both"/>
        <w:ind w:left="120"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Chinese mainland’s regulations relating to the establishment of offshore special purpose companies by domestic residents may limit our ability to inject capital into our Chinese mainland subsidiaries, limit our subsidiaries’ ability to increase their registered capital or distribute profits to us, or may otherwise adversely affect us.</w:t>
      </w:r>
    </w:p>
    <w:p>
      <w:pPr>
        <w:spacing w:after="0" w:line="67" w:lineRule="exact"/>
        <w:rPr>
          <w:sz w:val="20"/>
          <w:szCs w:val="20"/>
          <w:color w:val="auto"/>
        </w:rPr>
      </w:pPr>
    </w:p>
    <w:p>
      <w:pPr>
        <w:jc w:val="both"/>
        <w:ind w:left="120" w:firstLine="440"/>
        <w:spacing w:after="0" w:line="252" w:lineRule="auto"/>
        <w:rPr>
          <w:sz w:val="20"/>
          <w:szCs w:val="20"/>
          <w:color w:val="auto"/>
        </w:rPr>
      </w:pPr>
      <w:r>
        <w:rPr>
          <w:rFonts w:ascii="Times New Roman" w:cs="Times New Roman" w:eastAsia="Times New Roman" w:hAnsi="Times New Roman"/>
          <w:sz w:val="18"/>
          <w:szCs w:val="18"/>
          <w:color w:val="auto"/>
        </w:rPr>
        <w:t>On July 4, 2014, SAFE promulgated the Circular on Relevant Issues Concerning Foreign Exchange Control on Domestic Residents’ Offshore Investment and Financing and Roundtrip Investment through Special Purpose Vehicles, or SAFE Circular No. 37. SAFE Circular No. 37 requires domestic residents to register with local branches of SAFE in connection with their direct establishment or indirect control of an offshore entity, for the purpose of overseas investment and financing, with such domestic residents’ legally owned assets or equity interests in domestic enterprises or offshore assets or interests, referred to in SAFE Circular No. 37 as a “special purpose vehicle.” The term “control” under SAFE Circular No. 37 is broadly defined as the operation rights, beneficiary rights or decision-making rights acquired by the domestic residents in the offshore special purpose vehicles or domestic companies by such means as acquisition, trust, proxy, voting rights, repurchase, convertible bonds or other arrangements. SAFE Circular No. 37 further requires amendment to the registration in the event of any changes with respect to the basic information of the special purpose vehicle, such as changes in a domestic resident individual shareholder, name or operation period; or any significant changes with respect to the special purpose vehicle, such as increase or decrease of capital contributed by domestic individuals, share transfer or exchange, merger, division or other material event. If the shareholders of the offshore holding company who are Chinese mainland domestic residents do not complete their registration with the local SAFE branches, the Chinese mainland subsidiaries may be prohibited from distributing their profits and proceeds from any reduction in capital, share transfer or liquidation to the offshore company, and the offshore company may be restricted in its ability to contribute additional capital to its Chinese mainland subsidiaries. Moreover, failure to comply with SAFE registration and amendment requirements described above could result in liability under the laws of Chinese mainland for evasion of applicable foreign exchange restrictions. On February 28, 2015, SAFE promulgated a Notice on Further Simplifying and Improving Foreign Exchange Administration Policy on Direct Investment, which became effective on June 1, 2015. In accordance with this notice, entities and individuals are required to apply for foreign exchange registration of foreign direct investment and overseas direct investment, including those required under the SAFE Circular No. 37, with qualified banks, instead of SAFE. The qualified banks, under the supervision of SAFE, directly examine the applications and conduct the registration.</w:t>
      </w:r>
    </w:p>
    <w:p>
      <w:pPr>
        <w:spacing w:after="0" w:line="191"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In addition, our shareholders who are entities in Chinese mainland must complete their overseas direct investment filings according to applicable laws and regulations regarding the overseas direct investment by such entities, including certificates, filings or registrations with the Ministry of Commerce and the NDRC, or the local branch of the Ministry of Commerce and the NDRC based on the investment amount, invested industry or other factors thereof, and should also update or apply for amendment in respect to the certificates, filings or registrations in the event of any significant changes with respect to the offshore investment.</w:t>
      </w:r>
    </w:p>
    <w:p>
      <w:pPr>
        <w:spacing w:after="0" w:line="183"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We have notified holders of ordinary shares of our company whom we know are domestic residents of Chinese mainland to register with the local SAFE branch and update their registrations as required under the SAFE regulations described above. We are aware that Mr. Robin Yanhong Li, our chairman, chief executive officer and principal shareholder, who is a domestic resident of Chinese mainland, has registered, and updated such registration when required, with the local SAFE branch. We, however, cannot provide any assurances that all of our shareholders or ADS holders who are domestic residents will file all applicable registrations or update previously filed registrations as required by these SAFE regulations. The failure or inability of our domestic resident shareholders to comply with the registration procedures or other applicable regulations of Chinese mainland may subject the domestic resident shareholders to fines and legal sanctions, restrict our cross-border investment activities, or limit our Chinese mainland subsidiaries’ ability to distribute dividends to or obtain foreign exchange-dominated loans from our company.</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140"/>
          </w:cols>
          <w:pgMar w:left="320" w:top="482" w:right="4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As it is uncertain how the SAFE regulations described above and any future regulation concerning offshore or cross-border transactions will be interpreted, amended or implemented, we cannot predict how these regulations will affect our business operations or future strategy. For example, we may be subject to more stringent review and approval process with respect to our foreign exchange activities, such as remittance of dividends and foreign currency-denominated borrowings, which may adversely affect our results of operations and financial condition. In addition, if we decide to acquire a domestic company, we cannot assure you that we or the owners of such company will be able to obtain the necessary approvals or complete the necessary filings and registrations required by the SAFE regulations. This may restrict our ability to implement our acquisition strategy and could adversely affect our business and prospects.</w:t>
      </w:r>
    </w:p>
    <w:p>
      <w:pPr>
        <w:spacing w:after="0" w:line="293" w:lineRule="exact"/>
        <w:rPr>
          <w:sz w:val="20"/>
          <w:szCs w:val="20"/>
          <w:color w:val="auto"/>
        </w:rPr>
      </w:pPr>
    </w:p>
    <w:p>
      <w:pPr>
        <w:jc w:val="both"/>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Chinese mainland’s regulations regarding the registration requirements for employee stock ownership plans or share option plans may subject the plan participants in Chinese mainland or us to fines and other legal or administrative sanctions.</w:t>
      </w:r>
    </w:p>
    <w:p>
      <w:pPr>
        <w:spacing w:after="0" w:line="51"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In February 2012, SAFE promulgated the Notices on Issues concerning the Foreign Exchange Administration for Domestic Individuals Participating in Stock Incentive Plan of Overseas Publicly-Listed Company, replacing the earlier rules promulgated in March 2007. Under the notices, domestic residents of Chinese mainland who are granted stock options by an overseas publicly listed company are required, through a domestic agent or domestic subsidiary in Chinese mainland of such overseas publicly listed company, to register with the SAFE and complete certain other procedures. We and our domestic resident employees who have been granted stock options are subject to these regulations. We have designated our Chinese mainland subsidiary Baidu Online to handle the registration and other procedures required by the notices. However, if we or our domestic optionees fail to comply with these regulations on a timely basis, we or our domestic optionees and their local employers may be subject to fines and legal sanctions.</w:t>
      </w:r>
    </w:p>
    <w:p>
      <w:pPr>
        <w:spacing w:after="0" w:line="293" w:lineRule="exact"/>
        <w:rPr>
          <w:sz w:val="20"/>
          <w:szCs w:val="20"/>
          <w:color w:val="auto"/>
        </w:rPr>
      </w:pPr>
    </w:p>
    <w:p>
      <w:pPr>
        <w:jc w:val="both"/>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Chinese mainland’s regulations establish complex procedures for some acquisitions conducted by foreign investors, which could make it more difficult for us to pursue growth through acquisitions in Chinese mainland.</w:t>
      </w:r>
    </w:p>
    <w:p>
      <w:pPr>
        <w:spacing w:after="0" w:line="51" w:lineRule="exact"/>
        <w:rPr>
          <w:sz w:val="20"/>
          <w:szCs w:val="20"/>
          <w:color w:val="auto"/>
        </w:rPr>
      </w:pPr>
    </w:p>
    <w:p>
      <w:pPr>
        <w:jc w:val="both"/>
        <w:ind w:left="120" w:firstLine="440"/>
        <w:spacing w:after="0" w:line="252" w:lineRule="auto"/>
        <w:rPr>
          <w:sz w:val="20"/>
          <w:szCs w:val="20"/>
          <w:color w:val="auto"/>
        </w:rPr>
      </w:pPr>
      <w:r>
        <w:rPr>
          <w:rFonts w:ascii="Times New Roman" w:cs="Times New Roman" w:eastAsia="Times New Roman" w:hAnsi="Times New Roman"/>
          <w:sz w:val="18"/>
          <w:szCs w:val="18"/>
          <w:color w:val="auto"/>
        </w:rPr>
        <w:t>The Regulations on Mergers and Acquisitions of Domestic Enterprises by Foreign Investors, adopted by six PRC regulatory agencies in August 2006 and amended in June 2009, among other things, established additional procedures and requirements that could make merger and acquisition activities by foreign investors more time-consuming and complex. In addition, the Implementing Rules Concerning Security Review on the Mergers and Acquisitions by Foreign Investors of Domestic Enterprises issued by the Ministry of Commerce in August 2011 specify that mergers and acquisitions by foreign investors involved in “an industry related to national security” are subject to strict review by the Ministry of Commerce, and prohibit any activities attempting to bypass such security review, including by structuring the transaction through a proxy or contractual control arrangement. We believe that our business is not in an industry related to national security, but we cannot preclude the possibility that the competent PRC government authorities may publish explanations contrary to our understanding or broaden the scope of such security reviews in the future, in which case our future acquisitions and investment in Chinese mainland, including those by way of entering into contractual control arrangements with target entities, may be closely scrutinized or prohibited. Moreover, according to the Anti-Monopoly Law, as amended, the SAMR should be notified in advance of any concentration of undertaking if certain filing thresholds are triggered. We may grow our business in part by directly acquiring complementary businesses in Chinese mainland. Complying with the requirements of the laws and regulations mentioned above and other regulations of Chinese mainland to complete such transactions could be time-consuming, and any required approval processes, including obtaining approval from the SAMR, may delay or inhibit our ability to complete such transactions, which could affect our ability to expand our business or maintain our market share. Our ability to expand our business or maintain or expand our market share through future acquisitions would as such be materially and adversely affected.</w:t>
      </w:r>
    </w:p>
    <w:p>
      <w:pPr>
        <w:spacing w:after="0" w:line="196"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In December 2020, the NDRC and the Ministry of Commerce promulgated the Measures for the Security Review of Foreign Investment, which came into effect on January 18, 2021. See “Item 4.B. Information on the Company—Business Overview—Regulations—Regulations on Foreign Investment” for more details. Official guidance has not been issued by the designated office in charge of such security review yet. At this stage, the interpretation of those measures remains unclear in many aspects, such as what would constitute “important information technology and internet services and products” and whether these measures may apply to foreign investment that is implemented or completed before the enactment of these new measures. As our business may be deemed to constitute the foregoing circumstances, we cannot assure you that our current business operations will remain fully compliant, or we can adapt our business operations to new regulatory requirements on a timely basis, or at all.</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140"/>
          </w:cols>
          <w:pgMar w:left="320" w:top="482" w:right="4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both"/>
        <w:ind w:left="120"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approval of and/or filing with the CSRC or other PRC government authorities may be required in connection with our offshore offerings under the laws of Chinese mainland, and, if required, we cannot predict whether or for how long we will be able to obtain such approval or complete such filing.</w:t>
      </w:r>
    </w:p>
    <w:p>
      <w:pPr>
        <w:spacing w:after="0" w:line="67"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The Regulations on Mergers and Acquisitions of Domestic Enterprises by Foreign Investors adopted by six PRC regulatory agencies in 2006 and amended in 2009, require an overseas special purpose vehicle formed for listing purposes through acquisitions of domestic companies in Chinese mainland and controlled by Domestic persons or entities of Chinese mainland to obtain the approval of the CSRC prior to the listing and trading of such special purpose vehicle’s securities on an overseas stock exchange. The interpretation and application of the regulations remain unclear, and our offshore offerings may ultimately require approval of the CSRC. If the CSRC approval is required, it is uncertain whether we can or how long it will take us to obtain the approval and, even if we obtain such CSRC approval, the approval could be rescinded. Any failure to obtain or delay in obtaining the CSRC approval for any of our offshore offerings, or a rescission of such approval if obtained by us, would subject us to sanctions imposed by the CSRC or other PRC regulatory authorities, which could include fines and penalties on our operations in Chinese mainland, restrictions or limitations on our ability to pay dividends outside of Chinese mainland, and other forms of sanctions that may materially and adversely affect our business, financial condition, and results of operations.</w:t>
      </w:r>
    </w:p>
    <w:p>
      <w:pPr>
        <w:spacing w:after="0" w:line="194" w:lineRule="exact"/>
        <w:rPr>
          <w:sz w:val="20"/>
          <w:szCs w:val="20"/>
          <w:color w:val="auto"/>
        </w:rPr>
      </w:pPr>
    </w:p>
    <w:p>
      <w:pPr>
        <w:jc w:val="both"/>
        <w:ind w:left="120" w:firstLine="440"/>
        <w:spacing w:after="0" w:line="252" w:lineRule="auto"/>
        <w:rPr>
          <w:sz w:val="20"/>
          <w:szCs w:val="20"/>
          <w:color w:val="auto"/>
        </w:rPr>
      </w:pPr>
      <w:r>
        <w:rPr>
          <w:rFonts w:ascii="Times New Roman" w:cs="Times New Roman" w:eastAsia="Times New Roman" w:hAnsi="Times New Roman"/>
          <w:sz w:val="18"/>
          <w:szCs w:val="18"/>
          <w:color w:val="auto"/>
        </w:rPr>
        <w:t>On July 6, 2021, the PRC government authorities issued Opinions on Strictly Cracking Down Illegal Securities Activities in Accordance with the Law. These opinions emphasized the need to strengthen the administration over illegal securities activities and the supervision on overseas listings by Chinese mainland-based companies and proposed to take effective measures, such as promoting the construction of relevant regulatory systems to deal with the risks and incidents faced by Chinese mainland-based overseas-listed companies. As a follow-up, on February 17, 2023, the CSRC, as approved by the State Council, released the Trial Administrative Measures of Overseas Securities Offering and Listing by Domestic Companies and five supporting guidelines, which took effect on March 31, 2023. The Filing Rules establish a new filing-based regime to regulate overseas offerings of stocks, depository receipts, convertible corporate bond, or other equity securities, and overseas listing of these securities for trading, by domestic companies. According to the Filing Rules, domestic companies that directly or indirectly offer or list their securities in an overseas market should file with the CSRC. Specifically, the examination and determination of an indirect offering and listing will be conducted on a substance-over-form basis, and an offering and listing should be considered as an indirect overseas offering and listing by a domestic company if the issuer meets both of the following conditions: (i) any of the revenue, profits, total assets or net assets of such domestic company in the most recent financial year account for more than 50% of the corresponding data in the issuer’s audited consolidated financial statements for the same period; and (ii) the majority of its business operations are conducted in Chinese mainland or its principal place of business is located in the Chinese mainland, or the majority of senior management in charge of business operations are Chinese citizens or have domicile in the Chinese mainland. According to the Filing Rules, the issuer or its affiliated domestic company, as the case may be, must file with the CSRC for its initial public offering, follow-on offering and other equivalent offering activities. Particularly, a listed company like us is required to submit the filing with respect to its follow-on offerings, issuance of convertible corporate bonds and exchangeable bonds, and other equivalent offering activities, within a specific time frame. Failure to comply with the filing requirements may result in an order of rectification, a warning and fines to the relevant domestic companies, and a warning and fines on the controlling shareholder, the actual controller and other responsible persons. The Filing Rules also sets forth certain regulatory red lines for overseas offerings and listings by domestic enterprises and additional reporting obligations for listed companies in the case of material changes. For more details of the Filing Rules, please refer to “Item 4.B. Information on the Company—Business Overview—Regulation—Regulations on Overseas Offering and Listing.”</w:t>
      </w:r>
    </w:p>
    <w:p>
      <w:pPr>
        <w:spacing w:after="0" w:line="188"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In a Q&amp;A released on the CSRC’s official website, the respondent CSRC official stated that the domestic companies which have listed their securities in the overseas market as of March 31, 2023 will be regarded as the existing overseas listed companies, which will not be required to file with the CSRC until they conduct any new offerings subject to the filing requirements under Filing Rules. The Q&amp;A also addressed the contractual arrangements and pointed out that, as for companies with contractual arrangements seeking overseas offering, the CSRC will solicit opinions from the regulatory authorities and complete the filing procedures for companies with contractual arrangements complying with the laws and regulations. If we fail to file with the CSRC in a timely manner or at all, for any future offering (including, among others, follow-on offerings, issuance of convertible corporate bonds and exchangeable bonds, and other equivalent offering activities) pursuant to the Filing Rules due to our contractual arrangements, our ability to raise or utilize funds could be materially and adversely affected, and we may even need to unwind our contractual arrangements or restructure our business operations to rectify the failure to complete the filings. However, as the Filing Rules were promulgated only recently, there remain substantial uncertainties as to their interpretation, application, and enforcement and how they will affect our operations and our future financing.</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140"/>
          </w:cols>
          <w:pgMar w:left="320" w:top="482" w:right="4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On February 24, 2023, the CSRC, jointly with other government authorities, promulgated the revised Provisions on Strengthening Confidentiality and Archives Management of Overseas Securities Issuance and Listing by Domestic Enterprises, which took effect on March 31, 2023. According to these provisions, domestic companies, whether offering and listing securities overseas directly or indirectly, must strictly abide the applicable laws and regulations when providing or publicly disclosing, either directly or through their overseas listed entities, documents and materials to securities services providers such as securities companies and accounting firms or overseas regulators in the process of their overseas offering and listing. If such documents or materials contain any state secrets or government authorities work secrets, domestic companies must obtain the approval from competent government authorities according to the applicable laws, and file with the secrecy administrative department at the same level with the approving government authority. Furthermore, these provisions also provides that securities companies and securities service providers shall also fulfill the applicable legal procedures when providing overseas regulatory institutions and other relevant institutions and individuals with documents or materials containing any state secrets or government authorities work secrets or other documents or materials that, if divulged, will jeopardize national security or public interest. See “Item 4.B. Information on the Company—Business Overview—Regulations—Regulations on Overseas Offering and Listing.” Since these provisions were promulgated only recently, substantial uncertainties still exist with respect to the interpretation and implementation of such provisions and how they will affect us.</w:t>
      </w:r>
    </w:p>
    <w:p>
      <w:pPr>
        <w:spacing w:after="0" w:line="187" w:lineRule="exact"/>
        <w:rPr>
          <w:sz w:val="20"/>
          <w:szCs w:val="20"/>
          <w:color w:val="auto"/>
        </w:rPr>
      </w:pPr>
    </w:p>
    <w:p>
      <w:pPr>
        <w:jc w:val="both"/>
        <w:ind w:left="120" w:firstLine="440"/>
        <w:spacing w:after="0" w:line="252" w:lineRule="auto"/>
        <w:rPr>
          <w:sz w:val="20"/>
          <w:szCs w:val="20"/>
          <w:color w:val="auto"/>
        </w:rPr>
      </w:pPr>
      <w:r>
        <w:rPr>
          <w:rFonts w:ascii="Times New Roman" w:cs="Times New Roman" w:eastAsia="Times New Roman" w:hAnsi="Times New Roman"/>
          <w:sz w:val="18"/>
          <w:szCs w:val="18"/>
          <w:color w:val="auto"/>
        </w:rPr>
        <w:t>In addition, we cannot assure you that any new rules or regulations promulgated in the future will not impose additional requirements on us. If it is determined in the future that any additional approval and filing from the CSRC or other regulatory authorities or other procedures, including the cybersecurity review under the Measures for Cybersecurity Review and the draft of Regulations on the Network Data Security, are required for our offshore offerings, it is uncertain whether we can or how long it will take us to obtain such approval or complete such filing procedures and any such approval or filing could be rescinded or rejected. Any failure to obtain or delay in obtaining such approval or completing such filing procedures for our offshore offerings, or a rescission of any such approval or filing if obtained by us, would subject us to sanctions by the CSRC or other PRC regulatory authorities for failure to seek CSRC approval or filing or other government authorization for our offshore offerings. These regulatory authorities may impose fines and penalties on our operations in Chinese mainland, limit our ability to pay dividends outside of Chinese mainland, limit our operating privileges in Chinese mainland, delay or restrict the repatriation of the proceeds from our offshore offerings into Chinese mainland or take other actions that could materially and adversely affect our business, financial condition, results of operations, and prospects, as well as the trading price of our listed securities. The CSRC or other PRC regulatory authorities also may take actions requiring us, or making it advisable for us, to halt our offshore offerings before settlement and delivery of the shares offered. Consequently, if investors engage in market trading or other activities in anticipation of and prior to settlement and delivery, they do so at the risk that settlement and delivery may not occur. In addition, if any regulatory authorities later promulgate new rules or explanations requiring that we obtain their approvals or accomplish the required filing or other regulatory procedures for our prior offshore offerings, we may be unable to obtain a waiver of such approval requirements, if and when procedures are established to obtain such a waiver. Any uncertainties or negative publicity regarding such approval requirement could materially and adversely affect our business, prospects, financial condition, reputation, and the trading price of our listed securities.</w:t>
      </w:r>
    </w:p>
    <w:p>
      <w:pPr>
        <w:spacing w:after="0" w:line="297" w:lineRule="exact"/>
        <w:rPr>
          <w:sz w:val="20"/>
          <w:szCs w:val="20"/>
          <w:color w:val="auto"/>
        </w:rPr>
      </w:pPr>
    </w:p>
    <w:p>
      <w:pPr>
        <w:jc w:val="both"/>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PCAOB had historically been unable to inspect our auditor in relation to their audit work performed for our financial statements and the inability of the PCAOB to conduct inspections of our auditor in the past has deprived our investors with the benefits of such inspections.</w:t>
      </w:r>
    </w:p>
    <w:p>
      <w:pPr>
        <w:spacing w:after="0" w:line="51"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Our auditor, the independent registered public accounting firm that issues the audit report included elsewhere in this annual report, as an auditor of companies that are traded publicly in the United States and a firm registered with the PCAOB, is subject to laws in the United States pursuant to which the PCAOB conducts regular inspections to assess its compliance with the applicable professional standards. The auditor is located in Chinese mainland, a jurisdiction where the PCAOB was historically unable to conduct inspections and investigations completely before 2022. As a result, we and investors in the ADSs were deprived of the benefits of such PCAOB inspections. The inability of the PCAOB to conduct inspections of auditors in China in the past has made it more difficult to evaluate the effectiveness of our independent registered public accounting firm’s audit procedures or quality control procedures as compared to auditors outside of China that are subject to the PCAOB inspections. On December 15, 2022, the PCAOB issued a report that vacated its December 16, 2021 determination and removed Chinese mainland and Hong Kong from the list of jurisdictions where it is unable to inspect or investigate completely registered public accounting firms. However, if the PCAOB determines in the future that it no longer has full access to inspect and investigate completely accounting firms in Chinese mainland and Hong Kong, and we use an accounting firm headquartered in one of these jurisdictions to issue an audit report on our financial statements filed with the SEC, we and investors in our ADSs would be deprived of the benefits of such PCAOB inspections again, which could cause investors and potential investors in the ADSs to lose confidence in our audit procedures and reported financial information and the quality of our financial statements.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140"/>
          </w:cols>
          <w:pgMar w:left="320" w:top="482" w:right="4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both"/>
        <w:ind w:left="120"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ADSs may be prohibited from trading in the United States under the HFCAA in the future if the PCAOB is unable to inspect or investigate completely auditors located in China. The delisting or prohibition of trading of the ADSs, or the threat of their being delisted or prohibited from trading, may materially and adversely affect the value of your investment.</w:t>
      </w:r>
    </w:p>
    <w:p>
      <w:pPr>
        <w:spacing w:after="0" w:line="67"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Pursuant to the HFCAA, if the SEC determines that we have filed audit reports issued by a registered public accounting firm that has not been subject to inspections by the PCAOB for two consecutive years, the SEC will prohibit our shares or ADSs from being traded on a national securities exchange or in the over-the-counter trading market in the United States.</w:t>
      </w:r>
    </w:p>
    <w:p>
      <w:pPr>
        <w:spacing w:after="0" w:line="176" w:lineRule="exact"/>
        <w:rPr>
          <w:sz w:val="20"/>
          <w:szCs w:val="20"/>
          <w:color w:val="auto"/>
        </w:rPr>
      </w:pPr>
    </w:p>
    <w:p>
      <w:pPr>
        <w:jc w:val="both"/>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On December 16, 2021, the PCAOB issued a report to notify the SEC of its determination that the PCAOB was unable to inspect or investigate completely registered public accounting firms headquartered in Chinese mainland and Hong Kong, and our auditor was subject to that determination. In April 2022, the SEC conclusively listed us as a Commission-Identified Issuer under the HFCAA following the filing of our annual report on Form 20-F for the fiscal year ended December 31, 2021. On December 15, 2022, the PCAOB removed Chinese mainland and Hong Kong from the list of jurisdictions where it is unable to inspect or investigate completely registered public accounting firms. For this reason, we were not identified as a Commission-Identified Issuer under the HFCAA after we filed our annual report on Form 20-F for the fiscal year ended December 31, 2022, and subsequently for the fiscal years ended December 31, 2023 and 2024 and do not expect to be so identified after we file this annual report on Form 20-F for the fiscal year ended December 31, 2025.</w:t>
      </w:r>
    </w:p>
    <w:p>
      <w:pPr>
        <w:spacing w:after="0" w:line="192"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Each year, the PCAOB will determine whether it can inspect and investigate completely audit firms in Chinese mainland and Hong Kong, among other jurisdictions. If the PCAOB determines in the future that it no longer has full access to inspect and investigate completely accounting firms in Chinese mainland and Hong Kong and we use an accounting firm headquartered in one of these jurisdictions to issue an audit report on our financial statements filed with the SEC, we would be identified as a Commission-Identified Issuer following the filing of the annual report on Form 20-F for the relevant fiscal year. In accordance with the HFCAA, our securities would be prohibited from being traded on a national securities exchange or in the over-the-counter trading market in the United States if we are identified as a Commission-Identified Issuer for two consecutive years in the future. Although our Class A ordinary shares have been listed on the Hong Kong Stock Exchange and the ADSs and Class A ordinary shares are fully fungible, we cannot assure your that an active trading market for our Class A ordinary shares on the Hong Kong Stock Exchange will be sustained or that the ADSs can be converted and traded with sufficient market recognition and liquidity, if our shares and ADSs are prohibited from trading in the United States. A prohibition of being able to trade in the United States would substantially impair your ability to sell or purchase our ADSs when you wish to do so, and the risk and uncertainty associated with delisting would have a negative impact on the price of our ADSs. Also, such a prohibition would significantly affect our ability to raise capital on terms acceptable to us, or at all, which would have a material adverse impact on our business, financial condition, and prospects.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140"/>
          </w:cols>
          <w:pgMar w:left="320" w:top="482" w:right="4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both"/>
        <w:ind w:left="120"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Proceedings instituted by the SEC against certain PRC-based accounting firms, including the auditor of our consolidated financial statements included in this annual report, could result in financial statements being determined to not be in compliance with the requirements of the Securities Exchange Act of 1934, as amended, or the Exchange Act.</w:t>
      </w:r>
    </w:p>
    <w:p>
      <w:pPr>
        <w:spacing w:after="0" w:line="67"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In December 2012, the SEC brought administrative proceedings against five accounting firms in China, including the auditor of our consolidated financial statements included in this annual report, alleging that they had refused to produce audit work papers and other documents related to certain other China-based companies under investigation by the SEC. On January 22, 2014, an initial administrative law decision was issued, censuring these accounting firms and suspending four of these firms from practicing before the SEC for a period of six months. The decision is neither final nor legally effective unless and until reviewed and approved by the SEC. On February 12, 2014, four of these PRC-based accounting firms appealed to the SEC against this decision. In February 2015, each of the four PRC-based accounting firms agreed to a censure and to pay a fine to the SEC to settle the dispute and avoid suspension of their ability to practice before the SEC. The settlement requires the firms to follow detailed procedures to seek to provide the SEC with access to Chinese firms’ audit documents via the CSRC. If the firms fail to meet specified criteria, during a period of four years starting from the settlement date, the SEC retains authority to impose a variety of additional remedial measures on the firms depending on the nature of the failure. Additional remedies for any future noncompliance could include, as appropriate, an automatic six-month bar on a single firm’s performance of certain audit work, commencement of additional proceedings against a firm, or in extreme cases the resumption of the current proceeding against all four firms.</w:t>
      </w:r>
    </w:p>
    <w:p>
      <w:pPr>
        <w:spacing w:after="0" w:line="190"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The audit committee is aware of the policy restriction and regularly communicated with our independent auditor to ensure compliance. If additional remedial measures are imposed on the China-based “big four” accounting firms, including our independent registered public accounting firm, in administrative proceedings brought by the SEC alleging the firms’ failure to meet specific criteria set by the SEC with respect to requests for the production of documents, we could be unable to timely file future financial statements in compliance with the requirements of the Exchange Act. The settlement did not require the firms to admit to any violation of law and preserves the firms’ legal defenses in the event the administrative proceeding is restarted.</w:t>
      </w:r>
    </w:p>
    <w:p>
      <w:pPr>
        <w:spacing w:after="0" w:line="187"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In the event that the SEC restarts the administrative proceedings, depending upon the final outcome, listed companies in the United States with major PRC operations may find it difficult or impossible to retain auditors in respect of their operations in the PRC, which could result in financial statements being determined to not be in compliance with the requirements of the Exchange Act, including possible delisting. Moreover, any negative news about the proceedings against these audit firms may cause investor uncertainty regarding China-based, United States-listed companies and the market price of our ADSs may be adversely affected.</w:t>
      </w:r>
    </w:p>
    <w:p>
      <w:pPr>
        <w:spacing w:after="0" w:line="183"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If the auditor of our consolidated financial statements included in this annual report were denied, even temporarily, the ability to practice before the SEC and we were unable to timely find another registered public accounting firm to audit and issue an opinion on our financial statements, our financial statements could be determined not to be in compliance with the requirements of the Exchange Act. Such a determination could ultimately lead to our delisting from the Nasdaq Global Select Market or deregistration from the SEC, or both, which would substantially reduce or effectively terminate the trading of our ADSs in the United States.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Fluctuation in exchange rates could have a material and adverse effect on our results of operations and the value of your investment.</w:t>
      </w:r>
    </w:p>
    <w:p>
      <w:pPr>
        <w:spacing w:after="0" w:line="121"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The conversion of Renminbi into foreign currencies, including U.S. dollars, is based on rates set by the People’s Bank of China and by the Board of Governors of the Federal Reserve System. The value of Renminbi against the U.S. dollar and other currencies is affected by changes in China’s political and economic conditions and by China’s foreign exchange policies, among other things. We cannot assure you that Renminbi will not appreciate or depreciate significantly in value against the U.S. dollar in the future. It is difficult to predict how market forces or PRC or U.S. government policy may impact the exchange rate between Renminbi and the U.S. dollar in the future.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140"/>
          </w:cols>
          <w:pgMar w:left="320" w:top="482" w:right="4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Our revenues and costs are mostly denominated in RMB. Any significant revaluation of RMB may materially and adversely affect our cash flows, revenues, earnings and financial position, and the value of, and any dividends payable on, our ADSs in U.S. dollars. For example, to the extent that we need to convert U.S. dollars into RMB for our operations, appreciation of the RMB against the U.S. dollar would have an adverse effect on the RMB amount we would receive from the conversion. Conversely, if we decide to convert our RMB into U.S. dollars for the purpose of making payments for dividends on our ordinary shares or ADSs, repaying our U.S. dollar denominated notes or other payment obligations or for other business purposes, appreciation of the U.S. dollar against the RMB would have a negative effect on the U.S. dollar amount available to us. In addition, appreciation or depreciation in the value of the RMB relative to U.S. dollars would affect our financial results reported, regardless of any underlying change in our business or results of operations, as RMB is our reporting currency. For example, an appreciation of RMB against the U.S. dollar would result in foreign currency translation losses for financial reporting purposes when we translate our U.S. dollar denominated financial assets into RMB, our reporting currency, and foreign exchange losses reported in earnings for certain RMB denominated loans that overseas entities borrowed from our entities in Chinese mainland. Conversely, a depreciation of RMB against the U.S. dollar would result in foreign currency translation losses for financial reporting purposes when we translate our U.S. dollar denominated notes and other indebtedness into RMB. Moreover, a significant depreciation of the RMB against the U.S. dollar may significantly reduce our earnings translated in the U.S. dollars, which in turn could adversely affect the price of our ADSs.</w:t>
      </w:r>
    </w:p>
    <w:p>
      <w:pPr>
        <w:spacing w:after="0" w:line="187"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In 2025, we entered into some hedging transactions in an effort to reduce our exposure to foreign currency exchange risk. While we may decide to enter into more hedging transactions in the future, the availability and effectiveness of these hedges may be limited and we may not be able to adequately hedge our exposure or at all. In addition, our currency exchange losses may be magnified by the exchange control regulations of Chinese mainland that restrict our ability to convert RMB into foreign currency. As a result, fluctuations in exchange rates may have a material adverse effect on your investment.</w:t>
      </w:r>
    </w:p>
    <w:p>
      <w:pPr>
        <w:spacing w:after="0" w:line="287" w:lineRule="exact"/>
        <w:rPr>
          <w:sz w:val="20"/>
          <w:szCs w:val="20"/>
          <w:color w:val="auto"/>
        </w:rPr>
      </w:pPr>
    </w:p>
    <w:p>
      <w:pPr>
        <w:jc w:val="both"/>
        <w:ind w:left="120"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face uncertainties with respect to indirect transfers of equity interests in Chinese mainland resident enterprises by their non-Chinese mainland holding companies. Enhanced scrutiny over acquisition transactions by the PRC tax authorities may have a negative impact on potential acquisitions we may pursue in the future.</w:t>
      </w:r>
    </w:p>
    <w:p>
      <w:pPr>
        <w:spacing w:after="0" w:line="67" w:lineRule="exact"/>
        <w:rPr>
          <w:sz w:val="20"/>
          <w:szCs w:val="20"/>
          <w:color w:val="auto"/>
        </w:rPr>
      </w:pPr>
    </w:p>
    <w:p>
      <w:pPr>
        <w:jc w:val="both"/>
        <w:ind w:left="120" w:firstLine="440"/>
        <w:spacing w:after="0" w:line="252" w:lineRule="auto"/>
        <w:rPr>
          <w:sz w:val="20"/>
          <w:szCs w:val="20"/>
          <w:color w:val="auto"/>
        </w:rPr>
      </w:pPr>
      <w:r>
        <w:rPr>
          <w:rFonts w:ascii="Times New Roman" w:cs="Times New Roman" w:eastAsia="Times New Roman" w:hAnsi="Times New Roman"/>
          <w:sz w:val="18"/>
          <w:szCs w:val="18"/>
          <w:color w:val="auto"/>
        </w:rPr>
        <w:t>In February 2015, the State Administration of Tax issued a Public Notice Regarding Certain Corporate Income Tax Matters on Indirect Transfer of Properties by Non-Tax Resident Enterprises, or Public Notice 7. Public Notice 7 extends its tax jurisdiction to not only indirect transfers but also transactions involving transfer of other taxable assets, through the offshore transfer of a foreign intermediate holding company. Public Notice 7 also brings challenges to both the foreign transferor and transferee (or other person who is obligated to pay for the transfer) of the taxable assets. Where a non-resident enterprise conducts an “indirect transfer” by transferring the taxable assets indirectly by disposing of the equity interests of an overseas holding company, the non-resident enterprise being the transferor, or the transferee, or the entity in Chinese mainland which directly owned the taxable assets may report to the tax authority such indirect transfer. Using a “substance over form” principle, the PRC tax authority may re-characterize such indirect transfer as a direct transfer of the equity interests in the Chinese mainland tax resident enterprise and other properties in Chinese mainland. As a result, gains derived from such indirect transfer may be subject to Chinese mainland enterprise income tax, and the transferee or other person who is obligated to pay for the transfer is obligated to withhold the applicable taxes, currently at a rate of up to 10% for the transfer of equity interests in a Chinese mainland resident enterprise. However, Public Notice 7 provides safe harbors for internal group restructurings and the purchase and sale of equity through a public securities market. On October 17, 2017, the State Administration of Taxation issued the Announcement of the State Administration of Taxation on Issues Concerning the Withholding of Non-resident Enterprise Income Tax at Source, or SAT Bulletin 37, which came into effect on December 1, 2017. SAT Bulletin 37 further clarifies the practice and procedure of the withholding of non-resident enterprise income tax. Pursuant to Public Notice 7 and SAT Bulletin 37, both the transferor and the transferee may be subject to penalties under the tax laws of Chinese mainland if the transferee fails to withhold the taxes and the transferor fails to pay the taxes.</w:t>
      </w:r>
    </w:p>
    <w:p>
      <w:pPr>
        <w:spacing w:after="0" w:line="195" w:lineRule="exact"/>
        <w:rPr>
          <w:sz w:val="20"/>
          <w:szCs w:val="20"/>
          <w:color w:val="auto"/>
        </w:rPr>
      </w:pPr>
    </w:p>
    <w:p>
      <w:pPr>
        <w:jc w:val="both"/>
        <w:ind w:left="120" w:firstLine="440"/>
        <w:spacing w:after="0" w:line="252" w:lineRule="auto"/>
        <w:rPr>
          <w:sz w:val="20"/>
          <w:szCs w:val="20"/>
          <w:color w:val="auto"/>
        </w:rPr>
      </w:pPr>
      <w:r>
        <w:rPr>
          <w:rFonts w:ascii="Times New Roman" w:cs="Times New Roman" w:eastAsia="Times New Roman" w:hAnsi="Times New Roman"/>
          <w:sz w:val="18"/>
          <w:szCs w:val="18"/>
          <w:color w:val="auto"/>
        </w:rPr>
        <w:t>We face uncertainties with respect to the reporting and consequences of private equity financing transactions, share exchange or other transactions involving the transfer of shares in our company by investors that are non-Chinese mainland resident enterprises, or sale or purchase of shares in other non-Chinese mainland resident companies or other taxable assets by us. Our company and other non-resident enterprises in our group may be subject to filing obligations or being taxed if our company and other non-resident enterprises in our group are transferors in such transactions, and may be subject to withholding obligations if our company and other non-resident enterprises in our group are transferees in such transactions, under Public Notice 7 and SAT Bulletin 37. For the transfer of shares in our company by investors that are non-Chinese mainland resident enterprises, our Chinese mainland subsidiaries may be requested to assist in the filing under Public Notice 7 and SAT Bulletin 37. As a result, we may be required to expend valuable resources to comply with Public Notice 7 and SAT Bulletin 37 or to request the relevant transferors from whom we purchase taxable assets to comply with these circulars, or to establish that our company and other non-resident enterprises in our group should not be taxed under these circulars. The PRC tax authorities have the discretion under Public Notice 7 and SAT Bulletin 37 to make adjustments to the taxable capital gains based on the difference between the fair value of the taxable assets transferred and the cost of investment. If the PRC tax authorities make adjustments to the taxable income of the transactions under Public Notice 7 and SAT Bulletin 37, our income tax costs associated with such transactions will be increased, which may have an adverse effect on our financial condition and results of operations. We have made acquisitions in the past and may conduct additional acquisitions in the future. We cannot assure you that the PRC tax authorities will not, at their discretion, adjust any capital gains and impose tax return filing obligations on us or require us to provide assistance to them for the investigation of any transactions we were involved in. Heightened scrutiny over acquisition transactions by the PRC tax authorities may have a negative impact on potential acquisitions we may pursue in the future.</w:t>
      </w:r>
    </w:p>
    <w:p>
      <w:pPr>
        <w:sectPr>
          <w:pgSz w:w="11900" w:h="16838" w:orient="portrait"/>
          <w:cols w:equalWidth="0" w:num="1">
            <w:col w:w="11140"/>
          </w:cols>
          <w:pgMar w:left="320" w:top="482" w:right="439" w:bottom="1440" w:gutter="0" w:footer="0" w:header="0"/>
        </w:sectPr>
      </w:pP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140"/>
          </w:cols>
          <w:pgMar w:left="320" w:top="482" w:right="439" w:bottom="1440"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ADSs and Class A Ordinary Shares</w:t>
      </w:r>
    </w:p>
    <w:p>
      <w:pPr>
        <w:spacing w:after="0" w:line="117" w:lineRule="exact"/>
        <w:rPr>
          <w:sz w:val="20"/>
          <w:szCs w:val="20"/>
          <w:color w:val="auto"/>
        </w:rPr>
      </w:pPr>
    </w:p>
    <w:p>
      <w:pPr>
        <w:jc w:val="both"/>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trading price of our ADSs and/or our Class A ordinary shares has been and is likely to continue to be volatile regardless of our operating performance.</w:t>
      </w:r>
    </w:p>
    <w:p>
      <w:pPr>
        <w:spacing w:after="0" w:line="5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trading price of our ADSs has been and is likely to continue to be volatile, and could fluctuate widely in response to a variety of factors, many of which are beyond our control. Likewise, the trading price of our Class A ordinary shares can be volatile for similar or different reasons. Factors impacting the price and trading volume of our listed securities include, but are not limited to, the following:</w:t>
      </w:r>
    </w:p>
    <w:p>
      <w:pPr>
        <w:spacing w:after="0" w:line="81" w:lineRule="exact"/>
        <w:rPr>
          <w:sz w:val="20"/>
          <w:szCs w:val="20"/>
          <w:color w:val="auto"/>
        </w:rPr>
      </w:pPr>
    </w:p>
    <w:p>
      <w:pPr>
        <w:ind w:left="1080" w:right="2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results of operations and changes or revisions of our expected results, as well as our margins and profitability;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by securities research analysts;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in internet search and online marketing markets;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operating performance or market valuations of other internet search or internet companies;</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or other internet companies of new product-and-service offerings, acquisitions, strategic partnerships, joint ventures, capital raisings or capital commitments;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or failure of our new business initiatives or the development or growth of the new markets we enter into;</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 to or departure of key personnel;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perception or negative news about our products or services or potential investments or acquisitions;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share repurchase program;</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of exchange rates between RMB and the U.S. dollar;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government investigation or other legal or regulatory proceeding;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or political conditions in China or elsewhere in the world.</w:t>
      </w:r>
    </w:p>
    <w:p>
      <w:pPr>
        <w:spacing w:after="0" w:line="225"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In addition, the stock market in general, and the performance and fluctuation of the market prices for internet-related companies and other companies with operations mainly in China in particular, may affect the volatility in the prices of and trading volumes for our listed securities. The securities of some China-based companies that have listed their securities in the United States and/or Hong Kong have experienced significant volatility that often has been unrelated to the operating performance of such companies, including, in some cases, substantial declines in the trading prices of their securities. The trading performances of these companies’ securities may affect the attitudes of investors towards Chinese companies listed in the United States and/or Hong Kong in general, which consequently may impact the trading performance of our listed securities, regardless of our actual operating performance. In addition, any negative news or perceptions about inadequate corporate governance practices or fraudulent accounting, corporate structure or other matters of other Chinese companies may also negatively affect the attitudes of investors towards Chinese companies in general, including us, regardless of whether we have engaged in any inappropriate activities. In particular, the global financial crisis, the ensuing economic recessions and deterioration in the credit market in many countries have contributed and may continue to contribute to extreme volatility in the global stock markets. These broad market and industry fluctuations may adversely affect the market price of our listed securities. Volatility or a lack of positive performance in the price of our listed securities may also adversely affect our ability to retain key employees, most of whom have been granted options or other equity incentives.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140"/>
          </w:cols>
          <w:pgMar w:left="320" w:top="482" w:right="4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adopt different practices as to certain matters as compared with many other companies primarily listed on the Hong Kong Stock Exchange.</w:t>
      </w:r>
    </w:p>
    <w:p>
      <w:pPr>
        <w:spacing w:after="0" w:line="121"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We completed our public offering in Hong Kong in March 2021 and the trading of our Class A ordinary shares on the Hong Kong Stock Exchange commenced on March 23, 2021 under the stock code “9888.” As a company listed on the Hong Kong Stock Exchange pursuant to Chapter 19C of the Hong Kong Listing Rules, we are not subject to certain provisions of the Hong Kong Listing Rules pursuant to Rule 19C.11, including, among others, rules on notifiable transactions, connected transactions, share option schemes, content of financial statements as well as certain other continuing obligations. In addition, in connection with the listing of our Class A ordinary shares on the Hong Kong Stock Exchange, we have applied for a number of waivers and/or exemptions from strict compliance with the Hong Kong Listing Rules, the SFO and the Companies (Winding Up and Miscellaneous Provisions) Ordinance and have applied for a ruling under the Takeovers Codes. As a result, we have adopted different practices as to those matters as compared with other companies primarily listed on the Hong Kong Stock Exchange that do not enjoy those exemptions or waivers.</w:t>
      </w:r>
    </w:p>
    <w:p>
      <w:pPr>
        <w:spacing w:after="0" w:line="192"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Furthermore, if 55% or more of the total worldwide trading volume, by dollar value, of our Class A ordinary shares and ADSs over our most recent fiscal year takes place on the Hong Kong Stock Exchange, the Hong Kong Stock Exchange will regard us as having a dual primary listing in Hong Kong and we will no longer enjoy certain exemptions or waivers from strict compliance with the requirements under the Hong Kong Listing Rules, the Companies (Winding Up and Miscellaneous Provisions) Ordinance, the Takeovers Codes and the SFO, which could result in us having to amend our corporate structure and articles of association and our incurring of incremental compliance costs. Notwithstanding the foregoing, in the event that the Hong Kong Stock Exchange deemed us as having a dual primary listing in Hong Kong, we will be permitted to retain our existing weighted voting rights structure and our variable interest entity structure.</w:t>
      </w:r>
    </w:p>
    <w:p>
      <w:pPr>
        <w:spacing w:after="0" w:line="293" w:lineRule="exact"/>
        <w:rPr>
          <w:sz w:val="20"/>
          <w:szCs w:val="20"/>
          <w:color w:val="auto"/>
        </w:rPr>
      </w:pPr>
    </w:p>
    <w:p>
      <w:pPr>
        <w:jc w:val="both"/>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Substantial future sales or perceived potential sales of our Class A ordinary shares and/or ADSs in the public market could cause the price of our Class A ordinary shares and/or ADSs to decline.</w:t>
      </w:r>
    </w:p>
    <w:p>
      <w:pPr>
        <w:spacing w:after="0" w:line="51"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Sales of our Class A ordinary shares and/or ADSs in the public market, or the perception that these sales could occur, could cause the market price of our Class A ordinary shares and/or ADSs to decline. Such sales also might make it more difficult for us to sell equity or equity-related securities in the future at a time and price that we deem appropriate. If any existing shareholder or shareholders sell a substantial amount of our Class A ordinary shares and/or ADSs, the prevailing market price for our Class A ordinary shares and/or ADSs could be adversely affected. In addition, if we pay for our future acquisitions in whole or in part with additionally issued ordinary shares, your ownership interests in our company would be diluted and this, in turn, could have a material and adverse effect on the price of our Class A ordinary shares and/or ADSs.</w:t>
      </w:r>
    </w:p>
    <w:p>
      <w:pPr>
        <w:spacing w:after="0" w:line="291" w:lineRule="exact"/>
        <w:rPr>
          <w:sz w:val="20"/>
          <w:szCs w:val="20"/>
          <w:color w:val="auto"/>
        </w:rPr>
      </w:pPr>
    </w:p>
    <w:p>
      <w:pPr>
        <w:jc w:val="both"/>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inaccurate or unfavorable research about our business, the market price for our Class A ordinary shares and/or ADSs and trading volume could decline.</w:t>
      </w:r>
    </w:p>
    <w:p>
      <w:pPr>
        <w:spacing w:after="0" w:line="51"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The trading market for our Class A ordinary shares and/or ADSs will depend in part on the research and reports that securities or industry analysts publish about us or our business. If research analysts do not maintain adequate research coverage or if one or more of the analysts who covers us downgrades our Class A ordinary shares and/or ADSs or publishes inaccurate or unfavorable research about our business, the market price for our Class A ordinary shares and/or ADSs would likely decline. If one or more of these analysts cease coverage of us or fail to publish reports on us regularly, we could lose visibility in the financial markets, which, in turn, could cause the market price of or trading volume for our Class A ordinary shares and/or ADSs to decline.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140"/>
          </w:cols>
          <w:pgMar w:left="320" w:top="482" w:right="4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Techniques employed by short sellers may drive down the market price of our listed securities.</w:t>
      </w:r>
    </w:p>
    <w:p>
      <w:pPr>
        <w:spacing w:after="0" w:line="121"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Short selling is the practice of selling securities that a seller does not own but rather has borrowed from a third party with the intention of buying identical securities back at a later date to return to the lender. Short sellers hope to profit from a decline in the value of the securities between the sale of the borrowed securities and the purchase of the replacement shares, as short sellers expect to pay less in that purchase than they received in the sale. As it is in short sellers’ interest for the price of the security to decline, many short sellers publish, or arrange for the publication of, negative opinions and allegations regarding the relevant issuer and its business prospects in order to create negative market momentum and generate profits for themselves after selling a security short. These short attacks have, in the past, led to selling of shares in the market.</w:t>
      </w:r>
    </w:p>
    <w:p>
      <w:pPr>
        <w:spacing w:after="0" w:line="187"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Public companies listed in the United States that have substantially all of their operations in China have been the subject of short selling. Much of the scrutiny and negative publicity has centered on allegations of, among other things, lack of effective internal control over financial reporting resulting in financial and accounting irregularities and mistakes, inadequate corporate governance policies or a lack of adherence thereto and, in many cases, allegations of fraud. As a result, many of these companies have conducted or are now conducting internal and external investigations into the allegations and, in the interim, are subject to shareholder lawsuits and/or SEC enforcement actions.</w:t>
      </w:r>
    </w:p>
    <w:p>
      <w:pPr>
        <w:spacing w:after="0" w:line="183"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iQIYI has historically been and may in the future be subject to unfavorable allegations made by short sellers. See “Item 8.A. Financial Information —Consolidated Statements and Other Financial Information—Legal Proceedings.” We may also become the subject of other short seller attacks from time to time in the future and class actions or regulatory enforcement actions derivative of such short seller attacks or actions of a similar nature. Any such allegations may be followed by periods of instability in the market price of our Class A ordinary shares and/or ADSs and negative publicity. If and when we become the subject of any unfavorable allegations, whether such allegations are proven to be true or untrue, we may have to expend a significant amount of resources to investigate such allegations and/or defend ourselves, including in connection with class actions or regulatory enforcement actions derivative of such allegations. While we believe we would strongly defend against any such short seller attacks, we may be constrained in the manner in which we can proceed against the relevant short sellers by principles of freedom of speech, applicable state law or issues of commercial confidentiality. Such a situation could be costly and time-consuming, and could divert management’s attention from the day-to-day our operations. Even if such allegations are ultimately proven to be groundless, allegations against us could severely impact the market price of our securities and our business operations.</w:t>
      </w:r>
    </w:p>
    <w:p>
      <w:pPr>
        <w:spacing w:after="0" w:line="296" w:lineRule="exact"/>
        <w:rPr>
          <w:sz w:val="20"/>
          <w:szCs w:val="20"/>
          <w:color w:val="auto"/>
        </w:rPr>
      </w:pPr>
    </w:p>
    <w:p>
      <w:pPr>
        <w:jc w:val="both"/>
        <w:ind w:left="120"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cannot guarantee that any share repurchase program will be fully consummated or that any share repurchase program will enhance long-term shareholder value, and share repurchases could increase the volatility of the price of our Class A ordinary shares and/or ADSs and could diminish our cash reserves.</w:t>
      </w:r>
    </w:p>
    <w:p>
      <w:pPr>
        <w:spacing w:after="0" w:line="6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board of director have authorized a few share repurchase programs in recent years, one of which were not fully consummated:</w:t>
      </w:r>
    </w:p>
    <w:p>
      <w:pPr>
        <w:spacing w:after="0" w:line="131" w:lineRule="exact"/>
        <w:rPr>
          <w:sz w:val="20"/>
          <w:szCs w:val="20"/>
          <w:color w:val="auto"/>
        </w:rPr>
      </w:pPr>
    </w:p>
    <w:p>
      <w:pPr>
        <w:ind w:left="1080" w:right="2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first quarter of 2026, our board of directors authorized a new share repurchase program, under which we may repurchase up to US$5.0 billion of our ADSs or shares, effective until December 31, 2028.</w:t>
      </w:r>
    </w:p>
    <w:p>
      <w:pPr>
        <w:spacing w:after="0" w:line="162"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Our board of directors also has the discretion to authorize additional share repurchase programs in the future. The share repurchase programs do not obligate us to repurchase any specific dollar amount or to acquire any specific number of ADSs and/or shares. We cannot guarantee that any share repurchase program will enhance long-term shareholder value. The share repurchase programs could affect the price of our listed securities and increase volatility and may be suspended or terminated at any time, which may result in a decrease in the trading price of our Class A ordinary shares and/or ADSs. Furthermore, share repurchases could increase the volatility of the price of our Class A ordinary shares and/or ADSs and could diminish our cash reserves.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You may need to rely on price appreciation of our Class A ordinary shares and/or ADSs for return on your investment.</w:t>
      </w:r>
    </w:p>
    <w:p>
      <w:pPr>
        <w:spacing w:after="0" w:line="121"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Although our board adopted a dividend policy in the first quarter of 2026 and currently expects to declare an initial dividend in 2026, our board has complete discretion as to whether and when to distribute dividends. The timing, amount, form, and declaration of any dividend remain subject to, among other things, our financial performance, capital requirements and surplus, prevailing market conditions, distributions from subsidiaries, contractual restrictions, and other factors the board may deem relevant. Moreover, our dividend policy is subject to change at any time at the discretion of our board, and there can be no assurance that we will not adjust or terminate our dividend policy in the future.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140"/>
          </w:cols>
          <w:pgMar w:left="320" w:top="482" w:right="4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In addition, while our shareholders may by ordinary resolution declare a dividend, no dividend may exceed the amount recommended by our board. In either case, the declaration of dividend will be subject to our memorandum and articles of association and certain restrictions under Cayman Islands law.</w:t>
      </w:r>
    </w:p>
    <w:p>
      <w:pPr>
        <w:spacing w:after="0" w:line="176"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Accordingly, shareholder returns, including in the form of share repurchase or dividend distribution, may fall short of your expectations, and you may need to rely on price appreciation of our Class A ordinary shares and/or ADSs for return on your investment. There is no guarantee that our Class A ordinary shares and/or ADSs will appreciate in value or even maintain the price at which you purchased the Class A ordinary shares and/or ADSs. You may not realize a return on your investment in our Class A ordinary shares and/or ADSs and you may even lose your entire investment in our Class A ordinary shares and/or ADSs.</w:t>
      </w:r>
    </w:p>
    <w:p>
      <w:pPr>
        <w:spacing w:after="0" w:line="287" w:lineRule="exact"/>
        <w:rPr>
          <w:sz w:val="20"/>
          <w:szCs w:val="20"/>
          <w:color w:val="auto"/>
        </w:rPr>
      </w:pPr>
    </w:p>
    <w:p>
      <w:pPr>
        <w:jc w:val="both"/>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Holders of our ADSs may not have the same voting rights as the holders of our ordinary shares and may not receive voting materials in time to be able to exercise your right to vote.</w:t>
      </w:r>
    </w:p>
    <w:p>
      <w:pPr>
        <w:spacing w:after="0" w:line="51"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Except as described in this annual report and in the deposit agreement, holders of our ADSs will not be able to exercise voting rights attached to the shares evidenced by our ADSs on an individual basis. Holders of our ADSs will appoint the depositary or its nominee as their representative to exercise the voting rights attached to the shares represented by the ADSs. Holders of our ADSs may not receive voting materials in time to instruct the depositary to vote, and it is possible that you, or persons who hold their ADSs through brokers, dealers or other third parties, will not have the opportunity to exercise a right to vote. Upon our written request, the depositary will mail to holders of our ADSs a shareholder meeting notice which contains, among other things, a statement as to the manner in which their voting instructions may be given, including an express indication that such instructions may be given or deemed given to the depositary to give a discretionary proxy to a person designated by us if no instructions are received by the depositary from ADS holders on or before the response date established by the depositary. However, no voting instruction will be deemed given and no such discretionary proxy will be given with respect to any matter as to which we inform the depositary that (i) we do not wish such proxy given, (ii) substantial opposition exists, or (iii) such matter materially and adversely affects the rights of shareholders.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Holders of our ADSs may not be able to participate in rights offerings and may experience dilution of their holdings as a result.</w:t>
      </w:r>
    </w:p>
    <w:p>
      <w:pPr>
        <w:spacing w:after="0" w:line="121"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may from time to time distribute rights to our shareholders, including rights to acquire our securities. Under the deposit agreement for the ADSs, the depositary will not offer those rights to ADS holders unless both the rights and the underlying securities to be distributed to ADS holders are either registered under the Securities Act of 1933, or exempt from registration under the Securities Act with respect to all holders of ADSs. We are under no obligation to file a registration statement with respect to any such rights or underlying securities or to endeavor to cause such a registration statement to be declared effective. In addition, we may not be able to take advantage of any exemptions from registration under the Securities Act. Accordingly, holders of our ADSs may be unable to participate in our rights offerings and may experience dilution in their holdings as a result.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Holders of our ADSs may not receive cash dividends, if any, if the depositary decides it is impractical to make them available to ADS holders.</w:t>
      </w:r>
    </w:p>
    <w:p>
      <w:pPr>
        <w:spacing w:after="0" w:line="121"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depositary will pay cash dividends on the ADSs only to the extent that we decide to distribute dividends on our Class A ordinary shares or other deposited securities. To the extent that there is a distribution, the depositary of our ADSs has agreed to pay to ADS holders the cash dividends or other distributions it or the custodian receives on our Class A ordinary shares or other deposited securities after deducting its fees and expenses. ADS holders will receive these distributions in proportion to the number of Class A ordinary shares that their ADSs represent. However, the depositary may, at its discretion, decide that it is inequitable or impractical to make a distribution available to any holders of ADSs. In these cases, the depositary may decide not to distribute such property to holders of our ADSs.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140"/>
          </w:cols>
          <w:pgMar w:left="320" w:top="482" w:right="4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Holders of our ADSs may be subject to limitations on transfer of your ADSs.</w:t>
      </w:r>
    </w:p>
    <w:p>
      <w:pPr>
        <w:spacing w:after="0" w:line="121"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ADSs are transferable on the books of the depositary. However, the depositary may close its transfer books at any time or from time to time when it deems expedient in connection with the performance of its duties. In addition, the depositary may refuse to deliver, transfer or register transfers of ADSs generally when our books or the books of the depositary are closed, or at any time if we or the depositary deems it advisable to do so because of any requirement of law or of any government or governmental body, or under any provision of the deposit agreement, or for any other reason.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Certain judgments obtained against us by our shareholders may not be enforceable.</w:t>
      </w:r>
    </w:p>
    <w:p>
      <w:pPr>
        <w:spacing w:after="0" w:line="121"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are incorporated in the Cayman Islands, and conduct most of our operations in Chinese mainland through our subsidiaries and the variable interest entities in Chinese mainland. A majority of our executive officers and directors do not reside in the United States or Hong Kong and some or all of the assets of these persons are not located in the United States or Hong Kong. As a result, it may not be possible to effect service of process within the United States, Hong Kong or elsewhere outside of Chinese mainland upon our executive officers, including with respect to matters arising under U.S. federal securities laws or applicable state securities laws, Hong Kong laws or otherwise.</w:t>
      </w:r>
    </w:p>
    <w:p>
      <w:pPr>
        <w:spacing w:after="0" w:line="183"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It may also be difficult or impossible for you to bring an action against us or against our directors and executive officers in the Cayman Islands or in Chinese mainland in the event that you believe that your rights have been infringed under the securities laws or otherwise. Even if you are successful in bringing an action of this kind, the laws of the Cayman Islands and of Chinese mainland may render you unable to enforce a judgment against our assets or the assets of our directors and executive officers.</w:t>
      </w:r>
    </w:p>
    <w:p>
      <w:pPr>
        <w:spacing w:after="0" w:line="180"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Although there is no statutory enforcement in the Cayman Islands of judgments obtained in Hong Kong courts or federal or state courts of the United States (and the Cayman Islands are not a party to any treaties for the reciprocal enforcement or recognition of such judgments), the courts of the Cayman Islands will, at common law, recognize and enforce a foreign monetary judgment of a foreign court of competent jurisdiction without any re-examination of the merits of the underlying dispute based on the principle that a judgment of a competent foreign court imposes upon the judgment debtor an obligation to pay the liquidated sum for which such judgment has been given, provided such judgment (i) is given by a foreign court of competent jurisdiction, (ii) imposes on the judgment debtor a liability to pay a liquidated sum for which the judgment has been given, (iii) is final,</w:t>
      </w:r>
    </w:p>
    <w:p>
      <w:pPr>
        <w:spacing w:after="0" w:line="5" w:lineRule="exact"/>
        <w:rPr>
          <w:sz w:val="20"/>
          <w:szCs w:val="20"/>
          <w:color w:val="auto"/>
        </w:rPr>
      </w:pPr>
    </w:p>
    <w:p>
      <w:pPr>
        <w:jc w:val="both"/>
        <w:ind w:left="120" w:hanging="4"/>
        <w:spacing w:after="0" w:line="252" w:lineRule="auto"/>
        <w:tabs>
          <w:tab w:leader="none" w:pos="441"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in respect of taxes, a fine or a penalty, and (v) was not obtained in a manner and is not of a kind the enforcement of which is contrary to natural justice or the public policy of the Cayman Islands. However, the Cayman Islands courts are unlikely to enforce a judgment obtained from the U.S. courts or Hong Kong courts under civil liability provisions of the U.S. federal securities law or Hong Kong law if such judgment is determined by the courts of the Cayman Islands to give rise to obligations to make payments that are penal or punitive in nature. Because such a determination has not yet been made by a court of the Cayman Islands, it is uncertain whether such civil liability judgments from U.S. or Hong Kong would be enforceable in the Cayman Islands.</w:t>
      </w:r>
    </w:p>
    <w:p>
      <w:pPr>
        <w:spacing w:after="0" w:line="190"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Our corporate affairs are governed by our memorandum and articles of association and by the Cayman Islands Companies Act (As Revised) and common law of the Cayman Islands. The rights of shareholders to take legal action against our directors and us, actions by minority shareholders and the fiduciary responsibilities of our directors to us under Cayman Islands law are to a large extent governed by the common law of the Cayman Islands. The common law of the Cayman Islands is derived in part from comparatively limited judicial precedent in the Cayman Islands as well as from English common law, which has persuasive, but not binding, authority on a court in the Cayman Islands. The rights of our shareholders and the fiduciary duties of our directors under Cayman Islands law are not as clearly established as they would be under statutes or judicial precedents in the United States. In particular, the Cayman Islands has a less developed body of securities laws as compared to the United States, and provides significantly less protection to investors. In addition, with respect to Cayman Islands companies, plaintiffs may face special obstacles, including but not limited to those relating to jurisdiction and standing, in attempting to assert derivative claims in state or federal courts of the United States.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140"/>
          </w:cols>
          <w:pgMar w:left="320" w:top="482" w:right="4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The recognition and enforcement of foreign judgments are provided for under the PRC Civil Procedures Law. The courts of Chinese mainland may recognize and enforce foreign judgments in accordance with the requirements of the PRC Civil Procedures Law based either on treaties between Chinese mainland and the country where the judgment is made or on principles of reciprocity between jurisdictions. Chinese mainland does not have any treaties or other forms of reciprocity with the United States that provide for the reciprocal recognition and enforcement of foreign judgments. In addition, according to the PRC Civil Procedures Law, the courts of Chinese mainland will not enforce a foreign judgment against us or our director and officers if they decide that the judgment violates the basic principles of the laws of Chinese mainland or national sovereignty, security or public interest. As a result, it is uncertain whether and on what basis a court of Chinese mainland would enforce a judgment rendered by a court in the United States.</w:t>
      </w:r>
    </w:p>
    <w:p>
      <w:pPr>
        <w:spacing w:after="0" w:line="189"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As a result of all of the above, our public shareholders may have more difficulty in protecting their interests through actions against our management, directors or major shareholders than would shareholders of a corporation incorporated in a jurisdiction in the United States or in Hong Kong.</w:t>
      </w:r>
    </w:p>
    <w:p>
      <w:pPr>
        <w:spacing w:after="0" w:line="280" w:lineRule="exact"/>
        <w:rPr>
          <w:sz w:val="20"/>
          <w:szCs w:val="20"/>
          <w:color w:val="auto"/>
        </w:rPr>
      </w:pPr>
    </w:p>
    <w:p>
      <w:pPr>
        <w:jc w:val="both"/>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Since our company is a Cayman Islands exempted company, the rights of our shareholders may be more limited than those of shareholders of a company organized in the United States or Hong Kong.</w:t>
      </w:r>
    </w:p>
    <w:p>
      <w:pPr>
        <w:spacing w:after="0" w:line="51"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Under the laws of some jurisdictions in the United States, majority and controlling shareholders generally have certain fiduciary responsibilities to the minority shareholders. Shareholder action must be taken in good faith, and actions by controlling shareholders which are obviously unreasonable may be declared null and void. Cayman Islands law protecting the interests of minority shareholders may not be as protective in all circumstances as the law protecting minority shareholders in some U.S. jurisdictions. In addition, the circumstances in which a shareholder of a Cayman Islands company may sue the company derivatively, and the procedures and defenses that may be available to the company, may result in the rights of shareholders of a Cayman Islands company being more limited than those of shareholders of a company organized in the United States.</w:t>
      </w:r>
    </w:p>
    <w:p>
      <w:pPr>
        <w:spacing w:after="0" w:line="187"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Furthermore, our directors have the power to take certain actions without shareholder approval which would require shareholder approval under Hong Kong law and the laws of most U.S. jurisdictions. The directors of a Cayman Islands company, without shareholder approval, may implement a sale of any assets, property, part of the business, or securities of the company. Our ability to create and issue new classes or series of shares without shareholders’ approval could have the effect of delaying, deterring or preventing a change in control without any further action by our shareholders, including a tender offer to purchase our ordinary shares at a premium over then current market prices.</w:t>
      </w:r>
    </w:p>
    <w:p>
      <w:pPr>
        <w:spacing w:after="0" w:line="183"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Furthermore, our articles of association are specific to us and include certain provisions that may be different from common practices in Hong Kong, such as the absence of requirements that the appointment, removal and remuneration of auditors must be approved by a majority of our shareholders.</w:t>
      </w:r>
    </w:p>
    <w:p>
      <w:pPr>
        <w:spacing w:after="0" w:line="280" w:lineRule="exact"/>
        <w:rPr>
          <w:sz w:val="20"/>
          <w:szCs w:val="20"/>
          <w:color w:val="auto"/>
        </w:rPr>
      </w:pPr>
    </w:p>
    <w:p>
      <w:pPr>
        <w:jc w:val="both"/>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dual-class ordinary share structure with different voting rights could discourage others from pursuing any change of control transactions that holders of our Class A ordinary shares and ADSs may view as beneficial.</w:t>
      </w:r>
    </w:p>
    <w:p>
      <w:pPr>
        <w:spacing w:after="0" w:line="51"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Our ordinary shares are divided into Class A ordinary shares and Class B ordinary shares. Holders of Class A ordinary shares are entitled to one vote per share, while holders of Class B ordinary shares are entitled to ten votes per share. We issued Class A ordinary shares represented by our ADSs in our initial public offering. Our co-founder, chairman and chief executive officer, Robin Yanhong Li, who acquired our shares prior to our initial public offering, holds our Class B ordinary shares. Each Class B ordinary share is convertible into one Class A ordinary share at any time by the holder thereof, while Class A ordinary shares are not convertible into Class B ordinary shares under any circumstances. Upon any transfer of Class B ordinary shares by a holder thereof to any person or entity which is not an affiliate (as defined in our memorandum and articles of association) of such holder, such Class B ordinary shares will be automatically and immediately converted into the equal number of Class A ordinary shares. In addition, if at any time Robin Yanhong Li and his affiliates (as defined in our memorandum and articles of association) collectively own less than 5% of the total number of the issued and outstanding Class B ordinary shares, each issued and outstanding Class B ordinary share will be automatically and immediately converted into one Class A ordinary share, and we should not issue any Class B ordinary shares thereafter.</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140"/>
          </w:cols>
          <w:pgMar w:left="320" w:top="482" w:right="4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Due to the disparate voting powers attached to these two classes, certain shareholders have significant voting power over matters requiring shareholder approval, including election of directors and significant corporate transactions, such as a merger or sale of our company or our assets. This concentrated control could discourage or prevent others from pursuing any potential merger, takeover or other change of control transactions with our company, which could deprive our shareholders and ADS holders of an opportunity to receive a premium for their shares or ADSs as part of a sale of our company and might reduce the price of our Class A ordinary shares and/or ADSs.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articles of association contain anti-takeover provisions that could adversely affect the rights of holders of our ordinary shares and/or ADSs.</w:t>
      </w:r>
    </w:p>
    <w:p>
      <w:pPr>
        <w:spacing w:after="0" w:line="121"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Our articles of association include certain provisions that could limit the ability of others to acquire control of our company, and therefore may deprive the holders of our ordinary shares and ADSs of the opportunity to sell their ordinary shares or ADSs at a premium over the prevailing market price by discouraging third parties from seeking to obtain control of our company in a tender offer or similar transactions. These provisions include the following:</w:t>
      </w:r>
    </w:p>
    <w:p>
      <w:pPr>
        <w:spacing w:after="0" w:line="85" w:lineRule="exact"/>
        <w:rPr>
          <w:sz w:val="20"/>
          <w:szCs w:val="20"/>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dual-class ordinary share structure.</w:t>
      </w:r>
    </w:p>
    <w:p>
      <w:pPr>
        <w:spacing w:after="0" w:line="130" w:lineRule="exact"/>
        <w:rPr>
          <w:rFonts w:ascii="Times New Roman" w:cs="Times New Roman" w:eastAsia="Times New Roman" w:hAnsi="Times New Roman"/>
          <w:sz w:val="18"/>
          <w:szCs w:val="18"/>
          <w:color w:val="auto"/>
        </w:rPr>
      </w:pPr>
    </w:p>
    <w:p>
      <w:pPr>
        <w:jc w:val="both"/>
        <w:ind w:left="1080" w:right="20" w:hanging="424"/>
        <w:spacing w:after="0" w:line="266"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has the authority, without approval by the shareholders, to issue up to a total of 800,000,000 preferred shares in one or more series. Our board of directors may establish the number of shares to be included in each such series and may fix the designations, preferences, powers and other rights of the shares of a series of preferred shares.</w:t>
      </w:r>
    </w:p>
    <w:p>
      <w:pPr>
        <w:spacing w:after="0" w:line="81"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has the right to elect directors to fill a vacancy created by the increase of the board of directors or the resignation, death or removal of a director, which prevents shareholders from having the sole right to fill vacancies on our board of directors.</w:t>
      </w:r>
    </w:p>
    <w:p>
      <w:pPr>
        <w:spacing w:after="0" w:line="266"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foreign private issuer within the meaning of the rules under the U.S. Exchange Act, and as such we are exempt from certain provisions applicable to U.S. domestic public companies.</w:t>
      </w:r>
    </w:p>
    <w:p>
      <w:pPr>
        <w:spacing w:after="0" w:line="5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Because we qualify as a foreign private issuer under the U.S. Exchange Act, we are exempt from certain provisions of the securities rules and regulations in the United States that are applicable to U.S. domestic issuers, including:</w:t>
      </w:r>
    </w:p>
    <w:p>
      <w:pPr>
        <w:spacing w:after="0" w:line="67" w:lineRule="exact"/>
        <w:rPr>
          <w:sz w:val="20"/>
          <w:szCs w:val="20"/>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under the U.S. Exchange Act requiring the filing with the SEC of quarterly reports on Form 10-Q or current reports on Form 8-K;</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U.S. Exchange Act regulating the solicitation of proxies, consents, or authorizations in respect of a security registered under the U.S. Exchange Act;</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U.S. Exchange Act requiring principal shareholders to file public reports of their stock ownership and trading activities and prescribing the short-swing profit recovery for principal shareholders, directors and officers;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selective disclosure rules by issuers of material nonpublic information under Regulation FD.</w:t>
      </w:r>
    </w:p>
    <w:p>
      <w:pPr>
        <w:spacing w:after="0" w:line="225"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are required to file an annual report on Form 20-F within four months of the end of each fiscal year. In addition, we intend to publish our results on a quarterly basis as press releases, distributed pursuant to the rules and regulations of Nasdaq. Press releases relating to financial results and material events will also be furnished to the SEC on Form 6-K. However, the information we are required to file with or furnish to the SEC will be less extensive and less timely compared to that required to be filed with the SEC by U.S. domestic issuers. As a result, you may not be afforded the same protections or information that would be made available to you were you investing in a U.S. domestic issuer.</w:t>
      </w:r>
    </w:p>
    <w:p>
      <w:pPr>
        <w:spacing w:after="0" w:line="183"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As a Cayman Islands exempted company listed on Nasdaq, we are subject to Nasdaq corporate governance listing standards. However, Nasdaq rules permit a foreign private issuer like us to follow the corporate governance practices of its home country. Certain corporate governance practices in the Cayman Islands, which is our home country, may differ significantly from Nasdaq corporate governance listing standards. For example, neither the Companies Act (As Revised) of the Cayman Islands nor our memorandum and articles of association requires a majority of our directors to be independent and we could include non-independent directors as members of our compensation committee and nominating committee, and our independent directors would not necessarily hold regularly scheduled meetings at which only independent directors are present. We convened an extraordinary general meeting in December 2021 to revise our memorandum and articles of association, so that we are required to convene an annual general meeting each year. Accordingly, we held annual general meetings in June 2023, 2024 and 2025. If we choose to follow other home country practice in the future, our shareholders may be afforded less protection than they otherwise would under Nasdaq corporate governance listing standards applicable to U.S. domestic issuers.</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140"/>
          </w:cols>
          <w:pgMar w:left="320" w:top="482" w:right="4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both"/>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can be no assurance that we will not be a passive foreign investment company, or PFIC, for United States federal income tax purposes for any taxable year, which could result in adverse U.S. federal income tax consequences to U.S. Holders of our ADSs or ordinary shares.</w:t>
      </w:r>
    </w:p>
    <w:p>
      <w:pPr>
        <w:spacing w:after="0" w:line="51"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A non-U.S. corporation, such as us, will be considered a PFIC for U.S. federal income tax purposes for any taxable year if either (i) at least 75% of its gross income is passive income or (ii) at least 50% of the value of its assets (generally determined on a quarterly basis) is attributable to assets that produce or are held for the production of passive income. The value of our assets is generally determined by reference to the market price of the ADSs and ordinary shares, which may fluctuate considerably. In addition, because PFIC status is a fact-intensive determination made on an annual basis, no assurance may be given with respect to our PFIC status for the current or any future taxable year.</w:t>
      </w:r>
    </w:p>
    <w:p>
      <w:pPr>
        <w:spacing w:after="0" w:line="183" w:lineRule="exact"/>
        <w:rPr>
          <w:sz w:val="20"/>
          <w:szCs w:val="20"/>
          <w:color w:val="auto"/>
        </w:rPr>
      </w:pPr>
    </w:p>
    <w:p>
      <w:pPr>
        <w:jc w:val="both"/>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Based on the market price of our ADSs and ordinary shares, the value of our assets, and the composition of our assets and income, we believe that we were a PFIC for the taxable year ended December 31, 2025. However, no assurance can be given with respect to our PFIC status in the current taxable year or foreseeable taxable years, because the determination of whether we will be a PFIC is a factual determination made annually that will depend, in part, upon the composition of our income and assets. Fluctuations in the market price of our ordinary shares and/or ADSs may also cause us to be a PFIC for the current or future taxable years because the value of our assets for purposes of the asset test, including the value of our goodwill and other unbooked intangibles, may be determined by reference to the market price of our ordinary shares and/or ADSs from time to time (which may be volatile). The composition of our income and assets will also be affected by how, and how quickly, we use our liquid assets. If we deploy significant amounts of cash and investments for active purposes, we may be less likely to be classified as a PFIC for the current or future taxable years.</w:t>
      </w:r>
    </w:p>
    <w:p>
      <w:pPr>
        <w:spacing w:after="0" w:line="192"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If we are classified as a PFIC for any taxable year during which a U.S. Holder (as defined below) held an ADS or an ordinary share, certain adverse U.S. federal income tax consequences could apply to the U.S. Holder. Further, if we are classified as a PFIC for any year during which a U.S. Holder holds our ADSs or ordinary shares, we will generally continue to be treated as a PFIC for all succeeding years during which such U.S. Holder holds our ADSs or ordinary shares. U.S. Holders of our ADSs or ordinary shares are urged to consult their tax advisors concerning the United States federal income tax consequences regarding the impact of our classification as a PFIC. See “Item 10.E. Additional Information—Taxation—U.S. Federal Income Tax Considerations—Passive Foreign Investment Company.”</w:t>
      </w:r>
    </w:p>
    <w:p>
      <w:pPr>
        <w:spacing w:after="0" w:line="291" w:lineRule="exact"/>
        <w:rPr>
          <w:sz w:val="20"/>
          <w:szCs w:val="20"/>
          <w:color w:val="auto"/>
        </w:rPr>
      </w:pPr>
    </w:p>
    <w:p>
      <w:pPr>
        <w:jc w:val="both"/>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different characteristics of the capital markets in Hong Kong and the U.S. may negatively affect the trading prices of our Class A ordinary shares and/or ADSs.</w:t>
      </w:r>
    </w:p>
    <w:p>
      <w:pPr>
        <w:spacing w:after="0" w:line="51" w:lineRule="exact"/>
        <w:rPr>
          <w:sz w:val="20"/>
          <w:szCs w:val="20"/>
          <w:color w:val="auto"/>
        </w:rPr>
      </w:pPr>
    </w:p>
    <w:p>
      <w:pPr>
        <w:jc w:val="both"/>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are subject to Hong Kong and Nasdaq listing and regulatory requirements concurrently. The Hong Kong Stock Exchange and Nasdaq have different trading hours, trading characteristics (including trading volume and liquidity), trading and listing rules, and investor bases (including different levels of retail and institutional participation). As a result of these differences, the trading prices of our Class A ordinary shares and our ADSs may not be the same, even allowing for currency differences. Fluctuations in the price of our ADSs due to circumstances peculiar to the U.S. capital markets could materially and adversely affect the price of our Class A ordinary shares, or vice versa. Certain events having significant negative impact specifically on the U.S. capital markets may result in a decline in the trading price of our Class A ordinary shares notwithstanding that such event may not impact the trading prices of securities listed in Hong Kong generally or to the same extent, or vice versa. Because of the different characteristics of the U.S. and Hong Kong capital markets, the historical market prices of our ADSs may not be indicative of the trading performance of our Class A ordinary shares.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Exchange between our Class A ordinary shares and our ADSs may adversely affect the liquidity and/or trading price of each other.</w:t>
      </w:r>
    </w:p>
    <w:p>
      <w:pPr>
        <w:spacing w:after="0" w:line="121"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Subject to compliance with U.S. securities law and the terms of the deposit agreement, holders of our Class A ordinary shares may deposit Class A ordinary shares with the depositary in exchange for the issuance of our ADSs. Any holder of ADSs may also surrender ADSs and withdraw the underlying Class A ordinary shares represented by the ADSs pursuant to the terms of the deposit agreement for trading on the Hong Kong Stock Exchange. In the event that a substantial number of Class A ordinary shares are deposited with the depositary in exchange for ADSs or vice versa, the liquidity and trading price of our Class A ordinary shares on the Hong Kong Stock Exchange and our ADSs on Nasdaq may be adversely affected.</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140"/>
          </w:cols>
          <w:pgMar w:left="320" w:top="482" w:right="4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both"/>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time required for the exchange between Class A ordinary shares and ADSs might be longer than expected and investors might not be able to settle or effect any sale of their securities during this period, and the exchange of Class A ordinary shares into ADSs involves costs.</w:t>
      </w:r>
    </w:p>
    <w:p>
      <w:pPr>
        <w:spacing w:after="0" w:line="51"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There is no direct trading or settlement between Nasdaq and the Hong Kong Stock Exchange on which our ADSs and our Class A ordinary shares are respectively traded. In addition, the time differences between Hong Kong and New York and unforeseen market circumstances or other factors may delay the deposit of Class A ordinary shares in exchange of ADSs or the withdrawal of Class A ordinary shares represented by the ADSs. Investors will be prevented from settling or effecting the sale of their securities during such periods of delay. In addition, there is no assurance that any exchange of Class A ordinary shares into ADSs (and vice versa) will be completed in accordance with the timelines investors may anticipate.</w:t>
      </w:r>
    </w:p>
    <w:p>
      <w:pPr>
        <w:spacing w:after="0" w:line="183"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Furthermore, the depositary for the ADSs is entitled to charge holders fees for various services including for the issuance of ADSs upon deposit of Class A ordinary shares, cancelation of ADSs, distributions of cash dividends or other cash distributions, distributions of ADSs pursuant to share dividends or other free share distributions, distributions of securities other than ADSs and annual service fees. As a result, shareholders who exchange Class A ordinary shares into ADSs, and vice versa, may not achieve the level of economic return the shareholders may anticipate.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risks associated with any potential spin-off of one or more of our businesses.</w:t>
      </w:r>
    </w:p>
    <w:p>
      <w:pPr>
        <w:spacing w:after="0" w:line="121" w:lineRule="exact"/>
        <w:rPr>
          <w:sz w:val="20"/>
          <w:szCs w:val="20"/>
          <w:color w:val="auto"/>
        </w:rPr>
      </w:pPr>
    </w:p>
    <w:p>
      <w:pPr>
        <w:jc w:val="both"/>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are exposed to risks associated with any potential spin-off of one or more of our businesses. While we do not have any specific plans with respect to the timing or details of any potential spin-off listing as at the date of this annual report other than what has already been disclosed, we will continue to explore the ongoing financing requirements for our various businesses and may consider a spin-off listing on the Hong Kong Stock Exchange for one or more of those businesses. As of the date of this annual report, we have not identified any target for a potential spin-off other than what has already been disclosed, as a result we do not have any information relating to the identity of any spin-off target or any other details of any spin off and accordingly, there is no material omission of any information relating to any possible spin-off in this document. We cannot assure you that any spin-off will ultimately be consummated, and any such spin-off will be subject to market conditions at the time and approval by the listing committee of the Hong Kong Stock Exchange or other relevant regulatory authorities. In the event that we proceed with a spin-off, our company’s interest in the entity to be spun-off (and its corresponding contribution to the financial results of our company) will be reduced accordingly.</w:t>
      </w:r>
    </w:p>
    <w:p>
      <w:pPr>
        <w:spacing w:after="0" w:line="333"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INFORMATION ON THE COMPANY</w:t>
      </w:r>
    </w:p>
    <w:p>
      <w:pPr>
        <w:spacing w:after="0" w:line="131" w:lineRule="exact"/>
        <w:rPr>
          <w:sz w:val="20"/>
          <w:szCs w:val="20"/>
          <w:color w:val="auto"/>
        </w:rPr>
      </w:pPr>
    </w:p>
    <w:p>
      <w:pPr>
        <w:ind w:left="540" w:hanging="424"/>
        <w:spacing w:after="0"/>
        <w:tabs>
          <w:tab w:leader="none" w:pos="54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History and Development of the Company</w:t>
      </w:r>
    </w:p>
    <w:p>
      <w:pPr>
        <w:spacing w:after="0" w:line="121" w:lineRule="exact"/>
        <w:rPr>
          <w:sz w:val="20"/>
          <w:szCs w:val="20"/>
          <w:color w:val="auto"/>
        </w:rPr>
      </w:pPr>
    </w:p>
    <w:p>
      <w:pPr>
        <w:jc w:val="both"/>
        <w:ind w:left="120" w:right="20" w:firstLine="440"/>
        <w:spacing w:after="0" w:line="222" w:lineRule="exact"/>
        <w:rPr>
          <w:sz w:val="20"/>
          <w:szCs w:val="20"/>
          <w:color w:val="auto"/>
        </w:rPr>
      </w:pPr>
      <w:r>
        <w:rPr>
          <w:rFonts w:ascii="Times New Roman" w:cs="Times New Roman" w:eastAsia="Times New Roman" w:hAnsi="Times New Roman"/>
          <w:sz w:val="18"/>
          <w:szCs w:val="18"/>
          <w:color w:val="auto"/>
        </w:rPr>
        <w:t xml:space="preserve">Our company was incorporated in the Cayman Islands in January 2000. In December 2008, our shareholders approved a change in the name of our company from Baidu.com, Inc. to Baidu, Inc. In December 2021, our shareholders approved a change in the name of our company from Baidu, Inc. to the dual foreign name Baidu, Inc. </w:t>
      </w:r>
      <w:r>
        <w:rPr>
          <w:rFonts w:ascii="SimSun" w:cs="SimSun" w:eastAsia="SimSun" w:hAnsi="SimSun"/>
          <w:sz w:val="16"/>
          <w:szCs w:val="16"/>
          <w:color w:val="auto"/>
        </w:rPr>
        <w:t>百度集團股份有限公司</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Since our inception, we have conducted our operations in Chinese mainland principally through Baidu Online, our wholly owned subsidiary in Beijing, China. Since June 2001, we also have conducted part of our operations in Chinese mainland through Baidu Netcom, a variable interest entity in Beijing, China, which holds the licenses and approvals necessary to operate our platform and provide internet content services, value-added telecommunication-based services, internet map services, online audio and video services and mobile application distribution businesses. In subsequent years, we have established additional subsidiaries inside and outside of Chinese mainland and assisted in establishing additional variable interest entities in Chinese mainland to conduct part of our operations.</w:t>
      </w:r>
    </w:p>
    <w:p>
      <w:pPr>
        <w:spacing w:after="0" w:line="187"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On August 5, 2005, we listed our ADSs on The NASDAQ National Market (later renamed The Nasdaq Global Market) under the symbol “BIDU,” with each ADS representing one Class A ordinary share at the time. Our ADSs are currently traded on The Nasdaq Global Select Market.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140"/>
          </w:cols>
          <w:pgMar w:left="320" w:top="482" w:right="4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On May 12, 2010, we effected a change of the ADS to Class A ordinary share ratio from 1 ADS representing 1 Class A ordinary share to 10 ADSs representing 1 Class A ordinary share. The ratio change had the same effect as a 10-for-1 ADS split.</w:t>
      </w:r>
    </w:p>
    <w:p>
      <w:pPr>
        <w:spacing w:after="0" w:line="162"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In November 2012, we obtained the controlling interest in iQIYI, Inc., or iQIYI, a prior equity method investee, and have since then consolidated its financial results into our consolidated financial statements. In May 2013, we acquired the online video business of PPStream Inc. and merged it with iQIYI, and since then have consolidated its financial results into our consolidated financial statements. iQIYI completed its initial public offering in March 2018 and iQIYI’s American Depositary Shares trade on the Nasdaq Global Select Market under the symbol “IQ.” We continue to control iQIYI and consolidate its financial results into our own in accordance with U.S. GAAP.</w:t>
      </w:r>
    </w:p>
    <w:p>
      <w:pPr>
        <w:spacing w:after="0" w:line="183"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In April 2018, we entered into definitive agreements with certain investors relating to our divestiture of a majority equity stake in our financial services business, which provides consumer credit, wealth management and other financial services and had been renamed as Du Xiaoman. The divestiture was completed in August 2018, following which we held a minority equity interest in Du Xiaoman, which was accounted for as an equity method investment. We have deconsolidated the financial results of Du Xiaoman from our consolidated financial statements in accordance with U.S. GAAP.</w:t>
      </w:r>
    </w:p>
    <w:p>
      <w:pPr>
        <w:spacing w:after="0" w:line="183"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We closed Series A financing of our smart living business, known as Smart Living Group, at a post-money valuation of approximately RMB20 billion (US$2.9 billion) in November 2020, and two rounds of Series B financing at a US$5.1 billion post-money valuation, in August 2021 and September 2022, respectively. SLG operates DuerOS voice assistant and DuerOS-powered smart devices. We continued to consolidate the financial results of SLG into our own in accordance with U.S. GAAP as a majority shareholder.</w:t>
      </w:r>
    </w:p>
    <w:p>
      <w:pPr>
        <w:spacing w:after="0" w:line="180"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We entered into definitive agreements with JOYY in November 2020, which were subsequently amended and supplemented, including in February 2021, to acquire YY Live, which includes the YY mobile app, the </w:t>
      </w:r>
      <w:r>
        <w:rPr>
          <w:rFonts w:ascii="Times New Roman" w:cs="Times New Roman" w:eastAsia="Times New Roman" w:hAnsi="Times New Roman"/>
          <w:sz w:val="18"/>
          <w:szCs w:val="18"/>
          <w:u w:val="single" w:color="auto"/>
          <w:color w:val="auto"/>
        </w:rPr>
        <w:t>YY.com</w:t>
      </w:r>
      <w:r>
        <w:rPr>
          <w:rFonts w:ascii="Times New Roman" w:cs="Times New Roman" w:eastAsia="Times New Roman" w:hAnsi="Times New Roman"/>
          <w:sz w:val="18"/>
          <w:szCs w:val="18"/>
          <w:color w:val="auto"/>
        </w:rPr>
        <w:t xml:space="preserve"> website and PC YY, among other things, for an aggregate purchase price of approximately US$3.6 billion in cash, subject to certain adjustments. The closing of this acquisition was subject to certain conditions, including, among others, obtaining the necessary regulatory approvals from government authorities, and the share purchase agreement was subject to termination by either party if the closing did not occur by the long stop date. Despite our good faith efforts, the closing conditions provided for in the share purchase agreement had not been fully satisfied as of December 31, 2023, the long stop date. On January 1, 2024, we exercised our right to terminate the prior agreement in accordance with its terms. After negotiation with JOYY on next steps following the termination, Baidu (Hong Kong) Limited entered into new agreements on February 25, 2025 with JOYY to acquire, and acquired, YY Live for an aggregate price of approximately US$2.1 billion. See “Item 3.D. Key Information—Risk Factors—Risks Related to Our Business and Industry—We may not be able to achieve the anticipated benefits of our acquisition of YY Live, and face other risks associated with the acquisition and the operation of YY Live.”</w:t>
      </w:r>
    </w:p>
    <w:p>
      <w:pPr>
        <w:spacing w:after="0" w:line="194"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On March 1, 2021, our shareholders approved and effected a change to our authorized share capital by a 1-to-80 subdivision of shares. Concurrently, we effected a proportionate change in our ADS to Class A ordinary share ratio from 10 ADSs representing 1 Class A ordinary share to each ADS representing 8 Class A ordinary shares.</w:t>
      </w:r>
    </w:p>
    <w:p>
      <w:pPr>
        <w:spacing w:after="0" w:line="176"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On March 23, 2021, our Class A ordinary shares commenced trading on the Main Board of the Hong Kong Stock Exchange under the stock code “9888.” We raised approximately US$3.1 billion in net proceeds from our global offering in connection with the listing in Hong Kong after deducting underwriting commissions, share issuance costs and the offering expenses.</w:t>
      </w:r>
    </w:p>
    <w:p>
      <w:pPr>
        <w:spacing w:after="0" w:line="176"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Our principal executive offices are located at Baidu Campus, No. 10 Shangdi 10th Street, Haidian District, Beijing 100085, the People’s Republic of China. Our telephone number at this address is +86 (10) 5992-8888.</w:t>
      </w:r>
    </w:p>
    <w:p>
      <w:pPr>
        <w:spacing w:after="0" w:line="306" w:lineRule="exact"/>
        <w:rPr>
          <w:sz w:val="20"/>
          <w:szCs w:val="20"/>
          <w:color w:val="auto"/>
        </w:rPr>
      </w:pPr>
    </w:p>
    <w:p>
      <w:pPr>
        <w:ind w:left="540" w:hanging="424"/>
        <w:spacing w:after="0"/>
        <w:tabs>
          <w:tab w:leader="none" w:pos="54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Business Overview</w:t>
      </w:r>
    </w:p>
    <w:p>
      <w:pPr>
        <w:spacing w:after="0" w:line="121" w:lineRule="exact"/>
        <w:rPr>
          <w:rFonts w:ascii="Times New Roman" w:cs="Times New Roman" w:eastAsia="Times New Roman" w:hAnsi="Times New Roman"/>
          <w:sz w:val="18"/>
          <w:szCs w:val="18"/>
          <w:b w:val="1"/>
          <w:bCs w:val="1"/>
          <w:color w:val="auto"/>
        </w:rPr>
      </w:pPr>
    </w:p>
    <w:p>
      <w:pPr>
        <w:ind w:left="5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mission is to make the complicated world simpler through technology.</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140"/>
          </w:cols>
          <w:pgMar w:left="320" w:top="482" w:right="4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We are a leading AI company with a strong internet foundation. We have been consistently investing in AI since 2010 to advance our technological capabilities, enhance our search functionality and boost overall monetization. The breadth and depth of our AI capabilities provide the differentiating foundational technologies that power all of our businesses.</w:t>
      </w:r>
    </w:p>
    <w:p>
      <w:pPr>
        <w:spacing w:after="0" w:line="176" w:lineRule="exact"/>
        <w:rPr>
          <w:sz w:val="20"/>
          <w:szCs w:val="20"/>
          <w:color w:val="auto"/>
        </w:rPr>
      </w:pPr>
    </w:p>
    <w:p>
      <w:pPr>
        <w:jc w:val="both"/>
        <w:ind w:left="120" w:firstLine="440"/>
        <w:spacing w:after="0" w:line="252" w:lineRule="auto"/>
        <w:rPr>
          <w:sz w:val="20"/>
          <w:szCs w:val="20"/>
          <w:color w:val="auto"/>
        </w:rPr>
      </w:pPr>
      <w:r>
        <w:rPr>
          <w:rFonts w:ascii="Times New Roman" w:cs="Times New Roman" w:eastAsia="Times New Roman" w:hAnsi="Times New Roman"/>
          <w:sz w:val="18"/>
          <w:szCs w:val="18"/>
          <w:color w:val="auto"/>
        </w:rPr>
        <w:t>We are in the midst of a broad-based platform shift driven by generative AI and foundation models that is set to revolutionize every industry. To capture this opportunity, we launched ERNIE Bot, our conversational AI bot powered by ERNIE, our in-house foundation model, in the first quarter of 2023. We have continued to expand the ERNIE family of models. In May 2023, we launched ERNIE 3.5, which served as the latest foundation model powering ERNIE Bot at that time. According to the International Data Corporation (IDC)’s latest report on the technological abilities of AI models, issued in July 2023, ERNIE 3.5 excelled in many areas, such as algorithm, industry coverage, developer tools and ecosystem. In October 2023, we launched ERNIE 4.0 (EB4), our most advanced foundation model at the time. EB4 is a GPT4-type of model, displaying human-level performance in understanding, content generation, complex reasoning and memory retention. These capabilities are crucial for developing AI-native applications and solutions. In June 2024, we launched ERNIE 4.0 Turbo, which provides superior capabilities for typical use cases and is designed to run faster and at lower cost compared to ERNIE 4.0. We have been using the ERNIE family of models to renovate our products and offerings in order to provide AI-native experiences. In 2025, we accelerated the pace of model iteration to meet the rapidly expanding adoption of AI across a broad range of application scenarios. In March 2025, we released ERNIE 4.5, our first flagship foundation model with multimodal capabilities, and ERNIE X1, our first reasoning model with best-in-class function calling, tackling complex problems with extended chains of thought. In April 2025, we further unveiled enhanced versions, ERNIE 4.5 Turbo and ERNIE X1 Turbo, delivering improved performance at significantly lower pricing. In November 2025, we unveiled ERNIE 5.0, our first native omni-modal foundation model. ERNIE 5.0 delivers strong performance across omni-modal understanding, creative writing, and instruction following. In January 2026, we released an updated version of ERNIE 5.0.</w:t>
      </w:r>
    </w:p>
    <w:p>
      <w:pPr>
        <w:spacing w:after="0" w:line="196"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are one of the very few companies in the world that offers a full AI stack of four layers, including cloud infrastructure, deep learning framework developed in-house, foundation models, and applications. Baidu AI Cloud was ranked the No.1 AI cloud provider for the sixth consecutive year, according to IDC’s 2024 report on China’s AI public cloud market, issued in July 2025.</w:t>
      </w:r>
    </w:p>
    <w:p>
      <w:pPr>
        <w:spacing w:after="0" w:line="176"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We are the market leader in autonomous driving and we are the first recipient of driverless licenses in China and the U.S. In Chinese mainland, we have achieved 100% fully driverless operations in all cities where we operate, including Beijing, Shanghai, Shenzhen, Wuhan, Chengdu, Chongqing, Haikou and Sanya.</w:t>
      </w:r>
    </w:p>
    <w:p>
      <w:pPr>
        <w:spacing w:after="0" w:line="176"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Baidu was founded as a search engine business in 2000 with the belief that technology can change the way people discover and consume information. At the heart of Baidu search is its ability to better understand a user’s search queries and to answer these queries by matching the most relevant information in ranked search results. To achieve this, we continually innovate and develop new technologies and products that enhance Baidu search user experience. We began to use AI a decade ago to power these technologies in order to better match user search intent with the large amount of information on the internet. For instance, our natural language processing, an AI capability, enables the understanding of important details of a query, particularly in complex conversational queries. This helps optimize search results returned and increase the satisfaction rate of users. Years of tagging, understanding and intelligently processing all forms of content on the internet—text, images and videos—with AI has enabled us to further develop leading AI technologies and commercialize them through products and services for consumers, enterprises and the public sector. Our ability to continually invest heavily in research and development is made possible by the durable revenue that we generated as a leading Internet platform.</w:t>
      </w:r>
    </w:p>
    <w:p>
      <w:pPr>
        <w:spacing w:after="0" w:line="188"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Our businesses span across an ecosystem of hundreds of millions of users, tens of millions of developers and hundreds of thousands of enterprises. Our usage of a strong technology foundation to support an open platform business model not only draws participants into our ecosystem, but also adds richness and vibrancy to our ecosystem, strengthening the long-term prospect and vitality of our business overall.</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140"/>
          </w:cols>
          <w:pgMar w:left="320" w:top="482" w:right="4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Over the past two decades, we have demonstrated a track record for long-term growth and strong profitability, which has enabled us to invest in a diversified portfolio of products and services with large market opportunities and further improve our long-term growth prospects. Through years of investment in research, AI chip design, developer community, patents and talent development, we are applying AI to innovative use cases and new monetization opportunities. Baidu General Business, our business excluding iQIYI, contributed over 70% of our revenue during 2023, 2024 and 2025. Baidu General Business mainly provides products and services in the following three key business areas:</w:t>
      </w:r>
    </w:p>
    <w:p>
      <w:pPr>
        <w:spacing w:after="0" w:line="89" w:lineRule="exact"/>
        <w:rPr>
          <w:sz w:val="20"/>
          <w:szCs w:val="20"/>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Mobile Ecosystem: a portfolio of over one dozen apps, including Baidu App, ERNIE Bot, Haokan and Baidu Post, among others;</w:t>
      </w:r>
    </w:p>
    <w:p>
      <w:pPr>
        <w:spacing w:after="0" w:line="130" w:lineRule="exact"/>
        <w:rPr>
          <w:rFonts w:ascii="Times New Roman" w:cs="Times New Roman" w:eastAsia="Times New Roman" w:hAnsi="Times New Roman"/>
          <w:sz w:val="18"/>
          <w:szCs w:val="18"/>
          <w:color w:val="auto"/>
        </w:rPr>
      </w:pPr>
    </w:p>
    <w:p>
      <w:pPr>
        <w:jc w:val="both"/>
        <w:ind w:left="1080" w:right="20" w:hanging="424"/>
        <w:spacing w:after="0" w:line="266"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 Cloud: including (i) AI Cloud Infrastructure, which comprises AI infrastructure and platform services serving enterprises and the public sector and (ii) AI Applications, which comprise AI-native or AI-powered product offerings addressing specific use cases for individuals and enterprises, such as our flagship software products, Baidu Wenku and Baidu Drive, and</w:t>
      </w:r>
    </w:p>
    <w:p>
      <w:pPr>
        <w:spacing w:after="0" w:line="81"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Intelligent Driving &amp; Other Growth Initiatives: consisting of intelligent driving, including Apollo Go autonomous ride-hailing services and DuerOS smart assistant.</w:t>
      </w:r>
    </w:p>
    <w:p>
      <w:pPr>
        <w:spacing w:after="0" w:line="162" w:lineRule="exact"/>
        <w:rPr>
          <w:sz w:val="20"/>
          <w:szCs w:val="20"/>
          <w:color w:val="auto"/>
        </w:rPr>
      </w:pPr>
    </w:p>
    <w:p>
      <w:pPr>
        <w:jc w:val="both"/>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At the core of our Mobile Ecosystem is Baidu App, which is the leading search-plus-feed app in China with a MAU of 679 million in December 2025. Unlike most mobile apps, which direct traffic to a closed ecosystem, Baidu App aggregates content and services from third-party apps and websites by means of our AI building blocks, and directs traffic to third-party content and service providers with native-app like experience. Baidu App continues to grow our huge offering of third-party content and services by leveraging our network partners of Baijiahao (BJH) Accounts, and Agents under an open-platform model. Our decade-long experience with AI and the development of a powerful knowledge graph allow us to match user intent with long-tail, third-party content and services on our open platform. Building on these capabilities, we also incorporated AI-generated content to further enrich our content offerings on Baidu App as we leverage AI to renovate our product and offerings.</w:t>
      </w:r>
    </w:p>
    <w:p>
      <w:pPr>
        <w:spacing w:after="0" w:line="189"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Our Mobile Ecosystem also includes a portfolio of over one dozen apps in addition to Baidu App, such as Haokan and Baidu Post, providing a platform for people to discover and consume information through search and feed and to interact and engage with creators, publishers, service providers and merchants. This native-app like experience from user acquisition to user relationship management to closed loop transactions demonstrates our value to merchants, enabling them to perform user life-time management on our platform, and has made Baidu App a leading online marketing services provider for both search and feed. Within our Mobile Ecosystem, we serve our customers by enabling them to tap into our massive user base. We have made extensive use of AI technologies to develop innovative marketing services, such as dynamic ads, which recommend products from our marketing customers most fitting to each search user. In addition, the user engagement and user logins that have developed on our platform are enabling us to diversify monetization beyond online marketing into other services, such as Baidu Health.</w:t>
      </w:r>
    </w:p>
    <w:p>
      <w:pPr>
        <w:spacing w:after="0" w:line="192"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Our AI Cloud includes two parts: (i) AI Cloud Infrastructure, and (ii) AI Applications. Our AI Cloud is differentiated by our early and strategic deployment across Baidu’s full-stack, end-to-end AI architecture, spanning infrastructure, frameworks, models and applications. This enables us to support enterprises and public sector customers at every stage of their AI journey, from model training and fine-tuning to AI-native application and agent development. Generative AI and foundation model have provided us with greater opportunities and strengthened our advantages in AI. Our cloud services cover various industries, including manufacturing, the public sector, energy and utilities, financial services, and internet/media.</w:t>
      </w:r>
    </w:p>
    <w:p>
      <w:pPr>
        <w:spacing w:after="0" w:line="183"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Intelligent Driving &amp; Other Growth Initiatives consists of promising businesses in development with huge market opportunities, and some are at early-stage commercialization with a growing customer base. We are a market leader in intelligent driving and smart devices, and we are pursuing these large growth opportunities by leveraging our unique AI capabilities, data insights and internally developed chips. Apollo Go provides autonomous ride-hailing service. As of February 2026, the accumulated rides provided to the public by Apollo Go exceeded 20 million. Since February 2025, Apollo Go has commenced fully driverless operations across all of its operating cities in the Chinese mainland. As of February 2026, Apollo Go operates in multiple cities in the Chinese mainland, including but not limited to Beijing, Shanghai, Shenzhen, Wuhan, Chengdu, Chongqing, Haikou and Sanya, all with fully driverless operations.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140"/>
          </w:cols>
          <w:pgMar w:left="320" w:top="482" w:right="4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firstLine="440"/>
        <w:spacing w:after="0" w:line="252" w:lineRule="auto"/>
        <w:rPr>
          <w:sz w:val="20"/>
          <w:szCs w:val="20"/>
          <w:color w:val="auto"/>
        </w:rPr>
      </w:pPr>
      <w:r>
        <w:rPr>
          <w:rFonts w:ascii="Times New Roman" w:cs="Times New Roman" w:eastAsia="Times New Roman" w:hAnsi="Times New Roman"/>
          <w:sz w:val="18"/>
          <w:szCs w:val="18"/>
          <w:color w:val="auto"/>
        </w:rPr>
        <w:t>In Beijing, Apollo Go has begun to charge fees for the autonomous ride-hailing services on open roads since November 25, 2021, and was granted the permits to charge fees for the driverless ride-hailing services on public roads on July 20, 2022, with no safety operator behind the steering wheel. Apollo Go received Beijing’s first license to test vehicles with no driver or safety operator in the car on December 30, 2022, and has charged fees since August 10, 2023. In Chongqing, Apollo Go has begun to charge fees for the autonomous ride-hailing services on open roads since February 18, 2022, and started offering fully driverless ride-hailing services on open roads and started charging passengers for fully driverless ride-hailing services on open roads on August 8, 2022. In October 2024, Apollo Go achieved 100% fully driverless operations in Chongqing. In Wuhan, Apollo Go started offering fully driverless ride-hailing services on open roads and received the permits to collect fees from the passengers on August 8, 2022. On June 19, 2024, Apollo Go started offering 100% fully driverless operations in practically the entire Wuhan municipality. Apollo Go received permits to offer fully driverless ride-hailing services to the public in Shenzhen Pingshan in May 2023. In July 2023, Apollo Go was also granted permits to conduct fully driverless testing on open roads in Shanghai’s Pudong area. Furthermore, in November 2024, Apollo Go was granted permits to conduct autonomous driving testing on public roads in Hong Kong, making Apollo Go the first and only of its kind to receive robotaxi testing authorization in the region at the time. This marks Apollo Go’s first entry into a left-hand traffic market. In April 2025, Apollo Go obtained permission to conduct open-road testing with designated passengers in Hong Kong. The testing area was subsequently expanded to cover Tung Chung residential areas in June 2025, the Southern District in August 2025, to Kowloon and Kwun Tong in November 2025 and to Tsuen Wan in February 2026.</w:t>
      </w:r>
    </w:p>
    <w:p>
      <w:pPr>
        <w:spacing w:after="0" w:line="197"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Beyond China, Apollo Go has begun expanding its autonomous driving presence into international markets. In March 2025, Apollo Go expanded into Dubai and Abu Dhabi. In May 2025, Apollo Go commenced open-road validation testing in Dubai. In August 2025, Apollo Go commenced open-road testing in designated areas in both Dubai and Abu Dhabi. In November 2025, Apollo Go deepened local cooperation in Abu Dhabi and received permits for fully driverless commercial operations. In early 2026, Apollo Go accelerated its global footprint across multiple markets. In the UK, Apollo Go advanced partnerships with Uber and Lyft to pilot autonomous vehicles in London. In Switzerland, Apollo Go initiated testing in St. Gallen. In the Middle East, Apollo Go officially launched fully autonomous ride-hailing services in Abu Dhabi with AutoGo, secured Dubai’s first fully driverless testing permit, and partnered with Uber to bring Apollo Go to the Uber platform in Dubai. In Asia, Apollo Go entered the South Korean market, starting with the Seoul metropolitan area.</w:t>
      </w:r>
    </w:p>
    <w:p>
      <w:pPr>
        <w:spacing w:after="0" w:line="192"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To accelerate global expansion, Apollo Go has continued to explore new business models, including asset-light approaches, and has entered into multiple strategic partnerships. In July 2025, Apollo Go entered into a multi-year strategic partnership with Uber Technologies, Inc. to deploy thousands of Apollo Go’s fully autonomous vehicles on the Uber platform across multiple international markets, with initial deployments planned for Asia and the Middle East. In August 2025, Apollo Go entered into a strategic partnership with Lyft, Inc. to deploy fully autonomous vehicles across key European markets through the Lyft platform, starting with Germany and the United Kingdom. In October 2025, Apollo Go established a strategic partnership with PostBus, Switzerland’s leading public transport operator, to launch an on-demand autonomous mobility service.</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February 2026, Apollo Go’s global footprint reached 26 cities.</w:t>
      </w:r>
    </w:p>
    <w:p>
      <w:pPr>
        <w:spacing w:after="0" w:line="225"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Xiaodu ranked No.1 in smart display shipments in China for the first nine months of 2025, according to IDC. We believe these initiatives will strengthen our revenue drivers for long-term growth.</w:t>
      </w:r>
    </w:p>
    <w:p>
      <w:pPr>
        <w:spacing w:after="0" w:line="162"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iQIYI produces, aggregates and distributes a wide variety of long-form videos. iQIYI’s content ecosystem is further enriched by a broad spectrum of mini and short dramas, as well as a diverse range of other videos. iQIYI’s extensive portfolio encompasses primarily iQIYI original content and licensed content.</w:t>
      </w:r>
    </w:p>
    <w:p>
      <w:pPr>
        <w:spacing w:after="0" w:line="176"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believe we have built a large and strong portfolio of products and services to give Baidu the scale necessary to invest heavily in technology, while optimizing our future for sustainable long-term growth. We derive significant synergies by incorporating the AI developed for search into other parts of our business. For example, large daily use of our visual search and voice search may be used to improve Apollo sensing capability and DuerOS multi-modal interaction capabilities.</w:t>
      </w:r>
    </w:p>
    <w:p>
      <w:pPr>
        <w:spacing w:after="0" w:line="180"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Our operations are primarily conducted in Chinese mainland. For the year ended December 31, 2025, more than 96% of our group’s revenue were generated from Chinese mainland, and as of December 31, 2025, more than 73% of our group’s total assets were based in Chinese mainland.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140"/>
          </w:cols>
          <w:pgMar w:left="320" w:top="482" w:right="4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Baidu General Business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Baidu General Business—Mobile Ecosystem</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Baidu Mobile Ecosystem provides a platform for people to discover and consume information through search and feed and facilitate interaction and engagement among users, creators, service providers, and merchants, alike.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Products and Services for Users</w:t>
      </w:r>
    </w:p>
    <w:p>
      <w:pPr>
        <w:spacing w:after="0" w:line="117" w:lineRule="exact"/>
        <w:rPr>
          <w:sz w:val="20"/>
          <w:szCs w:val="20"/>
          <w:color w:val="auto"/>
        </w:rPr>
      </w:pPr>
    </w:p>
    <w:p>
      <w:pPr>
        <w:ind w:left="120" w:right="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Baidu App. </w:t>
      </w:r>
      <w:r>
        <w:rPr>
          <w:rFonts w:ascii="Times New Roman" w:cs="Times New Roman" w:eastAsia="Times New Roman" w:hAnsi="Times New Roman"/>
          <w:sz w:val="18"/>
          <w:szCs w:val="18"/>
          <w:color w:val="auto"/>
        </w:rPr>
        <w:t>Our flagship app enables users to access our search, feed, content and other services through mobile devices. Baidu App offers twin-engine search and feed functions that leverage our AI capabilities and deep user insight to offer users a compelling experience.</w:t>
      </w:r>
    </w:p>
    <w:p>
      <w:pPr>
        <w:spacing w:after="0" w:line="62" w:lineRule="exact"/>
        <w:rPr>
          <w:sz w:val="20"/>
          <w:szCs w:val="20"/>
          <w:color w:val="auto"/>
        </w:rPr>
      </w:pPr>
    </w:p>
    <w:p>
      <w:pPr>
        <w:jc w:val="both"/>
        <w:ind w:left="1080" w:right="20" w:hanging="424"/>
        <w:spacing w:after="0" w:line="258"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Baidu Search</w:t>
      </w:r>
      <w:r>
        <w:rPr>
          <w:rFonts w:ascii="Times New Roman" w:cs="Times New Roman" w:eastAsia="Times New Roman" w:hAnsi="Times New Roman"/>
          <w:sz w:val="18"/>
          <w:szCs w:val="18"/>
          <w:color w:val="auto"/>
        </w:rPr>
        <w:t>. Driven by advances in generative AI and foundation models, we accelerated the AI transformation of Baidu Search in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Traditional link-based results are increasingly replaced by AI-generated, intelligent and multimodal-first answers that better match user intent. Users can interact with search through text, voice, images and video, enabling more natural and effective interaction. By October 2025, roughly 70% of mobile search result pages contained AI-generated content, reflecting the rapid progress of our AI search transformation.</w:t>
      </w:r>
    </w:p>
    <w:p>
      <w:pPr>
        <w:spacing w:after="0" w:line="88" w:lineRule="exact"/>
        <w:rPr>
          <w:rFonts w:ascii="Times New Roman" w:cs="Times New Roman" w:eastAsia="Times New Roman" w:hAnsi="Times New Roman"/>
          <w:sz w:val="18"/>
          <w:szCs w:val="18"/>
          <w:color w:val="auto"/>
        </w:rPr>
      </w:pPr>
    </w:p>
    <w:p>
      <w:pPr>
        <w:jc w:val="both"/>
        <w:ind w:left="1080" w:hanging="424"/>
        <w:spacing w:after="0" w:line="267"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Baidu Feed. </w:t>
      </w:r>
      <w:r>
        <w:rPr>
          <w:rFonts w:ascii="Times New Roman" w:cs="Times New Roman" w:eastAsia="Times New Roman" w:hAnsi="Times New Roman"/>
          <w:sz w:val="18"/>
          <w:szCs w:val="18"/>
          <w:color w:val="auto"/>
        </w:rPr>
        <w:t>Baidu Feed provides users with personalized timeline based on their demographics and interests. Baidu Feed complements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core search product, leverages Baidu AI recommendation algorithms and monetization platform, and contributes to user engagement and retention, including content sharing, likes, and comments.</w:t>
      </w:r>
    </w:p>
    <w:p>
      <w:pPr>
        <w:spacing w:after="0" w:line="78" w:lineRule="exact"/>
        <w:rPr>
          <w:rFonts w:ascii="Times New Roman" w:cs="Times New Roman" w:eastAsia="Times New Roman" w:hAnsi="Times New Roman"/>
          <w:sz w:val="18"/>
          <w:szCs w:val="18"/>
          <w:color w:val="auto"/>
        </w:rPr>
      </w:pPr>
    </w:p>
    <w:p>
      <w:pPr>
        <w:jc w:val="both"/>
        <w:ind w:left="1080" w:right="20" w:hanging="424"/>
        <w:spacing w:after="0" w:line="261"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Baidu Health. </w:t>
      </w:r>
      <w:r>
        <w:rPr>
          <w:rFonts w:ascii="Times New Roman" w:cs="Times New Roman" w:eastAsia="Times New Roman" w:hAnsi="Times New Roman"/>
          <w:sz w:val="18"/>
          <w:szCs w:val="18"/>
          <w:color w:val="auto"/>
        </w:rPr>
        <w:t>Baidu Health helps users find the doctor and hospital that best suit their different healthcare needs through our AI building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blocks. By doing so, Baidu Health provides doctors and hospitals more efficient online presence through Baidu Healthcare Wiki short-term videos, live streaming seminars and telemedicine, as well as providing them with hosted management tools to remain in contact with their patients efficiently, such as messaging, appointment, re-scheduling and monitoring of treatment plans.</w:t>
      </w:r>
    </w:p>
    <w:p>
      <w:pPr>
        <w:spacing w:after="0" w:line="178" w:lineRule="exact"/>
        <w:rPr>
          <w:sz w:val="20"/>
          <w:szCs w:val="20"/>
          <w:color w:val="auto"/>
        </w:rPr>
      </w:pPr>
    </w:p>
    <w:p>
      <w:pPr>
        <w:ind w:left="1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Haokan. </w:t>
      </w:r>
      <w:r>
        <w:rPr>
          <w:rFonts w:ascii="Times New Roman" w:cs="Times New Roman" w:eastAsia="Times New Roman" w:hAnsi="Times New Roman"/>
          <w:sz w:val="18"/>
          <w:szCs w:val="18"/>
          <w:color w:val="auto"/>
        </w:rPr>
        <w:t>Haokan offers a wide variety of user generated and professionally produced short videos, usually several minutes long, in coordination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MCNs (multiple channel network).</w:t>
      </w:r>
    </w:p>
    <w:p>
      <w:pPr>
        <w:spacing w:after="0" w:line="155" w:lineRule="exact"/>
        <w:rPr>
          <w:sz w:val="20"/>
          <w:szCs w:val="20"/>
          <w:color w:val="auto"/>
        </w:rPr>
      </w:pPr>
    </w:p>
    <w:p>
      <w:pPr>
        <w:ind w:left="120" w:right="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Internally Developed Knowledge-and-Information-Centric Products. </w:t>
      </w:r>
      <w:r>
        <w:rPr>
          <w:rFonts w:ascii="Times New Roman" w:cs="Times New Roman" w:eastAsia="Times New Roman" w:hAnsi="Times New Roman"/>
          <w:sz w:val="18"/>
          <w:szCs w:val="18"/>
          <w:color w:val="auto"/>
        </w:rPr>
        <w:t>Our content and services ecosystem also includes a comprehensive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portfolio of knowledge and information products developed internally, in partnership with professionals, reputable organizations and other users.</w:t>
      </w:r>
    </w:p>
    <w:p>
      <w:pPr>
        <w:sectPr>
          <w:pgSz w:w="11900" w:h="16838" w:orient="portrait"/>
          <w:cols w:equalWidth="0" w:num="1">
            <w:col w:w="11140"/>
          </w:cols>
          <w:pgMar w:left="320" w:top="482" w:right="439" w:bottom="1440" w:gutter="0" w:footer="0" w:header="0"/>
        </w:sectPr>
      </w:pPr>
    </w:p>
    <w:p>
      <w:pPr>
        <w:spacing w:after="0" w:line="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Baidu Wiki. </w:t>
      </w:r>
      <w:r>
        <w:rPr>
          <w:rFonts w:ascii="Times New Roman" w:cs="Times New Roman" w:eastAsia="Times New Roman" w:hAnsi="Times New Roman"/>
          <w:sz w:val="18"/>
          <w:szCs w:val="18"/>
          <w:color w:val="auto"/>
        </w:rPr>
        <w:t>A leading wiki in China compiled by experts in specialized fields featuring high-quality columns and videos,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as </w:t>
      </w:r>
      <w:r>
        <w:rPr>
          <w:rFonts w:ascii="Times New Roman" w:cs="Times New Roman" w:eastAsia="Times New Roman" w:hAnsi="Times New Roman"/>
          <w:sz w:val="18"/>
          <w:szCs w:val="18"/>
          <w:i w:val="1"/>
          <w:iCs w:val="1"/>
          <w:color w:val="auto"/>
        </w:rPr>
        <w:t>Encyclopedia of Intangible Cultural Heritage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Digital Museum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Recorder of History</w:t>
      </w:r>
      <w:r>
        <w:rPr>
          <w:rFonts w:ascii="Times New Roman" w:cs="Times New Roman" w:eastAsia="Times New Roman" w:hAnsi="Times New Roman"/>
          <w:sz w:val="18"/>
          <w:szCs w:val="18"/>
          <w:color w:val="auto"/>
        </w:rPr>
        <w:t>.</w:t>
      </w:r>
    </w:p>
    <w:p>
      <w:pPr>
        <w:spacing w:after="0" w:line="64" w:lineRule="exact"/>
        <w:rPr>
          <w:sz w:val="20"/>
          <w:szCs w:val="20"/>
          <w:color w:val="auto"/>
        </w:rPr>
      </w:pPr>
    </w:p>
    <w:p>
      <w:pPr>
        <w:sectPr>
          <w:pgSz w:w="11900" w:h="16838" w:orient="portrait"/>
          <w:cols w:equalWidth="0" w:num="2">
            <w:col w:w="720" w:space="360"/>
            <w:col w:w="10060"/>
          </w:cols>
          <w:pgMar w:left="320" w:top="482" w:right="439" w:bottom="1440" w:gutter="0" w:footer="0" w:header="0"/>
          <w:type w:val="continuous"/>
        </w:sectPr>
      </w:pPr>
    </w:p>
    <w:p>
      <w:pPr>
        <w:jc w:val="both"/>
        <w:ind w:left="1080" w:right="20" w:hanging="424"/>
        <w:spacing w:after="0" w:line="267"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Baidu Knows. </w:t>
      </w:r>
      <w:r>
        <w:rPr>
          <w:rFonts w:ascii="Times New Roman" w:cs="Times New Roman" w:eastAsia="Times New Roman" w:hAnsi="Times New Roman"/>
          <w:sz w:val="18"/>
          <w:szCs w:val="18"/>
          <w:color w:val="auto"/>
        </w:rPr>
        <w:t>An online community where users can pose questions to other users, such as individuals, professionals, and enterprises.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Baidu Knows leverages Baidu’s search capabilities to help users find answers to their questions on the internet fast and efficiently, while at the same time allowing various partners of Baidu Knows to engage with their targeted users.</w:t>
      </w:r>
    </w:p>
    <w:p>
      <w:pPr>
        <w:spacing w:after="0" w:line="78" w:lineRule="exact"/>
        <w:rPr>
          <w:rFonts w:ascii="Times New Roman" w:cs="Times New Roman" w:eastAsia="Times New Roman" w:hAnsi="Times New Roman"/>
          <w:sz w:val="18"/>
          <w:szCs w:val="18"/>
          <w:color w:val="auto"/>
        </w:rPr>
      </w:pPr>
    </w:p>
    <w:p>
      <w:pPr>
        <w:ind w:left="1080" w:right="20" w:hanging="424"/>
        <w:spacing w:after="0" w:line="284"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Baidu Experience. </w:t>
      </w:r>
      <w:r>
        <w:rPr>
          <w:rFonts w:ascii="Times New Roman" w:cs="Times New Roman" w:eastAsia="Times New Roman" w:hAnsi="Times New Roman"/>
          <w:sz w:val="18"/>
          <w:szCs w:val="18"/>
          <w:color w:val="auto"/>
        </w:rPr>
        <w:t>An online platform where users share daily knowledge and experience, providing practical tips and interesting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perspectives in areas, such as software, lifestyle, and games, etc.</w:t>
      </w:r>
    </w:p>
    <w:p>
      <w:pPr>
        <w:spacing w:after="0" w:line="63" w:lineRule="exact"/>
        <w:rPr>
          <w:rFonts w:ascii="Times New Roman" w:cs="Times New Roman" w:eastAsia="Times New Roman" w:hAnsi="Times New Roman"/>
          <w:sz w:val="18"/>
          <w:szCs w:val="18"/>
          <w:color w:val="auto"/>
        </w:rPr>
      </w:pPr>
    </w:p>
    <w:p>
      <w:pPr>
        <w:jc w:val="both"/>
        <w:ind w:left="1080" w:right="20" w:hanging="424"/>
        <w:spacing w:after="0" w:line="261"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Baidu Post. </w:t>
      </w:r>
      <w:r>
        <w:rPr>
          <w:rFonts w:ascii="Times New Roman" w:cs="Times New Roman" w:eastAsia="Times New Roman" w:hAnsi="Times New Roman"/>
          <w:sz w:val="18"/>
          <w:szCs w:val="18"/>
          <w:color w:val="auto"/>
        </w:rPr>
        <w:t>A social media built on topical online communities. Users can post text, image, audio and video content and reply to original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curation, forming valuable discussion groups. Baidu Post draws new users through close integration with search and user generated content, and has been a popular platform for celebrity fans, online game players, and online novel readers to share topical discussions, especially about current trends.</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140"/>
          </w:cols>
          <w:pgMar w:left="320" w:top="482" w:right="439" w:bottom="1440" w:gutter="0" w:footer="0" w:header="0"/>
          <w:type w:val="continuous"/>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2" w:lineRule="exact"/>
        <w:rPr>
          <w:sz w:val="20"/>
          <w:szCs w:val="20"/>
          <w:color w:val="auto"/>
        </w:rPr>
      </w:pPr>
    </w:p>
    <w:p>
      <w:pPr>
        <w:jc w:val="both"/>
        <w:ind w:left="1080" w:right="20" w:hanging="424"/>
        <w:spacing w:after="0" w:line="258"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ERNIE Bot</w:t>
      </w:r>
      <w:r>
        <w:rPr>
          <w:rFonts w:ascii="Times New Roman" w:cs="Times New Roman" w:eastAsia="Times New Roman" w:hAnsi="Times New Roman"/>
          <w:sz w:val="18"/>
          <w:szCs w:val="18"/>
          <w:color w:val="auto"/>
        </w:rPr>
        <w:t>. Our new AI-native product, serves as a versatile, multi-round conversational AI assistant on both PC and mobile. Starting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November 1, 2023, EB4 has been open to the public through ERNIE Bot at a subscription fee. This marks us as the first company in China to implement user charges, distinguishing us from other models in the market. Starting from April 1, 2025, as ERNIE models continued to advance and inference costs declined, ERNIE Bot became free for all users on both PC and mobile, allowing users to access the latest ERNIE models without charge.</w:t>
      </w:r>
    </w:p>
    <w:p>
      <w:pPr>
        <w:spacing w:after="0" w:line="9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Livestreaming. Our livestreaming services include live streaming and AI-powered digital human livestreaming. Our digital humans provide 24/7 availability and deliver greater realism, more natural interaction, and real-time engagement with viewers.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Products and Services for Partners</w:t>
      </w:r>
    </w:p>
    <w:p>
      <w:pPr>
        <w:spacing w:after="0" w:line="121"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We attract numerous partners to our platform through our AI building blocks and Baidu Union, which help create opportunities for us to work with our partners in research and development and other business cooperation and establish long term business relationships.</w:t>
      </w:r>
    </w:p>
    <w:p>
      <w:pPr>
        <w:spacing w:after="0" w:line="158" w:lineRule="exact"/>
        <w:rPr>
          <w:sz w:val="20"/>
          <w:szCs w:val="20"/>
          <w:color w:val="auto"/>
        </w:rPr>
      </w:pPr>
    </w:p>
    <w:p>
      <w:pPr>
        <w:jc w:val="both"/>
        <w:ind w:left="1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AI Building Blocks. </w:t>
      </w:r>
      <w:r>
        <w:rPr>
          <w:rFonts w:ascii="Times New Roman" w:cs="Times New Roman" w:eastAsia="Times New Roman" w:hAnsi="Times New Roman"/>
          <w:sz w:val="18"/>
          <w:szCs w:val="18"/>
          <w:color w:val="auto"/>
        </w:rPr>
        <w:t>To help our partners grow their business and leverage their traffic more efficiently with AI-powered tools and capabilities,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 offer Agents. We also offer BJH accounts to enable content providers to place their content on our publisher network and make their content searchable.</w:t>
      </w:r>
    </w:p>
    <w:p>
      <w:pPr>
        <w:spacing w:after="0" w:line="78" w:lineRule="exact"/>
        <w:rPr>
          <w:sz w:val="20"/>
          <w:szCs w:val="20"/>
          <w:color w:val="auto"/>
        </w:rPr>
      </w:pPr>
    </w:p>
    <w:p>
      <w:pPr>
        <w:ind w:left="1080" w:right="20" w:hanging="424"/>
        <w:spacing w:after="0" w:line="284"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Baijiahao (BJH Accounts)</w:t>
      </w:r>
      <w:r>
        <w:rPr>
          <w:rFonts w:ascii="Times New Roman" w:cs="Times New Roman" w:eastAsia="Times New Roman" w:hAnsi="Times New Roman"/>
          <w:sz w:val="18"/>
          <w:szCs w:val="18"/>
          <w:color w:val="auto"/>
        </w:rPr>
        <w:t>. Our publisher network aggregates articles, photos, short videos, live videos, and augmented reality clips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MCNs, media outlets, and other professional sources, for distribution through search, feed, and short video products.</w:t>
      </w:r>
    </w:p>
    <w:p>
      <w:pPr>
        <w:spacing w:after="0" w:line="63" w:lineRule="exact"/>
        <w:rPr>
          <w:rFonts w:ascii="Times New Roman" w:cs="Times New Roman" w:eastAsia="Times New Roman" w:hAnsi="Times New Roman"/>
          <w:sz w:val="18"/>
          <w:szCs w:val="18"/>
          <w:color w:val="auto"/>
        </w:rPr>
      </w:pPr>
    </w:p>
    <w:p>
      <w:pPr>
        <w:jc w:val="both"/>
        <w:ind w:left="1080" w:right="20" w:hanging="424"/>
        <w:spacing w:after="0" w:line="261"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Agents</w:t>
      </w:r>
      <w:r>
        <w:rPr>
          <w:rFonts w:ascii="Times New Roman" w:cs="Times New Roman" w:eastAsia="Times New Roman" w:hAnsi="Times New Roman"/>
          <w:sz w:val="18"/>
          <w:szCs w:val="18"/>
          <w:color w:val="auto"/>
        </w:rPr>
        <w:t>. Our AI-native online marketing innovation creates substantial value for advertisers through higher engagement, better lead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conversion and stronger ROI. Our agents help advertisers effectively clarify user intent through intelligent multi-round conversations, and quickly find out the most relevant, high-quality sales leads. This ensures advertisers receive more precise and qualified leads compared with traditional approaches.</w:t>
      </w:r>
    </w:p>
    <w:p>
      <w:pPr>
        <w:spacing w:after="0" w:line="178"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Baidu Union. </w:t>
      </w:r>
      <w:r>
        <w:rPr>
          <w:rFonts w:ascii="Times New Roman" w:cs="Times New Roman" w:eastAsia="Times New Roman" w:hAnsi="Times New Roman"/>
          <w:sz w:val="18"/>
          <w:szCs w:val="18"/>
          <w:color w:val="auto"/>
        </w:rPr>
        <w:t>We match the promotional links of our online marketing services customers to the online properties of Baidu Union partners,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consists of a large number of partners, such as third-party websites, wap sites and mobile apps. Some Baidu Union partners, such as online portal websites and internet cafes, also embed our products and services, such as Baidu Search or a search function powered by Baidu Search, onto their online properties, which allows Baidu Union partners to provide high-quality, relevant search results to their users without incurring the cost of development and maintenance for advanced search capabilities and monetize their traffic through revenue sharing arrangements with us. Baidu Union partners may use our content recommendation system to provide feed content and ads to their users. We typically pay our Baidu Union partners a portion of the online marketing revenues based on pre-arranged agreements.</w:t>
      </w:r>
    </w:p>
    <w:p>
      <w:pPr>
        <w:spacing w:after="0" w:line="187"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In addition, we also enter into arrangements with Baidu Union partners to provide our search engine in their browsers. We typically pay such Baidu Union partners a fee based on prearranged agreements.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Products and Services for Customers</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deliver online marketing services through our network of third-party agents and our direct sales team to a diverse customer base consisting of SMEs across industries, including healthcare, retail, e-commerce, entertainment and media, online games, business services, life services, and transportation.</w:t>
      </w:r>
    </w:p>
    <w:p>
      <w:pPr>
        <w:spacing w:after="0" w:line="176"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Our online marketing services enable the delivery of comprehensive, rich, and diversified marketing offerings to fulfill customer needs. Our online marketing services include P4P (pay for performance) services and others. We generate revenues primarily from the sale of P4P online marketing services and other marketing services to our customers.</w:t>
      </w:r>
    </w:p>
    <w:p>
      <w:pPr>
        <w:spacing w:after="0" w:line="172" w:lineRule="exact"/>
        <w:rPr>
          <w:sz w:val="20"/>
          <w:szCs w:val="20"/>
          <w:color w:val="auto"/>
        </w:rPr>
      </w:pPr>
    </w:p>
    <w:p>
      <w:pPr>
        <w:jc w:val="both"/>
        <w:ind w:left="120" w:right="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P4P</w:t>
      </w:r>
      <w:r>
        <w:rPr>
          <w:rFonts w:ascii="Times New Roman" w:cs="Times New Roman" w:eastAsia="Times New Roman" w:hAnsi="Times New Roman"/>
          <w:sz w:val="18"/>
          <w:szCs w:val="18"/>
          <w:color w:val="auto"/>
        </w:rPr>
        <w:t>. Our P4P services allow customers to bid for priority placement of paid sponsored links and reach users who search for information related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their products or services. We charge our customers on a cost-per-click basis. Customers may choose to purchase search, feed and other online marketing services and have the option to set daily allowances. As our partners adopt Agents, some of them have begun to use these properties as their landing page, in lieu of their own mobile apps and websites.</w:t>
      </w:r>
    </w:p>
    <w:p>
      <w:pPr>
        <w:spacing w:after="0" w:line="1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140"/>
          </w:cols>
          <w:pgMar w:left="320" w:top="482" w:right="4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Search marketing services are mainly provided to customers through our proprietary online marketing system which drives monetization efficiency by improving relevance in paid search and optimizing value for our customers.</w:t>
      </w:r>
    </w:p>
    <w:p>
      <w:pPr>
        <w:spacing w:after="0" w:line="162"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Feed marketing services usually comprise image-based or video-based advertising, appearing between the feed headlines or within the feed content. It is powered by Baidu AI in order to better match goods and services providers with their targeted audience while optimizing user experience.</w:t>
      </w:r>
    </w:p>
    <w:p>
      <w:pPr>
        <w:spacing w:after="0" w:line="158" w:lineRule="exact"/>
        <w:rPr>
          <w:sz w:val="20"/>
          <w:szCs w:val="20"/>
          <w:color w:val="auto"/>
        </w:rPr>
      </w:pPr>
    </w:p>
    <w:p>
      <w:pPr>
        <w:jc w:val="both"/>
        <w:ind w:left="1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Others</w:t>
      </w:r>
      <w:r>
        <w:rPr>
          <w:rFonts w:ascii="Times New Roman" w:cs="Times New Roman" w:eastAsia="Times New Roman" w:hAnsi="Times New Roman"/>
          <w:sz w:val="18"/>
          <w:szCs w:val="18"/>
          <w:color w:val="auto"/>
        </w:rPr>
        <w:t>. Our other marketing services comprise display-based marketing services and other online marketing services based on performance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criteria other than cost per click (CPC). Customers can choose different mix of our service offerings to optimize their return on investment. Brand Zone allows customers to display integrated text, logo, image, and video in a structured and uniform manner on a prominent position of the search result page or in vertical search products, such as Baidu Knows. Programmatic marketing platform supports the placement of advertisement using standard, intelligent, or customized creativity, different purchasing methods (guaranteed delivery or real time bidding), and multiple payment methods.</w:t>
      </w:r>
    </w:p>
    <w:p>
      <w:pPr>
        <w:spacing w:after="0" w:line="179" w:lineRule="exact"/>
        <w:rPr>
          <w:sz w:val="20"/>
          <w:szCs w:val="20"/>
          <w:color w:val="auto"/>
        </w:rPr>
      </w:pPr>
    </w:p>
    <w:p>
      <w:pPr>
        <w:jc w:val="both"/>
        <w:ind w:left="1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Marketing cloud platform</w:t>
      </w:r>
      <w:r>
        <w:rPr>
          <w:rFonts w:ascii="Times New Roman" w:cs="Times New Roman" w:eastAsia="Times New Roman" w:hAnsi="Times New Roman"/>
          <w:sz w:val="18"/>
          <w:szCs w:val="18"/>
          <w:color w:val="auto"/>
        </w:rPr>
        <w:t>. Our marketing cloud platform integrates one-stop-shop media purchase with CRM (client relationship management)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functionalities, to allow our customers to purchase brand and performance-based marketing services, build audience and user engagement, generate leads and maintain relationships with users, leveraging tools and services powered by Baidu AI. Our marketing cloud platform helps us better understand our customers’ needs and enables our customers to leverage Baidu’s AI to simplify their marketing process and improve the effectiveness of their marketing efforts.</w:t>
      </w:r>
    </w:p>
    <w:p>
      <w:pPr>
        <w:spacing w:after="0" w:line="183"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Our Mobile Ecosystem, built upon Baidu App as well as a dozen other apps, offers a wide range of third-party content and services to hundreds of millions of users, typically free of charge. Our AI building blocks and other products and services for partners have attracted millions of partners to become participants in our Mobile Ecosystem and generate content and services onto our platform and to tap into our over-half-a-billion user base. The more partners we bring into our Mobile Ecosystem, the better we become at providing users with a more comprehensive reach and cover content and services in more diversified formats than competing products, which in turn attracts more users and partners to our Mobile Ecosystem. We charge our customers periodically based on usage while requiring certain customers to pay a deposit. We also offer certain customers credit terms. In addition to offering ads on our platform, we serve promotional ads from our customers on the apps or website properties of Baidu Union partners. We also power the search engines of Baidu Union partners.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Baidu General Business—AI Cloud</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AI Cloud includes two parts: (i) AI Cloud Infrastructure and (ii) AI Applications.</w:t>
      </w:r>
    </w:p>
    <w:p>
      <w:pPr>
        <w:spacing w:after="0" w:line="225"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are one of the very few companies in the world that offers a full AI stack of four layers, spanning infrastructure, framework, models and applications. By owning and optimizing all four layers of the AI stack, we believe we are able to deliver sustained advantages in stability and cost-effectiveness, better addressing enterprises’ needs for AI deployment and enabling more efficient growth of our cloud business. As customers integrate AI into their core operations, we believe the differentiated value of our full-stack, end-to-end AI architecture has become increasingly evident.</w:t>
      </w:r>
    </w:p>
    <w:p>
      <w:pPr>
        <w:spacing w:after="0" w:line="180"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At the infrastructure layer, our AI infrastructure is among the most advanced in China, powered by a diverse mix of domestic and international high-performance computing resources, including our own self-developed AI computing architecture.</w:t>
      </w:r>
    </w:p>
    <w:p>
      <w:pPr>
        <w:spacing w:after="0" w:line="162"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At the framework layer, we have our in-house developed deep learning framework, PaddlePaddle. In April 2025, we officially released version 3.0 of PaddlePaddle.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140"/>
          </w:cols>
          <w:pgMar w:left="320" w:top="482" w:right="4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At the model layer, we offer our self-developed ERNIE foundation models and our Qianfan MaaS platform. During 2025, we continued to upgrade Qianfan by expanding its model library, enhancing its toolkits and evolving it toward an agent-centric platform. We broadened the model library to include our latest ERNIE models as well as leading third-party and open-sourced models, and strengthened support for the training and fine-tuning of multimodal and reasoning models. We also enhanced model services, data services and agent development capabilities, while strengthening support for complex agent workflows. Qianfan now provides best-in-class agent infrastructure, enabling enterprises to efficiently build, deploy, and scale AI-native applications and agents.</w:t>
      </w:r>
    </w:p>
    <w:p>
      <w:pPr>
        <w:spacing w:after="0" w:line="187"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At the application layer, we provide a growing portfolio of AI-native or AI-powered product offerings addressing specific use cases for individuals and enterprises, such as Digital Employee, Miaoda (or MeDo), etc.</w:t>
      </w:r>
    </w:p>
    <w:p>
      <w:pPr>
        <w:spacing w:after="0" w:line="162"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also offer Baidu Drive, which allows users to store and retrieve photos, videos, and other files on AI Cloud, along with other capabilities, such as group share and data transfer. Leveraging ERNIE, we have transformed Baidu Wenku into an intelligent creativity platform that changes how users create, collaborate, and bring their ideas to life. In August 2025, Baidu Wenku and Baidu Drive jointly launched GenFlow, a general-purpose agent platform enabling users to complete productivity tasks through multi-agent collaboration and natural language interactions. To further advance these efforts, Baidu established the Personal Super Intelligence Business Group (PSIG), integrating Baidu Wenku and Baidu Drive to accelerate AI application innovation.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Baidu General Business—Intelligent Driving &amp; Other Growth Initiatives</w:t>
      </w:r>
    </w:p>
    <w:p>
      <w:pPr>
        <w:spacing w:after="0" w:line="121" w:lineRule="exact"/>
        <w:rPr>
          <w:sz w:val="20"/>
          <w:szCs w:val="20"/>
          <w:color w:val="auto"/>
        </w:rPr>
      </w:pPr>
    </w:p>
    <w:p>
      <w:pPr>
        <w:jc w:val="both"/>
        <w:ind w:left="120" w:firstLine="440"/>
        <w:spacing w:after="0" w:line="282" w:lineRule="auto"/>
        <w:rPr>
          <w:sz w:val="20"/>
          <w:szCs w:val="20"/>
          <w:color w:val="auto"/>
        </w:rPr>
      </w:pPr>
      <w:r>
        <w:rPr>
          <w:rFonts w:ascii="Times New Roman" w:cs="Times New Roman" w:eastAsia="Times New Roman" w:hAnsi="Times New Roman"/>
          <w:sz w:val="18"/>
          <w:szCs w:val="18"/>
          <w:color w:val="auto"/>
        </w:rPr>
        <w:t>Intelligent Driving &amp; Other Growth Initiatives include developments with large total addressable markets and earlier-stage commercialization with a growing customer base, including Apollo intelligent driving and DuerOS smart assistant.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Intelligent Driving</w:t>
      </w:r>
    </w:p>
    <w:p>
      <w:pPr>
        <w:spacing w:after="0" w:line="121"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Intelligent driving, including Apollo Go robotaxi fleets (autonomous ride-hailing service) and AI-powered intelligent driving capabilities for Auto), leverage AI and other technologies to make a vehicle, or fleet of vehicles, more intelligent, all with the ultimate goal to be autonomous.</w:t>
      </w:r>
    </w:p>
    <w:p>
      <w:pPr>
        <w:spacing w:after="0" w:line="162"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We are the market leader in autonomous driving in China in terms of number of rides Apollo Go completed. The industry definition for L4 autonomous driving is that the vehicles are capable to drive themselves without human interactions but will be restricted to known use cases, or in most environments and road conditions. Apollo Go has already received permits for providing driverless ride-hailing services on open roads and received the permits to collect fees from the passengers in Beijing, Shenzhen, Wuhan, Chongqing, and certain other cities and regions. A well-known research firm named Apollo as one of the two global leaders in autonomous driving in its report for the fourth quarter of 2025, recognizing us as the top-tier autonomous driving company from China.</w:t>
      </w:r>
    </w:p>
    <w:p>
      <w:pPr>
        <w:spacing w:after="0" w:line="187"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 addition, the services and solutions of intelligent driving are compatible with our smart transportation solutions, which leverage each other to gain a better understanding of traffic and road conditions, as well as to improve cost efficiency. Our leadership in autonomous driving, industry know-how, operating experience, transportation ecosystem understanding (from our smart transportation projects and maps), and cost advantage give us strong competitive advantages in leading the development of the intelligent driving industry.</w:t>
      </w:r>
    </w:p>
    <w:p>
      <w:pPr>
        <w:spacing w:after="0" w:line="176" w:lineRule="exact"/>
        <w:rPr>
          <w:sz w:val="20"/>
          <w:szCs w:val="20"/>
          <w:color w:val="auto"/>
        </w:rPr>
      </w:pPr>
    </w:p>
    <w:p>
      <w:pPr>
        <w:jc w:val="both"/>
        <w:ind w:left="120"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Apollo Go, our robotaxi. </w:t>
      </w:r>
      <w:r>
        <w:rPr>
          <w:rFonts w:ascii="Times New Roman" w:cs="Times New Roman" w:eastAsia="Times New Roman" w:hAnsi="Times New Roman"/>
          <w:sz w:val="18"/>
          <w:szCs w:val="18"/>
          <w:color w:val="auto"/>
        </w:rPr>
        <w:t>Robotaxi fleet operation represents a massive opportunity.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Luobokuaipao</w:t>
      </w:r>
      <w:r>
        <w:rPr>
          <w:rFonts w:ascii="Times New Roman" w:cs="Times New Roman" w:eastAsia="Times New Roman" w:hAnsi="Times New Roman"/>
          <w:sz w:val="18"/>
          <w:szCs w:val="18"/>
          <w:color w:val="auto"/>
        </w:rPr>
        <w:t>, the mobile application of Apollo Go,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available for free download from all the major app stores in China. In February 2026, the accumulated rides provided to the public by Apollo Go exceeded 20 million.</w:t>
      </w:r>
    </w:p>
    <w:p>
      <w:pPr>
        <w:spacing w:after="0" w:line="175"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Since February 2025, Apollo Go has achieved 100% fully driverless operations in all cities where it operates in Chinese mainland, including Beijing, Shanghai, Shenzhen, Wuhan, Chengdu, Chongqing, Haikou and Sanya.</w:t>
      </w:r>
    </w:p>
    <w:p>
      <w:pPr>
        <w:spacing w:after="0" w:line="162" w:lineRule="exact"/>
        <w:rPr>
          <w:sz w:val="20"/>
          <w:szCs w:val="20"/>
          <w:color w:val="auto"/>
        </w:rPr>
      </w:pPr>
    </w:p>
    <w:p>
      <w:pPr>
        <w:jc w:val="both"/>
        <w:ind w:left="120" w:right="20" w:firstLine="440"/>
        <w:spacing w:after="0" w:line="230" w:lineRule="auto"/>
        <w:rPr>
          <w:sz w:val="20"/>
          <w:szCs w:val="20"/>
          <w:color w:val="auto"/>
        </w:rPr>
      </w:pPr>
      <w:r>
        <w:rPr>
          <w:rFonts w:ascii="Times New Roman" w:cs="Times New Roman" w:eastAsia="Times New Roman" w:hAnsi="Times New Roman"/>
          <w:sz w:val="18"/>
          <w:szCs w:val="18"/>
          <w:color w:val="auto"/>
        </w:rPr>
        <w:t>In June 2021, we introduced Apollo Moon, our 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generation Apollo robotaxi vehicle. In July 2022, we unveiled our 6</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generation robotaxi vehicle Apollo RT6. RT6 is the first steering wheel-free, all electric model designed for fully driverless autonomous driving. Apollo RT6 is distinct from the previous generations that had otherwise been retrofitted on conventional vehicles. RT6 has been operating on public roads in multiple cities in China since October 2024.</w:t>
      </w:r>
    </w:p>
    <w:p>
      <w:pPr>
        <w:spacing w:after="0" w:line="1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140"/>
          </w:cols>
          <w:pgMar w:left="320" w:top="482" w:right="4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Baidu established the Technology Ethics Committee in October 2023 to guide the practices of technology professionals.</w:t>
      </w:r>
    </w:p>
    <w:p>
      <w:pPr>
        <w:spacing w:after="0" w:line="221" w:lineRule="exact"/>
        <w:rPr>
          <w:sz w:val="20"/>
          <w:szCs w:val="20"/>
          <w:color w:val="auto"/>
        </w:rPr>
      </w:pPr>
    </w:p>
    <w:p>
      <w:pPr>
        <w:jc w:val="both"/>
        <w:ind w:left="120"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Baidu Maps. </w:t>
      </w:r>
      <w:r>
        <w:rPr>
          <w:rFonts w:ascii="Times New Roman" w:cs="Times New Roman" w:eastAsia="Times New Roman" w:hAnsi="Times New Roman"/>
          <w:sz w:val="18"/>
          <w:szCs w:val="18"/>
          <w:color w:val="auto"/>
        </w:rPr>
        <w:t>A voice-enabled mobile app providing users with travel-related services, including POI (point of interest) search, route planning,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precise navigation, taxi-hailing service and real-time traffic condition information. In 2022, we integrated Baidu Map into our Intelligent Driving Group to create synergies between the Baidu Map app and the map solutions for the auto industry.</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Growth Initiatives</w:t>
      </w:r>
    </w:p>
    <w:p>
      <w:pPr>
        <w:spacing w:after="0" w:line="117" w:lineRule="exact"/>
        <w:rPr>
          <w:sz w:val="20"/>
          <w:szCs w:val="20"/>
          <w:color w:val="auto"/>
        </w:rPr>
      </w:pPr>
    </w:p>
    <w:p>
      <w:pPr>
        <w:jc w:val="both"/>
        <w:ind w:left="120" w:right="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DuerOS Smart Assistant. </w:t>
      </w:r>
      <w:r>
        <w:rPr>
          <w:rFonts w:ascii="Times New Roman" w:cs="Times New Roman" w:eastAsia="Times New Roman" w:hAnsi="Times New Roman"/>
          <w:sz w:val="18"/>
          <w:szCs w:val="18"/>
          <w:color w:val="auto"/>
        </w:rPr>
        <w:t>DuerOS is a leading smart assistant for the Chinese language, which powers first-party Xiaodu home smart devices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well as third-party smart phones, children smart watches, smart TVs and smart cars. DuerOS is differentiated by its multi-modal interaction conversation AI capabilities, as well as by DuerOS skills store, which offers thousands of skills in wide ranging genres, including short and long videos, online games, education services, video conferencing and other visually oriented activities. Xiaodu ranked No.1 in smart display shipments in China for the first nine months of 2025, according to IDC.</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Baidu Core AI-powered Business</w:t>
      </w:r>
    </w:p>
    <w:p>
      <w:pPr>
        <w:spacing w:after="0" w:line="121"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We introduced an AI-native view that cuts across our traditional business groups to provide greater visibility into Baidu’s AI portfolio and the key drivers within our current product offerings. This AI-native view highlights a broad range of AI-powered assets across our company.</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categories presented below represent selected Baidu Core AI-powered Business with meaningful revenue contribution in 2025:</w:t>
      </w:r>
    </w:p>
    <w:p>
      <w:pPr>
        <w:spacing w:after="0" w:line="129" w:lineRule="exact"/>
        <w:rPr>
          <w:sz w:val="20"/>
          <w:szCs w:val="20"/>
          <w:color w:val="auto"/>
        </w:rPr>
      </w:pPr>
    </w:p>
    <w:p>
      <w:pPr>
        <w:jc w:val="both"/>
        <w:ind w:left="1080" w:right="20" w:hanging="424"/>
        <w:spacing w:after="0" w:line="267"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AI Cloud Infrastructure</w:t>
      </w:r>
      <w:r>
        <w:rPr>
          <w:rFonts w:ascii="Times New Roman" w:cs="Times New Roman" w:eastAsia="Times New Roman" w:hAnsi="Times New Roman"/>
          <w:sz w:val="18"/>
          <w:szCs w:val="18"/>
          <w:color w:val="auto"/>
        </w:rPr>
        <w:t>. This comprises AI infrastructure and platform services within AI Cloud that serve enterprises and the public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sector. Our AI accelerator infrastructure enables highly efficient and cost-effective training and inference across diverse enterprise workloads.</w:t>
      </w:r>
    </w:p>
    <w:p>
      <w:pPr>
        <w:spacing w:after="0" w:line="78" w:lineRule="exact"/>
        <w:rPr>
          <w:rFonts w:ascii="Times New Roman" w:cs="Times New Roman" w:eastAsia="Times New Roman" w:hAnsi="Times New Roman"/>
          <w:sz w:val="18"/>
          <w:szCs w:val="18"/>
          <w:color w:val="auto"/>
        </w:rPr>
      </w:pPr>
    </w:p>
    <w:p>
      <w:pPr>
        <w:jc w:val="both"/>
        <w:ind w:left="1080" w:hanging="424"/>
        <w:spacing w:after="0" w:line="267"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AI Applications</w:t>
      </w:r>
      <w:r>
        <w:rPr>
          <w:rFonts w:ascii="Times New Roman" w:cs="Times New Roman" w:eastAsia="Times New Roman" w:hAnsi="Times New Roman"/>
          <w:sz w:val="18"/>
          <w:szCs w:val="18"/>
          <w:color w:val="auto"/>
        </w:rPr>
        <w:t>. This comprises AI-native or AI-powered product offerings addressing specific use cases for individuals and enterprises,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as our flagship software products, Baidu Wenku, Baidu Drive, and Digital Employee. Most of Baidu’s AI applications are based on sticky subscription models, delivering high-quality revenue.</w:t>
      </w:r>
    </w:p>
    <w:p>
      <w:pPr>
        <w:spacing w:after="0" w:line="78" w:lineRule="exact"/>
        <w:rPr>
          <w:rFonts w:ascii="Times New Roman" w:cs="Times New Roman" w:eastAsia="Times New Roman" w:hAnsi="Times New Roman"/>
          <w:sz w:val="18"/>
          <w:szCs w:val="18"/>
          <w:color w:val="auto"/>
        </w:rPr>
      </w:pPr>
    </w:p>
    <w:p>
      <w:pPr>
        <w:jc w:val="both"/>
        <w:ind w:left="1080" w:right="20" w:hanging="424"/>
        <w:spacing w:after="0" w:line="267"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AI-native Marketing Services</w:t>
      </w:r>
      <w:r>
        <w:rPr>
          <w:rFonts w:ascii="Times New Roman" w:cs="Times New Roman" w:eastAsia="Times New Roman" w:hAnsi="Times New Roman"/>
          <w:sz w:val="18"/>
          <w:szCs w:val="18"/>
          <w:color w:val="auto"/>
        </w:rPr>
        <w:t>. This comprises AI-native online marketing products and services, including agents and digital humans.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AI-native Marketing Services gains strong traction with customers seeking performance-driven AI-native solutions and willing to pay a premium for cutting-edge AI technologies that enhance productivity and marketing returns.</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iQIYI</w:t>
      </w:r>
    </w:p>
    <w:p>
      <w:pPr>
        <w:spacing w:after="0" w:line="121"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iQIYI is a leading provider of online entertainment video services in China. iQIYI remains focused on high-quality content and user experience. iQIYI provided its users with a variety of products and services encompassing online videos, experience services, online games, comics, and others. As of December 31, 2025, iQIYI’s comprehensive and diversified video content library boasted over 40,000 professionally produced premium long-form content titles including drama series, films, variety shows, children’s content, animations, and others, along with approximately 20,000 micro dramas, collectively providing an all-inclusive entertainment experience for iQIYI’s users.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Videos</w:t>
      </w:r>
    </w:p>
    <w:p>
      <w:pPr>
        <w:spacing w:after="0" w:line="121"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iQIYI produces, aggregates and distributes a wide variety of long-form videos. micro dramas and other videos contents. iQIYI’s extensive portfolio encompasses primarily iQIYI original content and licensed content.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140"/>
          </w:cols>
          <w:pgMar w:left="320" w:top="482" w:right="4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Long-Form Videos</w:t>
      </w:r>
    </w:p>
    <w:p>
      <w:pPr>
        <w:spacing w:after="0" w:line="117" w:lineRule="exact"/>
        <w:rPr>
          <w:sz w:val="20"/>
          <w:szCs w:val="20"/>
          <w:color w:val="auto"/>
        </w:rPr>
      </w:pPr>
    </w:p>
    <w:p>
      <w:pPr>
        <w:ind w:left="120" w:right="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iQIYI Original content. </w:t>
      </w:r>
      <w:r>
        <w:rPr>
          <w:rFonts w:ascii="Times New Roman" w:cs="Times New Roman" w:eastAsia="Times New Roman" w:hAnsi="Times New Roman"/>
          <w:sz w:val="18"/>
          <w:szCs w:val="18"/>
          <w:color w:val="auto"/>
        </w:rPr>
        <w:t>iQIYI’s original content includes content produced in-house and content produced in collaboration with third-party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partners. iQIYI has a diversified portfolio that includes:</w:t>
      </w:r>
    </w:p>
    <w:p>
      <w:pPr>
        <w:spacing w:after="0" w:line="62" w:lineRule="exact"/>
        <w:rPr>
          <w:sz w:val="20"/>
          <w:szCs w:val="20"/>
          <w:color w:val="auto"/>
        </w:rPr>
      </w:pPr>
    </w:p>
    <w:p>
      <w:pPr>
        <w:jc w:val="both"/>
        <w:ind w:left="1080" w:right="20" w:hanging="424"/>
        <w:spacing w:after="0" w:line="232" w:lineRule="exact"/>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Original dramas, such as </w:t>
      </w:r>
      <w:r>
        <w:rPr>
          <w:rFonts w:ascii="Times New Roman" w:cs="Times New Roman" w:eastAsia="Times New Roman" w:hAnsi="Times New Roman"/>
          <w:sz w:val="18"/>
          <w:szCs w:val="18"/>
          <w:i w:val="1"/>
          <w:iCs w:val="1"/>
          <w:color w:val="auto"/>
        </w:rPr>
        <w:t>Drifting Away</w:t>
      </w:r>
      <w:r>
        <w:rPr>
          <w:rFonts w:ascii="Times New Roman" w:cs="Times New Roman" w:eastAsia="Times New Roman" w:hAnsi="Times New Roman"/>
          <w:sz w:val="18"/>
          <w:szCs w:val="18"/>
          <w:color w:val="auto"/>
        </w:rPr>
        <w:t xml:space="preserve"> (</w:t>
      </w:r>
      <w:r>
        <w:rPr>
          <w:rFonts w:ascii="SimSun" w:cs="SimSun" w:eastAsia="SimSun" w:hAnsi="SimSun"/>
          <w:sz w:val="16"/>
          <w:szCs w:val="16"/>
          <w:i w:val="1"/>
          <w:iCs w:val="1"/>
          <w:color w:val="auto"/>
        </w:rPr>
        <w:t>漂白</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Feud</w:t>
      </w:r>
      <w:r>
        <w:rPr>
          <w:rFonts w:ascii="Times New Roman" w:cs="Times New Roman" w:eastAsia="Times New Roman" w:hAnsi="Times New Roman"/>
          <w:sz w:val="18"/>
          <w:szCs w:val="18"/>
          <w:color w:val="auto"/>
        </w:rPr>
        <w:t xml:space="preserve"> (</w:t>
      </w:r>
      <w:r>
        <w:rPr>
          <w:rFonts w:ascii="SimSun" w:cs="SimSun" w:eastAsia="SimSun" w:hAnsi="SimSun"/>
          <w:sz w:val="16"/>
          <w:szCs w:val="16"/>
          <w:i w:val="1"/>
          <w:iCs w:val="1"/>
          <w:color w:val="auto"/>
        </w:rPr>
        <w:t>临江仙</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Coroner’s Diary</w:t>
      </w:r>
      <w:r>
        <w:rPr>
          <w:rFonts w:ascii="Times New Roman" w:cs="Times New Roman" w:eastAsia="Times New Roman" w:hAnsi="Times New Roman"/>
          <w:sz w:val="18"/>
          <w:szCs w:val="18"/>
          <w:color w:val="auto"/>
        </w:rPr>
        <w:t xml:space="preserve"> (</w:t>
      </w:r>
      <w:r>
        <w:rPr>
          <w:rFonts w:ascii="SimSun" w:cs="SimSun" w:eastAsia="SimSun" w:hAnsi="SimSun"/>
          <w:sz w:val="16"/>
          <w:szCs w:val="16"/>
          <w:i w:val="1"/>
          <w:iCs w:val="1"/>
          <w:color w:val="auto"/>
        </w:rPr>
        <w:t>朝雪录</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Thriving Land</w:t>
      </w:r>
      <w:r>
        <w:rPr>
          <w:rFonts w:ascii="Times New Roman" w:cs="Times New Roman" w:eastAsia="Times New Roman" w:hAnsi="Times New Roman"/>
          <w:sz w:val="18"/>
          <w:szCs w:val="18"/>
          <w:color w:val="auto"/>
        </w:rPr>
        <w:t xml:space="preserve"> (</w:t>
      </w:r>
      <w:r>
        <w:rPr>
          <w:rFonts w:ascii="SimSun" w:cs="SimSun" w:eastAsia="SimSun" w:hAnsi="SimSun"/>
          <w:sz w:val="16"/>
          <w:szCs w:val="16"/>
          <w:i w:val="1"/>
          <w:iCs w:val="1"/>
          <w:color w:val="auto"/>
        </w:rPr>
        <w:t>生万物</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Strange Tales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Tang Dynasty III To Chang’an </w:t>
      </w:r>
      <w:r>
        <w:rPr>
          <w:rFonts w:ascii="Times New Roman" w:cs="Times New Roman" w:eastAsia="Times New Roman" w:hAnsi="Times New Roman"/>
          <w:sz w:val="18"/>
          <w:szCs w:val="18"/>
          <w:color w:val="auto"/>
        </w:rPr>
        <w:t>(</w:t>
      </w:r>
      <w:r>
        <w:rPr>
          <w:rFonts w:ascii="SimSun" w:cs="SimSun" w:eastAsia="SimSun" w:hAnsi="SimSun"/>
          <w:sz w:val="16"/>
          <w:szCs w:val="16"/>
          <w:i w:val="1"/>
          <w:iCs w:val="1"/>
          <w:color w:val="auto"/>
        </w:rPr>
        <w:t>唐朝诡事录之长安</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The Punishment </w:t>
      </w:r>
      <w:r>
        <w:rPr>
          <w:rFonts w:ascii="Times New Roman" w:cs="Times New Roman" w:eastAsia="Times New Roman" w:hAnsi="Times New Roman"/>
          <w:sz w:val="18"/>
          <w:szCs w:val="18"/>
          <w:color w:val="auto"/>
        </w:rPr>
        <w:t>(</w:t>
      </w:r>
      <w:r>
        <w:rPr>
          <w:rFonts w:ascii="SimSun" w:cs="SimSun" w:eastAsia="SimSun" w:hAnsi="SimSun"/>
          <w:sz w:val="16"/>
          <w:szCs w:val="16"/>
          <w:color w:val="auto"/>
        </w:rPr>
        <w:t>罚罪</w:t>
      </w:r>
      <w:r>
        <w:rPr>
          <w:rFonts w:ascii="Times New Roman" w:cs="Times New Roman" w:eastAsia="Times New Roman" w:hAnsi="Times New Roman"/>
          <w:sz w:val="18"/>
          <w:szCs w:val="18"/>
          <w:color w:val="auto"/>
        </w:rPr>
        <w:t>2), all of which broke our internal 10,000 iQIYI popularity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index score;</w:t>
      </w:r>
    </w:p>
    <w:p>
      <w:pPr>
        <w:spacing w:after="0" w:line="103" w:lineRule="exact"/>
        <w:rPr>
          <w:rFonts w:ascii="Times New Roman" w:cs="Times New Roman" w:eastAsia="Times New Roman" w:hAnsi="Times New Roman"/>
          <w:sz w:val="18"/>
          <w:szCs w:val="18"/>
          <w:color w:val="auto"/>
        </w:rPr>
      </w:pPr>
    </w:p>
    <w:p>
      <w:pPr>
        <w:ind w:left="1080" w:right="20" w:hanging="424"/>
        <w:spacing w:after="0" w:line="233" w:lineRule="exact"/>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Variety shows, such as the multi-season </w:t>
      </w:r>
      <w:r>
        <w:rPr>
          <w:rFonts w:ascii="Times New Roman" w:cs="Times New Roman" w:eastAsia="Times New Roman" w:hAnsi="Times New Roman"/>
          <w:sz w:val="18"/>
          <w:szCs w:val="18"/>
          <w:i w:val="1"/>
          <w:iCs w:val="1"/>
          <w:color w:val="auto"/>
        </w:rPr>
        <w:t>The Rap of China (</w:t>
      </w:r>
      <w:r>
        <w:rPr>
          <w:rFonts w:ascii="SimSun" w:cs="SimSun" w:eastAsia="SimSun" w:hAnsi="SimSun"/>
          <w:sz w:val="16"/>
          <w:szCs w:val="16"/>
          <w:i w:val="1"/>
          <w:iCs w:val="1"/>
          <w:color w:val="auto"/>
        </w:rPr>
        <w:t>新说唱</w:t>
      </w:r>
      <w:r>
        <w:rPr>
          <w:rFonts w:ascii="Times New Roman" w:cs="Times New Roman" w:eastAsia="Times New Roman" w:hAnsi="Times New Roman"/>
          <w:sz w:val="18"/>
          <w:szCs w:val="18"/>
          <w:i w:val="1"/>
          <w:iCs w:val="1"/>
          <w:color w:val="auto"/>
        </w:rPr>
        <w:t>), Become A Farmer (</w:t>
      </w:r>
      <w:r>
        <w:rPr>
          <w:rFonts w:ascii="SimSun" w:cs="SimSun" w:eastAsia="SimSun" w:hAnsi="SimSun"/>
          <w:sz w:val="16"/>
          <w:szCs w:val="16"/>
          <w:i w:val="1"/>
          <w:iCs w:val="1"/>
          <w:color w:val="auto"/>
        </w:rPr>
        <w:t>种地吧</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The King of Stand-up Comedy (</w:t>
      </w:r>
      <w:r>
        <w:rPr>
          <w:rFonts w:ascii="SimSun" w:cs="SimSun" w:eastAsia="SimSun" w:hAnsi="SimSun"/>
          <w:sz w:val="16"/>
          <w:szCs w:val="16"/>
          <w:i w:val="1"/>
          <w:iCs w:val="1"/>
          <w:color w:val="auto"/>
        </w:rPr>
        <w:t>喜剧之王单口季</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w:t>
      </w:r>
    </w:p>
    <w:p>
      <w:pPr>
        <w:spacing w:after="0" w:line="114" w:lineRule="exact"/>
        <w:rPr>
          <w:rFonts w:ascii="Times New Roman" w:cs="Times New Roman" w:eastAsia="Times New Roman" w:hAnsi="Times New Roman"/>
          <w:sz w:val="18"/>
          <w:szCs w:val="18"/>
          <w:color w:val="auto"/>
        </w:rPr>
      </w:pPr>
    </w:p>
    <w:p>
      <w:pPr>
        <w:ind w:left="1080" w:hanging="424"/>
        <w:spacing w:after="0" w:line="207" w:lineRule="exact"/>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Movies, such as </w:t>
      </w:r>
      <w:r>
        <w:rPr>
          <w:rFonts w:ascii="Times New Roman" w:cs="Times New Roman" w:eastAsia="Times New Roman" w:hAnsi="Times New Roman"/>
          <w:sz w:val="18"/>
          <w:szCs w:val="18"/>
          <w:i w:val="1"/>
          <w:iCs w:val="1"/>
          <w:color w:val="auto"/>
        </w:rPr>
        <w:t>Clash (</w:t>
      </w:r>
      <w:r>
        <w:rPr>
          <w:rFonts w:ascii="SimSun" w:cs="SimSun" w:eastAsia="SimSun" w:hAnsi="SimSun"/>
          <w:sz w:val="16"/>
          <w:szCs w:val="16"/>
          <w:i w:val="1"/>
          <w:iCs w:val="1"/>
          <w:color w:val="auto"/>
        </w:rPr>
        <w:t>冲</w:t>
      </w:r>
      <w:r>
        <w:rPr>
          <w:rFonts w:ascii="Times New Roman" w:cs="Times New Roman" w:eastAsia="Times New Roman" w:hAnsi="Times New Roman"/>
          <w:sz w:val="16"/>
          <w:szCs w:val="16"/>
          <w:i w:val="1"/>
          <w:iCs w:val="1"/>
          <w:color w:val="auto"/>
        </w:rPr>
        <w:t>·</w:t>
      </w:r>
      <w:r>
        <w:rPr>
          <w:rFonts w:ascii="SimSun" w:cs="SimSun" w:eastAsia="SimSun" w:hAnsi="SimSun"/>
          <w:sz w:val="16"/>
          <w:szCs w:val="16"/>
          <w:i w:val="1"/>
          <w:iCs w:val="1"/>
          <w:color w:val="auto"/>
        </w:rPr>
        <w:t>撞</w:t>
      </w:r>
      <w:r>
        <w:rPr>
          <w:rFonts w:ascii="Times New Roman" w:cs="Times New Roman" w:eastAsia="Times New Roman" w:hAnsi="Times New Roman"/>
          <w:sz w:val="18"/>
          <w:szCs w:val="18"/>
          <w:i w:val="1"/>
          <w:iCs w:val="1"/>
          <w:color w:val="auto"/>
        </w:rPr>
        <w:t>), and The Shadow’s Edge (</w:t>
      </w:r>
      <w:r>
        <w:rPr>
          <w:rFonts w:ascii="SimSun" w:cs="SimSun" w:eastAsia="SimSun" w:hAnsi="SimSun"/>
          <w:sz w:val="16"/>
          <w:szCs w:val="16"/>
          <w:i w:val="1"/>
          <w:iCs w:val="1"/>
          <w:color w:val="auto"/>
        </w:rPr>
        <w:t>捕风追影</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and</w:t>
      </w:r>
    </w:p>
    <w:p>
      <w:pPr>
        <w:spacing w:after="0" w:line="144" w:lineRule="exact"/>
        <w:rPr>
          <w:rFonts w:ascii="Times New Roman" w:cs="Times New Roman" w:eastAsia="Times New Roman" w:hAnsi="Times New Roman"/>
          <w:sz w:val="18"/>
          <w:szCs w:val="18"/>
          <w:color w:val="auto"/>
        </w:rPr>
      </w:pPr>
    </w:p>
    <w:p>
      <w:pPr>
        <w:ind w:left="1080" w:hanging="424"/>
        <w:spacing w:after="0" w:line="207" w:lineRule="exact"/>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Children’s content and animations, such as the multi-season </w:t>
      </w:r>
      <w:r>
        <w:rPr>
          <w:rFonts w:ascii="Times New Roman" w:cs="Times New Roman" w:eastAsia="Times New Roman" w:hAnsi="Times New Roman"/>
          <w:sz w:val="18"/>
          <w:szCs w:val="18"/>
          <w:i w:val="1"/>
          <w:iCs w:val="1"/>
          <w:color w:val="auto"/>
        </w:rPr>
        <w:t>Deer Squad (</w:t>
      </w:r>
      <w:r>
        <w:rPr>
          <w:rFonts w:ascii="SimSun" w:cs="SimSun" w:eastAsia="SimSun" w:hAnsi="SimSun"/>
          <w:sz w:val="16"/>
          <w:szCs w:val="16"/>
          <w:i w:val="1"/>
          <w:iCs w:val="1"/>
          <w:color w:val="auto"/>
        </w:rPr>
        <w:t>无敌鹿战队</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The Great Ruler (</w:t>
      </w:r>
      <w:r>
        <w:rPr>
          <w:rFonts w:ascii="SimSun" w:cs="SimSun" w:eastAsia="SimSun" w:hAnsi="SimSun"/>
          <w:sz w:val="16"/>
          <w:szCs w:val="16"/>
          <w:i w:val="1"/>
          <w:iCs w:val="1"/>
          <w:color w:val="auto"/>
        </w:rPr>
        <w:t>大主宰</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w:t>
      </w:r>
    </w:p>
    <w:p>
      <w:pPr>
        <w:spacing w:after="0" w:line="241"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For iQIYI original content produced in collaboration with third-party partners, typically established entertainment production companies, we maintain a high degree of control throughout the content development and production process.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iQIYI also adapts video IP into multiple entertainment products, such as online games, IP-based consumer product, and offline experiences.</w:t>
      </w:r>
    </w:p>
    <w:p>
      <w:pPr>
        <w:spacing w:after="0" w:line="221" w:lineRule="exact"/>
        <w:rPr>
          <w:sz w:val="20"/>
          <w:szCs w:val="20"/>
          <w:color w:val="auto"/>
        </w:rPr>
      </w:pPr>
    </w:p>
    <w:p>
      <w:pPr>
        <w:jc w:val="both"/>
        <w:ind w:left="120" w:right="20" w:firstLine="440"/>
        <w:spacing w:after="0" w:line="225" w:lineRule="exact"/>
        <w:rPr>
          <w:sz w:val="20"/>
          <w:szCs w:val="20"/>
          <w:color w:val="auto"/>
        </w:rPr>
      </w:pPr>
      <w:r>
        <w:rPr>
          <w:rFonts w:ascii="Times New Roman" w:cs="Times New Roman" w:eastAsia="Times New Roman" w:hAnsi="Times New Roman"/>
          <w:sz w:val="18"/>
          <w:szCs w:val="18"/>
          <w:b w:val="1"/>
          <w:bCs w:val="1"/>
          <w:color w:val="auto"/>
        </w:rPr>
        <w:t>Licensed content</w:t>
      </w:r>
      <w:r>
        <w:rPr>
          <w:rFonts w:ascii="Times New Roman" w:cs="Times New Roman" w:eastAsia="Times New Roman" w:hAnsi="Times New Roman"/>
          <w:sz w:val="18"/>
          <w:szCs w:val="18"/>
          <w:color w:val="auto"/>
        </w:rPr>
        <w:t>. In addition to original content, iQIYI also provides users with a selection of professionally produced content that is produced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by and licensed from third parties. Leveraging iQIYI’s expertise in content selection, iQIYI has successfully debuted well-received titles such as the drama series </w:t>
      </w:r>
      <w:r>
        <w:rPr>
          <w:rFonts w:ascii="Times New Roman" w:cs="Times New Roman" w:eastAsia="Times New Roman" w:hAnsi="Times New Roman"/>
          <w:sz w:val="18"/>
          <w:szCs w:val="18"/>
          <w:i w:val="1"/>
          <w:iCs w:val="1"/>
          <w:color w:val="auto"/>
        </w:rPr>
        <w:t>A Dream Within A Dream</w:t>
      </w:r>
      <w:r>
        <w:rPr>
          <w:rFonts w:ascii="Times New Roman" w:cs="Times New Roman" w:eastAsia="Times New Roman" w:hAnsi="Times New Roman"/>
          <w:sz w:val="18"/>
          <w:szCs w:val="18"/>
          <w:color w:val="auto"/>
        </w:rPr>
        <w:t xml:space="preserve"> (</w:t>
      </w:r>
      <w:r>
        <w:rPr>
          <w:rFonts w:ascii="SimSun" w:cs="SimSun" w:eastAsia="SimSun" w:hAnsi="SimSun"/>
          <w:sz w:val="16"/>
          <w:szCs w:val="16"/>
          <w:i w:val="1"/>
          <w:iCs w:val="1"/>
          <w:color w:val="auto"/>
        </w:rPr>
        <w:t>书卷一梦</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We Are Criminal Police (</w:t>
      </w:r>
      <w:r>
        <w:rPr>
          <w:rFonts w:ascii="SimSun" w:cs="SimSun" w:eastAsia="SimSun" w:hAnsi="SimSun"/>
          <w:sz w:val="16"/>
          <w:szCs w:val="16"/>
          <w:i w:val="1"/>
          <w:iCs w:val="1"/>
          <w:color w:val="auto"/>
        </w:rPr>
        <w:t>我是刑警</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 Journey to Love (</w:t>
      </w:r>
      <w:r>
        <w:rPr>
          <w:rFonts w:ascii="SimSun" w:cs="SimSun" w:eastAsia="SimSun" w:hAnsi="SimSun"/>
          <w:sz w:val="16"/>
          <w:szCs w:val="16"/>
          <w:i w:val="1"/>
          <w:iCs w:val="1"/>
          <w:color w:val="auto"/>
        </w:rPr>
        <w:t>一念关山</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 Lifelong Journey (</w:t>
      </w:r>
      <w:r>
        <w:rPr>
          <w:rFonts w:ascii="SimSun" w:cs="SimSun" w:eastAsia="SimSun" w:hAnsi="SimSun"/>
          <w:sz w:val="16"/>
          <w:szCs w:val="16"/>
          <w:i w:val="1"/>
          <w:iCs w:val="1"/>
          <w:color w:val="auto"/>
        </w:rPr>
        <w:t>人世间</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and the variety show </w:t>
      </w:r>
      <w:r>
        <w:rPr>
          <w:rFonts w:ascii="Times New Roman" w:cs="Times New Roman" w:eastAsia="Times New Roman" w:hAnsi="Times New Roman"/>
          <w:sz w:val="18"/>
          <w:szCs w:val="18"/>
          <w:i w:val="1"/>
          <w:iCs w:val="1"/>
          <w:color w:val="auto"/>
        </w:rPr>
        <w:t>Keep Running (</w:t>
      </w:r>
      <w:r>
        <w:rPr>
          <w:rFonts w:ascii="SimSun" w:cs="SimSun" w:eastAsia="SimSun" w:hAnsi="SimSun"/>
          <w:sz w:val="16"/>
          <w:szCs w:val="16"/>
          <w:i w:val="1"/>
          <w:iCs w:val="1"/>
          <w:color w:val="auto"/>
        </w:rPr>
        <w:t>奔跑吧</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iQIYI’s licensed content library also features movies, animations, documentaries and other content.</w:t>
      </w:r>
    </w:p>
    <w:p>
      <w:pPr>
        <w:spacing w:after="0" w:line="214"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iQIYI licensed video content is typically procured from third parties at fixed rates for a specified term. Payments of licensing fees are generally made in installments upon signing of the contacts and during the license period. iQIYI also exchange internet broadcasting rights of licensed content with other internet video streaming services to enrich its content library. In certain cases, iQIYI has the right of first refusal to purchase new content produced by the licensor.</w:t>
      </w:r>
    </w:p>
    <w:p>
      <w:pPr>
        <w:spacing w:after="0" w:line="180"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iQIYI leverages its content procurement team’s insights and its AI-based analytics capabilities to optimize content procurement. iQIYI has established partnerships with content providers to ensure access to high-quality content. These partners include leading domestic and overseas production companies and TV networks.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Micro Dramas</w:t>
      </w:r>
    </w:p>
    <w:p>
      <w:pPr>
        <w:spacing w:after="0" w:line="121"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Starting in 2024, we have been enhancing our content offerings by integrating micro dramas to complement our extensive long-form content portfolio. Micro dramas, featuring episodes primarily one to five minutes long, are optimized for vertical screen viewing. Micro dramas differ from long-form videos in format, storytelling style, and audience reach, catering specifically to users seeking quick entertainment breaks. Through introducing micro dramas, we aim to cater to diverse user preferences and viewing scenarios. This diversified content approach is designed to broaden our user reach while enhancing user satisfaction and loyalty, and drive monetization opportunities over time.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Video Content</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iQIYI offers a broad base of other video content with all kinds of genres, formats, and running times, such as micro variety shows, edited video clips, and video blogs. iQIYI’s other video content expands its library and allows it to capture a broader user base, drive user engagement and enhance user stickiness.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140"/>
          </w:cols>
          <w:pgMar w:left="320" w:top="482" w:right="4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iQIYI’s other video content is created and uploaded to our platform by a wide array of content providers. The content providers range from ordinary registered users, amateurs, and semiprofessional partners to internet influencers, multi-channel networks, and production studios, which collectively contribute to growing our creative user community. Content providers upload their videos onto their iQIYI partner accounts, an open platform we provide, to share, distribute and monetize their video content. iQIYI then evaluates the quality of uploaded videos through the use of AI and manual review before final approval. Users can follow their favorite iQIYI partner accounts.</w:t>
      </w:r>
    </w:p>
    <w:p>
      <w:pPr>
        <w:spacing w:after="0" w:line="179"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Membership Services. </w:t>
      </w:r>
      <w:r>
        <w:rPr>
          <w:rFonts w:ascii="Times New Roman" w:cs="Times New Roman" w:eastAsia="Times New Roman" w:hAnsi="Times New Roman"/>
          <w:sz w:val="18"/>
          <w:szCs w:val="18"/>
          <w:color w:val="auto"/>
        </w:rPr>
        <w:t>iQIYI’s membership services provide subscribing members with a choice of various membership privileges. iQIYI’s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current membership program consists of multiple packages, tailored for individuals and families. Both individual and family packages include an ad-supported basic service tier and a standard service tier. Moreover, the family package also features a premium service tier. Each membership plan is offered at a different price and provides subscribing members with access to a large collection of subscribing members-only content comprised of long-form videos, micro dramas and others. Subscribing members also enjoy earlier access to certain content aired on the iQIYI platform and a bundle of viewing functions and features. iQIYI’s members primarily include subscribing members and, to a lesser extent, users who gain access to our premium content library through paid video-on-demand service. iQIYI reviews and evaluates the scope and the price of its membership services periodically, and may adjust based on evolving market needs from time to time.</w:t>
      </w:r>
    </w:p>
    <w:p>
      <w:pPr>
        <w:spacing w:after="0" w:line="189" w:lineRule="exact"/>
        <w:rPr>
          <w:sz w:val="20"/>
          <w:szCs w:val="20"/>
          <w:color w:val="auto"/>
        </w:rPr>
      </w:pPr>
    </w:p>
    <w:p>
      <w:pPr>
        <w:jc w:val="both"/>
        <w:ind w:left="120" w:right="20" w:firstLine="440"/>
        <w:spacing w:after="0" w:line="224" w:lineRule="exact"/>
        <w:rPr>
          <w:sz w:val="20"/>
          <w:szCs w:val="20"/>
          <w:color w:val="auto"/>
        </w:rPr>
      </w:pPr>
      <w:r>
        <w:rPr>
          <w:rFonts w:ascii="Times New Roman" w:cs="Times New Roman" w:eastAsia="Times New Roman" w:hAnsi="Times New Roman"/>
          <w:sz w:val="18"/>
          <w:szCs w:val="18"/>
          <w:color w:val="auto"/>
        </w:rPr>
        <w:t>iQIYI assesses and improves its membership services to better meet the evolving user demand. For example, it offers Express Packages (</w:t>
      </w:r>
      <w:r>
        <w:rPr>
          <w:rFonts w:ascii="SimSun" w:cs="SimSun" w:eastAsia="SimSun" w:hAnsi="SimSun"/>
          <w:sz w:val="16"/>
          <w:szCs w:val="16"/>
          <w:color w:val="auto"/>
        </w:rPr>
        <w:t>加更礼</w:t>
      </w:r>
      <w:r>
        <w:rPr>
          <w:rFonts w:ascii="Times New Roman" w:cs="Times New Roman" w:eastAsia="Times New Roman" w:hAnsi="Times New Roman"/>
          <w:sz w:val="18"/>
          <w:szCs w:val="18"/>
          <w:color w:val="auto"/>
        </w:rPr>
        <w:t>) that grant early access to finale episodes of hit drama series, and in 2025, it integrated this benefit into the S-diamond Plans at no additional cost to encourage membership upgrades. Additionally, during selected offline major marketing events, it offers exclusive perks like red-carpet viewing privilege and live feeds featuring the members’ favorite celebrities. iQIYI also offers bundled membership initiatives to reach broader audience, and offer the Courtesy Experience Programs (</w:t>
      </w:r>
      <w:r>
        <w:rPr>
          <w:rFonts w:ascii="SimSun" w:cs="SimSun" w:eastAsia="SimSun" w:hAnsi="SimSun"/>
          <w:sz w:val="16"/>
          <w:szCs w:val="16"/>
          <w:color w:val="auto"/>
        </w:rPr>
        <w:t>云包场</w:t>
      </w:r>
      <w:r>
        <w:rPr>
          <w:rFonts w:ascii="Times New Roman" w:cs="Times New Roman" w:eastAsia="Times New Roman" w:hAnsi="Times New Roman"/>
          <w:sz w:val="18"/>
          <w:szCs w:val="18"/>
          <w:color w:val="auto"/>
        </w:rPr>
        <w:t>) to enable content lovers, brand advertisers and more to gift virtual seats, essentially granting membership access for binge-watching content.</w:t>
      </w:r>
    </w:p>
    <w:p>
      <w:pPr>
        <w:spacing w:after="0" w:line="195" w:lineRule="exact"/>
        <w:rPr>
          <w:sz w:val="20"/>
          <w:szCs w:val="20"/>
          <w:color w:val="auto"/>
        </w:rPr>
      </w:pPr>
    </w:p>
    <w:p>
      <w:pPr>
        <w:jc w:val="both"/>
        <w:ind w:left="120"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Online Advertising. </w:t>
      </w:r>
      <w:r>
        <w:rPr>
          <w:rFonts w:ascii="Times New Roman" w:cs="Times New Roman" w:eastAsia="Times New Roman" w:hAnsi="Times New Roman"/>
          <w:sz w:val="18"/>
          <w:szCs w:val="18"/>
          <w:color w:val="auto"/>
        </w:rPr>
        <w:t>The prices of iQIYI’s advertising services depend upon various factors, including form of the advertisement, level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sponsorship, popularity of the content or event in which the advertisements will be placed, and specific targeting requirements. iQIYI offers both brand advertising service and performance-based advertising service.</w:t>
      </w:r>
    </w:p>
    <w:p>
      <w:pPr>
        <w:spacing w:after="0" w:line="171" w:lineRule="exact"/>
        <w:rPr>
          <w:sz w:val="20"/>
          <w:szCs w:val="20"/>
          <w:color w:val="auto"/>
        </w:rPr>
      </w:pPr>
    </w:p>
    <w:p>
      <w:pPr>
        <w:jc w:val="both"/>
        <w:ind w:left="1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Content Distribution. </w:t>
      </w:r>
      <w:r>
        <w:rPr>
          <w:rFonts w:ascii="Times New Roman" w:cs="Times New Roman" w:eastAsia="Times New Roman" w:hAnsi="Times New Roman"/>
          <w:sz w:val="18"/>
          <w:szCs w:val="18"/>
          <w:color w:val="auto"/>
        </w:rPr>
        <w:t>iQIYI monetizes and enriches its content through content distribution. iQIYI sub-licenses content within its authorized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scope to TV stations and other internet video streaming services. iQIYI also enters into barter agreements to exchange internet broadcasting rights of licensed content with other internet video streaming services. The barter agreement provides the licensee with the right to broadcast the licensed content, and the licensor retains the right to continue broadcasting and/or sub-licensing the exchanged content. We distribute our selected content not only to third-party platforms in Chinese mainland but also to regions outside of Chinese mainland. iQIYI also generates revenue by releasing films invested by iQIYI to offline movie cinemas.</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Others. </w:t>
      </w:r>
      <w:r>
        <w:rPr>
          <w:rFonts w:ascii="Times New Roman" w:cs="Times New Roman" w:eastAsia="Times New Roman" w:hAnsi="Times New Roman"/>
          <w:sz w:val="18"/>
          <w:szCs w:val="18"/>
          <w:color w:val="auto"/>
        </w:rPr>
        <w:t>iQIYI’s other monetization models include online games, talent agency, experience business and others.</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Technology</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focus on technology and innovation. To stay at the forefront of the internet industry and to achieve long-term growth and success, we invest heavily in research and development. We have established several research labs in China and the United States, to enhance our research and development capabilities, including AI and other areas.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Baidu AI</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have been investing in AI since 2010, and we have opened up our AI platform to a large community of developers, which helps improve our AI capabilities and accelerate large-scale implementation of our AI. By doing so, we are turning the world’s most advanced AI capabilities into platforms for customers, developers and partners.</w:t>
      </w:r>
    </w:p>
    <w:p>
      <w:pPr>
        <w:spacing w:after="0" w:line="176"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Our AI capabilities are powered by our four-layer end-to-end AI stack, which includes cloud infrastructure, our in-house developed deep learning framework PaddlePaddle, our self-developed ERNIE foundation models, and applications.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140"/>
          </w:cols>
          <w:pgMar w:left="320" w:top="482" w:right="4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both"/>
        <w:ind w:left="120" w:right="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AI Capabilities. </w:t>
      </w:r>
      <w:r>
        <w:rPr>
          <w:rFonts w:ascii="Times New Roman" w:cs="Times New Roman" w:eastAsia="Times New Roman" w:hAnsi="Times New Roman"/>
          <w:sz w:val="18"/>
          <w:szCs w:val="18"/>
          <w:color w:val="auto"/>
        </w:rPr>
        <w:t>In 2021, Baidu released ERNIE 3.0 Titan, a pre-training language model with 260 billion parameters. ERNIE 3.0 Titan is trained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a vast knowledge graph and massive unstructured data.</w:t>
      </w:r>
    </w:p>
    <w:p>
      <w:pPr>
        <w:spacing w:after="0" w:line="159" w:lineRule="exact"/>
        <w:rPr>
          <w:sz w:val="20"/>
          <w:szCs w:val="20"/>
          <w:color w:val="auto"/>
        </w:rPr>
      </w:pPr>
    </w:p>
    <w:p>
      <w:pPr>
        <w:jc w:val="both"/>
        <w:ind w:left="120" w:firstLine="440"/>
        <w:spacing w:after="0" w:line="252" w:lineRule="auto"/>
        <w:rPr>
          <w:sz w:val="20"/>
          <w:szCs w:val="20"/>
          <w:color w:val="auto"/>
        </w:rPr>
      </w:pPr>
      <w:r>
        <w:rPr>
          <w:rFonts w:ascii="Times New Roman" w:cs="Times New Roman" w:eastAsia="Times New Roman" w:hAnsi="Times New Roman"/>
          <w:sz w:val="18"/>
          <w:szCs w:val="18"/>
          <w:color w:val="auto"/>
        </w:rPr>
        <w:t>Baidu released ERNIE Bot, our conversational AI bot powered by ERNIE, our in-house foundation model in the first quarter of 2023. This launch demonstrated our significant investments and achievements in AI over the past ten years. Baidu continued to upgrade ERNIE. Baidu launched ERNIE 3.5 in May 2023 and launched ERNIE 4.0 (EB4) in October 2023. According to IDC’s latest report on the technological abilities of AI models, issued in July 2023, ERNIE 3.5 excels in many areas, such as algorithm, industry coverage, developer tools and ecosystem. We believe that EB4 is a GPT4-type of model, displaying human-level performance in understanding, content generation, complex reasoning and memory retention. In June 2024, Baidu expanded the ERNIE family of models with the launch of ERNIE 4.0 Turbo, offering superior capabilities for typical use cases, and designed to run faster and at lower costs compared to ERNIE 4.0. These capabilities are crucial for developing AI-native applications and solutions. Baidu’s ERNIE family of models has been accessible to users and enterprises. In March 2025, we released ERNIE 4.5, our first flagship foundation model with multimodal capabilities, and ERNIE X1, our first reasoning model with best-in-class function calling, tackling complex problems with extended chains of thought. In April 2025, we further unveiled enhanced versions, ERNIE 4.5 Turbo and ERNIE X1 Turbo, delivering improved performance at significantly lower pricing, making them among the most cost-effective options on the market. Baidu open-sourced the ERNIE 4.5 series, its latest and most advanced family of foundation models comprising ten models of different architectures and sizes, in June 2025. The ERNIE 4.5 series delivers strong performance particularly in instruction following, world knowledge memorization, and visual understanding. In November 2025, we unveiled ERNIE 5.0, our first native omni-modal foundation model at Baidu World 2025. ERNIE 5.0 delivers strong performance across omni-modal understanding, creative writing, and instruction following. In January 2026, we released an updated version of ERNIE 5.0.</w:t>
      </w:r>
    </w:p>
    <w:p>
      <w:pPr>
        <w:spacing w:after="0" w:line="196"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 terms of software and hardware integration, Baidu’s independently developed AI chip, Baidu AI Chip, optimized for AI workloads, is capable of delivering stable, high-efficiency AI computing power at scale. Separately, Baidu also works with partners to build hardware ecology. As of December 31, 2025, PaddlePaddle has been equipped with more than 60 series of chips.</w:t>
      </w:r>
    </w:p>
    <w:p>
      <w:pPr>
        <w:spacing w:after="0" w:line="172"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PaddlePaddle. </w:t>
      </w:r>
      <w:r>
        <w:rPr>
          <w:rFonts w:ascii="Times New Roman" w:cs="Times New Roman" w:eastAsia="Times New Roman" w:hAnsi="Times New Roman"/>
          <w:sz w:val="18"/>
          <w:szCs w:val="18"/>
          <w:color w:val="auto"/>
        </w:rPr>
        <w:t>PaddlePaddle is Baidu’s deep learning framework developed in-house, which we open-sourced in 2016. PaddlePaddle aims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solve a real problem for the public service sector and traditional industries, and enables developers to implement AI technologies efficiently. PaddlePaddle provides: (i) a deep learning framework based on programming logic enabling both development flexibility and stability; (ii) the ultra-large-scale training capacity for real-time updates of trillion-level parameters of deep learning models; (iii) end-to-end deployment of high-performance inference engines designed for diverse platforms and devices; and (iv) open-source industry-grade models covering a wide range of applications. PaddlePaddle has boosted the diversification and scaling of AI applications. Developers, academic institutes, enterprises, government administrations and hardware OEMs works together on PaddlePaddle, allowing PaddlePaddle to cultivate various industry models. As a result, PaddlePaddle is well capable to run through the entire AI industry chain, from hardware adaptation to model training, inference deployment and application, consolidating the foundation of industrial intelligence and accelerating the pace of intelligent upgrading. In addition, Baidu has partnered with academics and industry to develop AI talents.</w:t>
      </w:r>
    </w:p>
    <w:p>
      <w:pPr>
        <w:spacing w:after="0" w:line="185" w:lineRule="exact"/>
        <w:rPr>
          <w:sz w:val="20"/>
          <w:szCs w:val="20"/>
          <w:color w:val="auto"/>
        </w:rPr>
      </w:pPr>
    </w:p>
    <w:p>
      <w:pPr>
        <w:jc w:val="both"/>
        <w:ind w:left="120" w:right="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AI Chips. </w:t>
      </w:r>
      <w:r>
        <w:rPr>
          <w:rFonts w:ascii="Times New Roman" w:cs="Times New Roman" w:eastAsia="Times New Roman" w:hAnsi="Times New Roman"/>
          <w:sz w:val="18"/>
          <w:szCs w:val="18"/>
          <w:color w:val="auto"/>
        </w:rPr>
        <w:t>Baidu AI Chip, which was introduced in 2018, is a cloud AI chip. Baidu AI chips have been used for our search engine, cloud,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Xiaodu’s AI computing needs.</w:t>
      </w:r>
    </w:p>
    <w:p>
      <w:pPr>
        <w:spacing w:after="0" w:line="159" w:lineRule="exact"/>
        <w:rPr>
          <w:sz w:val="20"/>
          <w:szCs w:val="20"/>
          <w:color w:val="auto"/>
        </w:rPr>
      </w:pPr>
    </w:p>
    <w:p>
      <w:pPr>
        <w:jc w:val="both"/>
        <w:ind w:left="120" w:firstLine="440"/>
        <w:spacing w:after="0" w:line="282" w:lineRule="auto"/>
        <w:rPr>
          <w:sz w:val="20"/>
          <w:szCs w:val="20"/>
          <w:color w:val="auto"/>
        </w:rPr>
      </w:pPr>
      <w:r>
        <w:rPr>
          <w:rFonts w:ascii="Times New Roman" w:cs="Times New Roman" w:eastAsia="Times New Roman" w:hAnsi="Times New Roman"/>
          <w:sz w:val="18"/>
          <w:szCs w:val="18"/>
          <w:color w:val="auto"/>
        </w:rPr>
        <w:t>We have also developed a proprietary technological infrastructure which consists of technologies for search, marketing services, and large-scale systems. Our established infrastructure serves as the backbone for AI, mobile and PC platforms.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Mobile Ecosystem Technologies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Search Technologies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search is powered by a set of industry-leading technologies, including the following, among others:</w:t>
      </w:r>
    </w:p>
    <w:p>
      <w:pPr>
        <w:spacing w:after="0" w:line="223" w:lineRule="exact"/>
        <w:rPr>
          <w:sz w:val="20"/>
          <w:szCs w:val="20"/>
          <w:color w:val="auto"/>
        </w:rPr>
      </w:pPr>
    </w:p>
    <w:p>
      <w:pPr>
        <w:jc w:val="both"/>
        <w:ind w:left="1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Ranking</w:t>
      </w:r>
      <w:r>
        <w:rPr>
          <w:rFonts w:ascii="Times New Roman" w:cs="Times New Roman" w:eastAsia="Times New Roman" w:hAnsi="Times New Roman"/>
          <w:sz w:val="18"/>
          <w:szCs w:val="18"/>
          <w:color w:val="auto"/>
        </w:rPr>
        <w:t>. We compare search queries with the content on web pages to help determine relevance. We have significantly improved the relevancy,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freshness and authority of ranking using our machine learning modules to analyze the rich content on the internet and user intent, to prioritize the search results. We began using machine learning in 2010, to better understand the semantics beyond simple text of the search keywords, and in 2013, we began to apply deep learning in our search ranking system, which is playing an increasingly important role. In 2019, we began to develop One Shot (satisfying user with the first search result) by significantly enhancing the results of question parsing and analysis, answer matching, extraction, page content understanding and other aspects of our search engine, which has greatly improved user satisfaction with our search products.</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140"/>
          </w:cols>
          <w:pgMar w:left="320" w:top="482" w:right="4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2"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Multi-modal search</w:t>
      </w:r>
      <w:r>
        <w:rPr>
          <w:rFonts w:ascii="Times New Roman" w:cs="Times New Roman" w:eastAsia="Times New Roman" w:hAnsi="Times New Roman"/>
          <w:sz w:val="18"/>
          <w:szCs w:val="18"/>
          <w:color w:val="auto"/>
        </w:rPr>
        <w:t>. We have greatly improved the accuracy of speech recognition in scenarios, such as long sentences, mixed Chinese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English, and strong accent, and thus significantly improve user satisfaction of our speech search. We have built a terminal visual interaction engine v1.0 for visual search and facilitated the implementation of convolutional neural network models, reducing the training costs through unsupervised or semi-supervised models.</w:t>
      </w:r>
    </w:p>
    <w:p>
      <w:pPr>
        <w:spacing w:after="0" w:line="178" w:lineRule="exact"/>
        <w:rPr>
          <w:sz w:val="20"/>
          <w:szCs w:val="20"/>
          <w:color w:val="auto"/>
        </w:rPr>
      </w:pPr>
    </w:p>
    <w:p>
      <w:pPr>
        <w:jc w:val="both"/>
        <w:ind w:left="120" w:right="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Marketing Services Technologies. </w:t>
      </w:r>
      <w:r>
        <w:rPr>
          <w:rFonts w:ascii="Times New Roman" w:cs="Times New Roman" w:eastAsia="Times New Roman" w:hAnsi="Times New Roman"/>
          <w:sz w:val="18"/>
          <w:szCs w:val="18"/>
          <w:color w:val="auto"/>
        </w:rPr>
        <w:t>Our marketing services platform serves billions of relevant, targeted sponsored links each day based on search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terms users enter or content they view on web pages or in our apps. Our key marketing services technologies include Phoenix Nest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 web-based auction system to enable customers to bid for keywords and automatically deliver relevant, targeted promotional links on Baidu’s properties and Baidu Union partners’ properties. Designed to generate more relevant results, Phoenix Nest helps customers to identify popular keywords and provides them with tools for budget management and marketing effectiveness measurement.</w:t>
      </w:r>
    </w:p>
    <w:p>
      <w:pPr>
        <w:spacing w:after="0" w:line="179" w:lineRule="exact"/>
        <w:rPr>
          <w:sz w:val="20"/>
          <w:szCs w:val="20"/>
          <w:color w:val="auto"/>
        </w:rPr>
      </w:pPr>
    </w:p>
    <w:p>
      <w:pPr>
        <w:jc w:val="both"/>
        <w:ind w:left="1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Large-Scale Systems and Technologies. </w:t>
      </w:r>
      <w:r>
        <w:rPr>
          <w:rFonts w:ascii="Times New Roman" w:cs="Times New Roman" w:eastAsia="Times New Roman" w:hAnsi="Times New Roman"/>
          <w:sz w:val="18"/>
          <w:szCs w:val="18"/>
          <w:color w:val="auto"/>
        </w:rPr>
        <w:t>Our large scale and massive amounts of user traffic require our systems to efficiently and effectively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allocate resources among the products and services in our large product portfolio. Our key large-scale systems and technologies include our internally developed automated management platform for large size clusters, which enables us to intelligently manage and allocate resources and automatically debug and relocate services, thereby, allowing the huge volume of requests on Baidu search platform to function stably across multiple internet data centers and a large network of servers.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We have a team of experienced engineers who are based mostly in Beijing, Shanghai and Shenzhen, China. We also have development centers in Sunnyvale, California. We compete aggressively for engineering and recruit most of our engineers locally and have established various recruiting and training programs with leading universities in China. We have also recruited experienced engineers globally.</w:t>
      </w:r>
    </w:p>
    <w:p>
      <w:pPr>
        <w:spacing w:after="0" w:line="176"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In the years ended December 31, 2023, 2024 and 2025, our research and development expenditures were RMB24.2 billion, RMB22.1 billion and RMB20.4 billion (US$2.9 billion), representing 18%, 17% and 16% of our revenue, respectively. Our research and development expenses primarily consist of salaries and benefits for research and development personnel, server depreciation expenses and server custody fees. We expense research and development costs as they are incurred, except for capitalized software development costs that fulfill the capitalization criteria.</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jc w:val="both"/>
        <w:ind w:left="120" w:right="20" w:firstLine="440"/>
        <w:spacing w:after="0" w:line="220" w:lineRule="exact"/>
        <w:rPr>
          <w:sz w:val="20"/>
          <w:szCs w:val="20"/>
          <w:color w:val="auto"/>
        </w:rPr>
      </w:pPr>
      <w:r>
        <w:rPr>
          <w:rFonts w:ascii="Times New Roman" w:cs="Times New Roman" w:eastAsia="Times New Roman" w:hAnsi="Times New Roman"/>
          <w:sz w:val="17"/>
          <w:szCs w:val="17"/>
          <w:color w:val="auto"/>
        </w:rPr>
        <w:t>We rely on a combination of patent, trademark, copyright and trade secret protection laws in Chinese mainland and other jurisdictions, as well as confidentiality procedures and contractual provisions, to protect our intellectual property and our brand. We had 23,771 issued patents in Chinese mainland as of February 28, 2026, covering invention, utility model and design, and intend to apply for more patents to protect our core technologies and intellectual property. We also enter into confidentiality, non-compete and invention assignment agreements with our employees and consultants, and nondisclosure agreements with selected third parties. “</w:t>
      </w:r>
      <w:r>
        <w:rPr>
          <w:rFonts w:ascii="SimSun" w:cs="SimSun" w:eastAsia="SimSun" w:hAnsi="SimSun"/>
          <w:sz w:val="15"/>
          <w:szCs w:val="15"/>
          <w:color w:val="auto"/>
        </w:rPr>
        <w:t>百度</w:t>
      </w:r>
      <w:r>
        <w:rPr>
          <w:rFonts w:ascii="Times New Roman" w:cs="Times New Roman" w:eastAsia="Times New Roman" w:hAnsi="Times New Roman"/>
          <w:sz w:val="17"/>
          <w:szCs w:val="17"/>
          <w:color w:val="auto"/>
        </w:rPr>
        <w:t>”, our company’s name “Baidu” in Chinese, has been recognized as a well-known trademark</w:t>
      </w:r>
    </w:p>
    <w:p>
      <w:pPr>
        <w:spacing w:after="0" w:line="11" w:lineRule="exact"/>
        <w:rPr>
          <w:sz w:val="20"/>
          <w:szCs w:val="20"/>
          <w:color w:val="auto"/>
        </w:rPr>
      </w:pPr>
    </w:p>
    <w:p>
      <w:pPr>
        <w:jc w:val="both"/>
        <w:ind w:left="120" w:right="20"/>
        <w:spacing w:after="0" w:line="255" w:lineRule="auto"/>
        <w:rPr>
          <w:sz w:val="20"/>
          <w:szCs w:val="20"/>
          <w:color w:val="auto"/>
        </w:rPr>
      </w:pPr>
      <w:r>
        <w:rPr>
          <w:rFonts w:ascii="Times New Roman" w:cs="Times New Roman" w:eastAsia="Times New Roman" w:hAnsi="Times New Roman"/>
          <w:sz w:val="18"/>
          <w:szCs w:val="18"/>
          <w:color w:val="auto"/>
        </w:rPr>
        <w:t xml:space="preserve">in China by the Trademark Office of National Intellectual Property Administration. In addition to owning “ </w:t>
      </w:r>
      <w:r>
        <w:rPr>
          <w:sz w:val="1"/>
          <w:szCs w:val="1"/>
          <w:color w:val="auto"/>
        </w:rPr>
        <w:drawing>
          <wp:inline distT="0" distB="0" distL="0" distR="0">
            <wp:extent cx="368300" cy="111125"/>
            <wp:effectExtent l="0" t="0"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68300" cy="11112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 and the related logos, we have applied for registration of various other trademarks. We also have registered certain trademarks in the United States, Australia, Brazil, Canada, Hong Kong, India, Indonesia, Japan, Malaysia, Mexico, New Zealand, Russia, Singapore, South Africa, South Korea, Thailand, the European Union and several other jurisdictions In addition, we have registered our domain name </w:t>
      </w:r>
      <w:r>
        <w:rPr>
          <w:rFonts w:ascii="Times New Roman" w:cs="Times New Roman" w:eastAsia="Times New Roman" w:hAnsi="Times New Roman"/>
          <w:sz w:val="18"/>
          <w:szCs w:val="18"/>
          <w:i w:val="1"/>
          <w:iCs w:val="1"/>
          <w:u w:val="single" w:color="auto"/>
          <w:color w:val="auto"/>
        </w:rPr>
        <w:t>baidu.com</w:t>
      </w:r>
      <w:r>
        <w:rPr>
          <w:rFonts w:ascii="Times New Roman" w:cs="Times New Roman" w:eastAsia="Times New Roman" w:hAnsi="Times New Roman"/>
          <w:sz w:val="18"/>
          <w:szCs w:val="18"/>
          <w:color w:val="auto"/>
        </w:rPr>
        <w:t xml:space="preserve"> and certain other domain names with authorized registrars of ICANN (Internet Corporation for Assigned Names and Numbers). We have also successfully become designated Registry Operator for </w:t>
      </w:r>
      <w:r>
        <w:rPr>
          <w:rFonts w:ascii="Times New Roman" w:cs="Times New Roman" w:eastAsia="Times New Roman" w:hAnsi="Times New Roman"/>
          <w:sz w:val="18"/>
          <w:szCs w:val="18"/>
          <w:i w:val="1"/>
          <w:iCs w:val="1"/>
          <w:color w:val="auto"/>
        </w:rPr>
        <w:t>.baidu</w:t>
      </w:r>
      <w:r>
        <w:rPr>
          <w:rFonts w:ascii="Times New Roman" w:cs="Times New Roman" w:eastAsia="Times New Roman" w:hAnsi="Times New Roman"/>
          <w:sz w:val="18"/>
          <w:szCs w:val="18"/>
          <w:color w:val="auto"/>
        </w:rPr>
        <w:t xml:space="preserve"> top-level domain names by ICANN.</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140"/>
          </w:cols>
          <w:pgMar w:left="320" w:top="482" w:right="4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Internet, technology and media companies are frequently involved in litigation based on allegations of infringement or other violations of intellectual property rights. Furthermore, the application of laws governing intellectual property rights in Chinese mainland and abroad is uncertain and evolving and could involve substantial risks to us. See “Item 3.D. Key Information—Risk Factors—Risks Related to Our Business and Industry—We may face intellectual property infringement claims and other related claims, which could be time-consuming and costly to defend and may result in an adverse impact over our operations” and “—We may be subject to patent infringement claims with respect to our P4P platform.”</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Sales and Distribution</w:t>
      </w:r>
    </w:p>
    <w:p>
      <w:pPr>
        <w:spacing w:after="0" w:line="121"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We offer products and services for Baidu Mobile Ecosystem through our network of third-party agents and our direct sales team. We typically enter into framework sales agreements with third-party agents, where third-party agents will sell online marketing services to customers such as SMEs, domestic businesses and multinational companies on our behalf. The sales agreements typically limit the industry focus of the third-party agents. The third-party agents provide our online marketing customers with numerous services, including identifying customers, collecting payments, assisting customers in setting up accounts with us, suggesting keywords to maximize return on investment and engaging in other marketing and educational services aimed at acquiring customers. We have direct sales presence in Beijing, Shanghai, Guangzhou, Shenzhen, and other cities, covering the major regional markets for our online marketing services and others. We cover our key accounts through direct sales team and enter into agreements with such key accounts directly.</w:t>
      </w:r>
    </w:p>
    <w:p>
      <w:pPr>
        <w:spacing w:after="0" w:line="192"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For AI Cloud, we sell our cloud solutions to our enterprise clients and provide tailored solutions to meet the specific needs of our clients, either directly or through solution integrators.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Intelligent Driving &amp; Other Growth Initiatives, we sell our products and services to our clients directly or through our third-party agents.</w:t>
      </w:r>
    </w:p>
    <w:p>
      <w:pPr>
        <w:spacing w:after="0" w:line="225"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iQIYI’s brand advertising is sold through third-party advertising agencies, including members of American Association of Advertising Agencies, or 4As, and leading Chinese advertising agencies, as well as through a direct sales force. Feed advertising services is sold primarily through third-party advertising agencies, whose existing long-term relationships and network resources we strategically leverage, to increase our sales and expand our advertiser base.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Marketing</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focus on continually improving the quality of our products and services, as we believe satisfied users and customers are more likely to recommend our products and services to others. Through these efforts and the increased use of internet in China, we have built our brand with modest marketing expenditures.</w:t>
      </w:r>
    </w:p>
    <w:p>
      <w:pPr>
        <w:spacing w:after="0" w:line="176"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have implemented a number of marketing initiatives designed to promote our brand awareness among potential users, customers and Baidu Union partners. In addition to our brand positioning in the market, we have also initiated a series of marketing activities to promote our products and technologies among existing and potential users and customers, including, but not limited to, Baidu World Conference.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For Baidu General Business, our primary competitors are mainly internet companies and online marketing platforms in China. We compete with these entities for both users and customers on the basis of user traffic, cyber security, quality (relevance) of search (and other marketing and advertising) results, availability and user experience of products and services, distribution channels and the number of associated third-party websites. We also face competition from U.S.-based internet search providers providing Chinese language services and online marketing platforms, as well as traditional advertising media.</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140"/>
          </w:cols>
          <w:pgMar w:left="320" w:top="482" w:right="4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2"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Online Marketing Platforms, Internet, Cloud and Smart Device Companies in China. </w:t>
      </w:r>
      <w:r>
        <w:rPr>
          <w:rFonts w:ascii="Times New Roman" w:cs="Times New Roman" w:eastAsia="Times New Roman" w:hAnsi="Times New Roman"/>
          <w:sz w:val="18"/>
          <w:szCs w:val="18"/>
          <w:color w:val="auto"/>
        </w:rPr>
        <w:t>Chinese internet companies, such as Alibaba, Tencent,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ByteDance, and Xiaomi offer a broad range of online services, including search, feed, cloud services and smart devices, as well as foundation models and a diversified of AI native applications powered by foundation models. These companies have widely recognized brand names in China and significant financial resources. Furthermore, some of these companies are private and are able to expend significant resources without consideration for near-term return on investment. We compete with these companies primarily for user traffic, user time, content, advertising budget, marketing resources and enterprise customers, in particular in the traditional industries and the public service sector. We leverage our AI technology, user traffic, product design and various marketing to enhance users’ reliance on and customers’ stickiness on our platforms and services.</w:t>
      </w:r>
    </w:p>
    <w:p>
      <w:pPr>
        <w:spacing w:after="0" w:line="183"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U.S.-based Internet Search Providers and Online Marketing Platforms. </w:t>
      </w:r>
      <w:r>
        <w:rPr>
          <w:rFonts w:ascii="Times New Roman" w:cs="Times New Roman" w:eastAsia="Times New Roman" w:hAnsi="Times New Roman"/>
          <w:sz w:val="18"/>
          <w:szCs w:val="18"/>
          <w:color w:val="auto"/>
        </w:rPr>
        <w:t>U.S.-based internet search providers and online marketing platforms,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Microsoft, Google and Facebook, have a strong global presence, well established brand names, more users and customers and significantly greater financial resources than we do. We may also continue to face competition from other existing competitors and new entrants in the markets of Chinese language search and online marketing.</w:t>
      </w:r>
    </w:p>
    <w:p>
      <w:pPr>
        <w:spacing w:after="0" w:line="180" w:lineRule="exact"/>
        <w:rPr>
          <w:sz w:val="20"/>
          <w:szCs w:val="20"/>
          <w:color w:val="auto"/>
        </w:rPr>
      </w:pPr>
    </w:p>
    <w:p>
      <w:pPr>
        <w:jc w:val="both"/>
        <w:ind w:left="120" w:right="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Advertising Media. </w:t>
      </w:r>
      <w:r>
        <w:rPr>
          <w:rFonts w:ascii="Times New Roman" w:cs="Times New Roman" w:eastAsia="Times New Roman" w:hAnsi="Times New Roman"/>
          <w:sz w:val="18"/>
          <w:szCs w:val="18"/>
          <w:color w:val="auto"/>
        </w:rPr>
        <w:t>Other advertising media, such as newspapers, yellow pages, magazines, billboards, other forms of outdoor media,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television, radio and mobile apps compete for a share of our customers’ marketing budgets.</w:t>
      </w:r>
    </w:p>
    <w:p>
      <w:pPr>
        <w:spacing w:after="0" w:line="158" w:lineRule="exact"/>
        <w:rPr>
          <w:sz w:val="20"/>
          <w:szCs w:val="20"/>
          <w:color w:val="auto"/>
        </w:rPr>
      </w:pPr>
    </w:p>
    <w:p>
      <w:pPr>
        <w:jc w:val="both"/>
        <w:ind w:left="120" w:right="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AI Cloud. </w:t>
      </w:r>
      <w:r>
        <w:rPr>
          <w:rFonts w:ascii="Times New Roman" w:cs="Times New Roman" w:eastAsia="Times New Roman" w:hAnsi="Times New Roman"/>
          <w:sz w:val="18"/>
          <w:szCs w:val="18"/>
          <w:color w:val="auto"/>
        </w:rPr>
        <w:t>We compete with Alibaba Cloud, Volcano Engine, Huawei and Kingsoft cloud for our cloud offerings. In addition, we have observed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telecom providers have been growing their cloud business, which has resulted in some changes in China’s cloud industry.</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 xml:space="preserve">Intelligent Driving. </w:t>
      </w:r>
      <w:r>
        <w:rPr>
          <w:rFonts w:ascii="Times New Roman" w:cs="Times New Roman" w:eastAsia="Times New Roman" w:hAnsi="Times New Roman"/>
          <w:sz w:val="18"/>
          <w:szCs w:val="18"/>
          <w:color w:val="auto"/>
        </w:rPr>
        <w:t>In the field of robotaxi services, we compete with other autonomous ride-hailing service providers.</w:t>
      </w:r>
    </w:p>
    <w:p>
      <w:pPr>
        <w:spacing w:after="0" w:line="227"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iQIYI faces competition for content sourcing, user traffic and advertising customers from other providers of online entertainment video services in Chinese mainland, primarily including Tencent Video, Youku, Mango TV and Bilibili. iQIYI also competes with other internet media and entertainment services, such as internet and social platforms and short- or mini-form video platforms, as well as major TV stations.</w:t>
      </w:r>
    </w:p>
    <w:p>
      <w:pPr>
        <w:spacing w:after="0" w:line="176"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Our user traffic tends to be seasonal. For example, we generally experience less user traffic during public holidays and other special event periods in China. In addition, advertising and other marketing spending in China has historically been cyclical, reflecting overall economic conditions as well as budgeting and buying patterns. Our results of operations may fluctuate due to the cyclicality and seasonality in our business and market competition.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Environmental, Social and Governance (ESG) Initiatives</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are committed to corporate social responsibility and meeting society’s changing needs despite the challenging economic environment. We have established an internal environmental, social and governance communications and management mechanism to comprehensively improve our corporate governance and benefit society.</w:t>
      </w:r>
    </w:p>
    <w:p>
      <w:pPr>
        <w:spacing w:after="0" w:line="176"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Following the UN’s 17 Sustainable Development Goals (SDGs), we have continually improved our corporate social responsibility initiatives under the guidance of our ESG framework. We appreciate the oversight, guidance and feedback from different parties and are committed to collaborating closely with domestic and international organizations to support broader industry-wide ESG practices, to explore multi-dimensional use cases for our technology, to empower traditional industries with our capabilities and to promote a healthier lifestyle and the long-term sustainability of our society. In June 2021, we announced our goal to become carbon neutral by 2030. In 2023, Baidu established the Technology Ethics Committee to guide the practices of technology professionals. In September 2024, Forbes China placed Baidu on its 2024 China ESG 50 list. In 2026, we earned a position in the global edition of the S&amp;P Global Sustainability Yearbook, demonstrating our further advancement in ESG performance. The selection stems from a comprehensive evaluation of 9,200 companies globally as part of the S&amp;P Global 2025 Corporate Sustainability Assessment, underscoring Baidu’s sustainability practices. In the third quarter of 2025, Baidu was upgraded to an ‘AA’ rating by MSCI ESG Research, and received improved ESG evaluations from S&amp;P CSA, and Sustainalytics, reflecting continued progress in sustainability practices.</w:t>
      </w:r>
    </w:p>
    <w:p>
      <w:pPr>
        <w:spacing w:after="0" w:line="19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Baidu released its annual ESG Report on April 28, 2025, which details Baidu’s latest ESG policies and sustainability initiatives.</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140"/>
          </w:cols>
          <w:pgMar w:left="320" w:top="482" w:right="4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Environmentally Sustainable Mindset</w:t>
      </w:r>
    </w:p>
    <w:p>
      <w:pPr>
        <w:spacing w:after="0" w:line="121" w:lineRule="exact"/>
        <w:rPr>
          <w:sz w:val="20"/>
          <w:szCs w:val="20"/>
          <w:color w:val="auto"/>
        </w:rPr>
      </w:pPr>
    </w:p>
    <w:p>
      <w:pPr>
        <w:jc w:val="both"/>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We are a strong supporter of the Ten Principles of the United Nations Global Compact and the UN’s 17 Sustainable Development Goals (SDGs). We are committed to the goal of achieving carbon neutrality by 2030 at the group operational level. To this end, we continue to pursue our emission reduction pathways in data centers, office buildings, carbon offsets, intelligent transportation, AI cloud and supply chain. Starting from 2020, we have taken measurements for all Scope 1, Scope 2, and Scope 3 emissions, inviting third-party professional institutions to verify and certify the results. These results are disclosed in our ESG report accordingly. We are committed to making Baidu a low-carbon, energy-efficient and eco-friendly company through concrete actions. For example, to improve energy efficiency, we implemented various power supply solutions including HVDC offline and BBU (Battery Back-up Unit) in our data centers. Furthermore, our data centers are equipped with large-scale water cooling systems with a free cooling module and OCU (Overhead Cooling Unit) supplemented by fine-tuning operation optimization. As a result of these measures, we optimized the power usage effectiveness (PUE) of our data centers and further reduced our carbon emissions. Baidu Yangquan Data Center was awarded the Carbon Neutral Data Center Leader (5A) certification, making it the first data center with the highest low-carbon level in China. We have also adopted various photovoltaic power generation technologies that increase the use of renewable energy in office buildings, as well as energy conservation measures, such as recycling heat energy and introducing electric commuter shuttle busses on our campus to make our offices more environmentally friendly.</w:t>
      </w:r>
    </w:p>
    <w:p>
      <w:pPr>
        <w:spacing w:after="0" w:line="190" w:lineRule="exact"/>
        <w:rPr>
          <w:sz w:val="20"/>
          <w:szCs w:val="20"/>
          <w:color w:val="auto"/>
        </w:rPr>
      </w:pPr>
    </w:p>
    <w:p>
      <w:pPr>
        <w:jc w:val="both"/>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While we rigorously implement environmentally sustainable policies and initiatives, we are also committed to presenting our users with green products and services, fulfilling our social responsibilities and diligently promoting our green ideas to the general public. For example, we have built our intelligent and green transportation ecosystem, relying on intelligent connected vehicle technology to comprehensively upgrade vehicles, roads and modes of travel. Baidu’s V2X deployed in Beijing and smart signal control system adopted by Baoding help reduce carbon emissions by about 17,000 tons and 41,600 tons annually respectively. We provide enterprises with AI Cloud solutions, promoting the sustainable development in many industries such as energy and textile. Baidu Maps provide users with low-carbon services, helping users to optimize their low-carbon routes, offering users with Navigation Services for New Energy Vehicles (NEVs). Our efforts promote the spread of green consumption among users. We have received various awards in recognition of our ESG efforts.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Building Social Trust and Developing Talent</w:t>
      </w:r>
    </w:p>
    <w:p>
      <w:pPr>
        <w:spacing w:after="0" w:line="117" w:lineRule="exact"/>
        <w:rPr>
          <w:sz w:val="20"/>
          <w:szCs w:val="20"/>
          <w:color w:val="auto"/>
        </w:rPr>
      </w:pPr>
    </w:p>
    <w:p>
      <w:pPr>
        <w:jc w:val="both"/>
        <w:ind w:left="120" w:firstLine="440"/>
        <w:spacing w:after="0" w:line="268" w:lineRule="auto"/>
        <w:rPr>
          <w:sz w:val="20"/>
          <w:szCs w:val="20"/>
          <w:color w:val="auto"/>
        </w:rPr>
      </w:pPr>
      <w:r>
        <w:rPr>
          <w:rFonts w:ascii="Times New Roman" w:cs="Times New Roman" w:eastAsia="Times New Roman" w:hAnsi="Times New Roman"/>
          <w:sz w:val="17"/>
          <w:szCs w:val="17"/>
          <w:b w:val="1"/>
          <w:bCs w:val="1"/>
          <w:color w:val="auto"/>
        </w:rPr>
        <w:t>Cybersecurity and Privacy Protection</w:t>
      </w:r>
      <w:r>
        <w:rPr>
          <w:rFonts w:ascii="Times New Roman" w:cs="Times New Roman" w:eastAsia="Times New Roman" w:hAnsi="Times New Roman"/>
          <w:sz w:val="17"/>
          <w:szCs w:val="17"/>
          <w:color w:val="auto"/>
        </w:rPr>
        <w:t>. As a reputable high-tech company serving a large community of users, we put data privacy protection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data security as our top priorities. In October 2021, we established a data management committee to further improve our policies and oversight over data management. Revolving around the dimensions of security, safety, and privacy, we built a research team filled with top-notch security experts. Focusing on our full stack of AI products and ecosystem, the team concentrates on cutting-edge technology, including vulnerability defense, AI security, security testing, privacy computing, etc., and developed and deployed multi-layer defense system. With their efforts, Baidu created a leading security technology system oriented for the AI-native cloud. We communicate with our users in an easy-to-understand manner to help them understand their rights under applicable laws and regulations. Through our data privacy and data security policies, users can learn about and control how their data is used and provide consent for data collection when necessary. We have put in place a comprehensive auditing mechanism across our business to keep track of the data privacy and data security actions taken throughout the lifecycle of our products and services. We utilize a complete set of data privacy and data security management systems that allow us to continually review and improve our processes. Guided by the principles of legal compliance, hierarchical protection, consistency of rights and responsibilities and continuous optimization, we have set up the mechanism for data security across the entire life cycle of products. This mechanism is designed to protect user privacy, validate the protection and legitimacy of data, and continuously maintain a secure state of operations. We have designed the General Privacy Policies and have drawn up specific privacy policies for individual products and services. We have also built an independent one-stop privacy protection platform, from which users can learn about our data privacy policies and provide feedback. We believe that we can make a complex world simpler through AI, but such vision can only be realized if AI is used properly.</w:t>
      </w:r>
    </w:p>
    <w:p>
      <w:pPr>
        <w:spacing w:after="0" w:line="186"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In 2025, we removed over 83.5 million pieces of harmful information through manual content moderation. The core data of content moderation were disclosed on a quarterly basis.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140"/>
          </w:cols>
          <w:pgMar w:left="320" w:top="482" w:right="4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Outlook on Talent and Organizational Development</w:t>
      </w:r>
      <w:r>
        <w:rPr>
          <w:rFonts w:ascii="Times New Roman" w:cs="Times New Roman" w:eastAsia="Times New Roman" w:hAnsi="Times New Roman"/>
          <w:sz w:val="18"/>
          <w:szCs w:val="18"/>
          <w:color w:val="auto"/>
        </w:rPr>
        <w:t>. Our employees are our most important asset. To promote work-life balance for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employees, we have adopted flexible working arrangements and a system of paid leave and compensatory leave, in addition to statutory annual leave. Since 2019, we have been working with an insurance company to introduce commercial healthcare coverage for both our employees and their parents. We are an early adopter among Chinese internet companies to offer such customized coverage. Moreover, we provide a multitude of benefits to our employees and their family members, including pregnant and nursing employees. We cater for female employees via return-to-work celebrations after childbirth, a maternity room to give breastfeeding mothers privacy, gift bags on Women’s Day, and a women’s club that encourages communication and the organization of activities.</w:t>
      </w:r>
    </w:p>
    <w:p>
      <w:pPr>
        <w:spacing w:after="0" w:line="187"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To better understand employees’ level of satisfaction, assist employees in addressing work challenges and improve our overall work environment, we conduct annual human capital assessment surveys with all of our employees. We also provide a variety of channels for employees to provide feedback and file complaints. We fully respect and value our employees’ suggestions and feedback.</w:t>
      </w:r>
    </w:p>
    <w:p>
      <w:pPr>
        <w:spacing w:after="0" w:line="176"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We value training and development of our employees. We have developed a robust talent training system, Online Baidu School learning platform, which is aimed at elevating the caliber and job proficiency of AI professionals, and facilitating their comprehensive growth in pivotal areas such as practical skills, AI expertise and industry acumen. In 2025, the platform introduced 224 courses related to AI-native R&amp;D trainings, enriching our employees’ access to learning materials on AI. In 2025, employees’ average training hours reached 27.8 hours.</w:t>
      </w:r>
    </w:p>
    <w:p>
      <w:pPr>
        <w:spacing w:after="0" w:line="180"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As a signatory to the United Nations Global Compact, Baidu observes international treaties such as the Universal Declaration of Human Rights, the UN Guiding Principles on Business and Human Rights, and the ILO Declaration on Fundamental Principles and Rights at Work, and has formulated the Baidu Human Rights Policy and indicators. In the Human Rights Policy, we state we are committed to and guarantee a respectful and dignified work environment for all employees. We provide equal opportunities for everyone in recruiting, hiring, training, promotion, and compensation and benefits, and strictly prohibit discrimination on the basis of gender, race, ethnicity, color, age, nationality, religion, physical disability, marital status, or other characteristics protected by law. We have zero-tolerance policies for any form of harassment, abuse, and coercion in the workplace and in any work-related environment outside the company. We protect all employees, especially women, from unfair treatment and retaliation. According to human rights tracking indicators, we regularly conduct assessments of the human rights impacts on ourselves and relevant parties. In 2025, Baidu was included in the Forbes World’s Best Employers list.</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Innovation and Practice in Social Responsibility</w:t>
      </w:r>
    </w:p>
    <w:p>
      <w:pPr>
        <w:spacing w:after="0" w:line="121"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We care about the society that we live in, and we encourage our employees across different product lines to leverage Baidu AI technologies to make our community a better place for everyone. Baidu has made outstanding achievements in protecting vulnerable groups, including the elderly, deaf and hard-of-hearing (DHH) and minors. In March 2022, AI Cloud’s digital avatar platform XiLing launched an AI sign language platform, breaking down communication barriers for the deaf and hard-of-hearing with our automated sign language translation in place.</w:t>
      </w:r>
    </w:p>
    <w:p>
      <w:pPr>
        <w:spacing w:after="0" w:line="180"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place strong emphasis on promoting an inclusive AI transition. Since 2024, Baidu has launched a series of AI skills upskilling initiatives, combining the online “Second Skills Learning Platform for Workers” with offline AI application talent training bases, and providing support for vocational qualification certification, to help traditional workers successfully transition to AI-related skills.</w:t>
      </w:r>
    </w:p>
    <w:p>
      <w:pPr>
        <w:spacing w:after="0" w:line="176"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We are committed to enhancing future-oriented science and technology literacy among young people. Focusing on autonomous driving and other frontier technologies, Baidu Apollo has carried out a range of technology education initiatives, including the publication of the popular science book Fun with Autonomous Driving and the donation of 57 autonomous vehicles to 15 universities to promote industry–education integration.</w:t>
      </w:r>
    </w:p>
    <w:p>
      <w:pPr>
        <w:spacing w:after="0" w:line="176"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have been committed to addressing social problems with honors social responsibility as a corporate citizen. In 2025, to support communities affected by the fire in Tai Po, New Territories, Hong Kong, Baidu donated HKD 10 million in dedicated funds to assist affected residents with emergency resettlement, livelihood support, and post-disaster reconstruction.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140"/>
          </w:cols>
          <w:pgMar w:left="320" w:top="482" w:right="4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Building on our close communication and collaboration with all stakeholders, we will continue to benefit our society. As part of our efforts to create value for our society, we attach great importance to communication and engagement with our users, partners, social organizations and third-party agencies.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Regulations</w:t>
      </w:r>
    </w:p>
    <w:p>
      <w:pPr>
        <w:spacing w:after="0" w:line="121"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We operate our business in an increasingly complex legal and regulatory environment. This section summarizes the principal laws and regulations of Chinese mainland relating to our business.</w:t>
      </w:r>
    </w:p>
    <w:p>
      <w:pPr>
        <w:spacing w:after="0" w:line="162"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In the opinion of Han Kun Law Offices, our PRC legal counsel, (i) the ownership structure relating to the variable interest entities complies with current laws and regulations of Chinese mainland; (ii) subject to the disclosure and risks disclosed under “Item 3.D. Key Information—Risk Factors— Risks Related to Our Corporate Structure,” “—Risks Related to Doing Business in China” and “—Regulations,” our contractual arrangements with the variable interest entities and the nominee shareholders constituted legal, valid and binding obligation of all parties to these arrangements and the execution, delivery, and performance of the variable interest entities and the nominee shareholders do not violate (x) any provisions of the articles of association and business licenses of such variable interest entity and (y) any current laws or regulations of Chinese mainland; and (iii) subject to the disclosure and risks disclosed under “Item 3.D. Key Information—Risk Factors—Risks Related to Our Corporate Structure,” “—Risks Related to Doing Business in China” and “—Regulations,” the business operations of the variable interest entities, as described herein, comply with current laws and regulations of Chinese mainland in all material respects.</w:t>
      </w:r>
    </w:p>
    <w:p>
      <w:pPr>
        <w:spacing w:after="0" w:line="188"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Our business is subject to evolving laws and regulatory requirements of Chinese mainland, including, among others, the laws and regulations governing internet-related industry and AI-related industry. There are substantial uncertainties regarding the interpretation and application of existing or proposed PRC laws and regulations. We cannot assure you that the PRC regulatory authorities would find that our corporate structure and our business operations comply with PRC laws and regulations. If the PRC government finds us to be in violation of applicable PRC laws and regulations, we may be required to pay fines and penalties, obtain certain licenses or permits and change, suspend or discontinue our business operations until we comply with the applicable PRC laws and regulations.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Regulations on Corporate Governance</w:t>
      </w:r>
    </w:p>
    <w:p>
      <w:pPr>
        <w:spacing w:after="0" w:line="121"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On December 29, 2023, the Standing Committee of the National People’s Congress promulgated the amended PRC Company Law, which came into effect on July 1, 2024, to supersede the PRC Company Law which was amended in October 2018. The Amended PRC Company Law has made material amendments on corporate governance and shareholders rights of the PRC companies, including, among others, the statutory period for payment of registered capital, the setting of the board of directors and the board of supervisors, and transfer of equity interests in a company.</w:t>
      </w:r>
    </w:p>
    <w:p>
      <w:pPr>
        <w:spacing w:after="0" w:line="180" w:lineRule="exact"/>
        <w:rPr>
          <w:sz w:val="20"/>
          <w:szCs w:val="20"/>
          <w:color w:val="auto"/>
        </w:rPr>
      </w:pPr>
    </w:p>
    <w:p>
      <w:pPr>
        <w:jc w:val="both"/>
        <w:ind w:left="120" w:firstLine="440"/>
        <w:spacing w:after="0" w:line="251" w:lineRule="auto"/>
        <w:rPr>
          <w:sz w:val="20"/>
          <w:szCs w:val="20"/>
          <w:color w:val="auto"/>
        </w:rPr>
      </w:pPr>
      <w:r>
        <w:rPr>
          <w:rFonts w:ascii="Times New Roman" w:cs="Times New Roman" w:eastAsia="Times New Roman" w:hAnsi="Times New Roman"/>
          <w:sz w:val="18"/>
          <w:szCs w:val="18"/>
          <w:color w:val="auto"/>
        </w:rPr>
        <w:t>With respect to the period for payment of the registered capital, pursuant to the amended PRC Company Law, all shareholders of a PRC limited liability company shall fully pay up the registered capital subscribed for by such shareholders within five years since the date of establishment of such PRC limited liability company, unless otherwise provided by laws and regulations. With respect to any company established before the effective date of the amended PRC Company Law, the period of capital contribution provided in its articles of association shall be amended to meet the time limit provided in the Amended PRC Company Law if such period of capital contribution in its articles of association exceeds that as required by the amended PRC Company Law; with respect to any company whose period of capital contribution or amount of the registered capital are obviously abnormal, the competent government authority may require such company to adjust its period of capital contribution or amount of the registered capital in a timely manner. The amended PRC Company Law provides that the detailed implementation measures for the aforesaid provisions will be formulated by the State Council of the PRC. If any shareholder fails to make capital contributions on schedule and in full as provided in the articles of association, the company shall send a written notice requesting such shareholder to pay up all overdue registered capital within a grace period no less than sixty days from the issuance date of such notice. If, upon the expiration of the foregoing grace period, such shareholder still hasn’t fulfilled the obligation of capital contribution with respect to such overdue registered capital, the company may, upon adoption of the resolution of the board of directors, send a notice of forfeiture to such shareholder in writing. Since the issuance date of the foregoing notice, such shareholder shall forfeit the equity interests for which the capital contribution has not been paid up. The forfeited equity interests shall be transferred or cancelled in accordance with the applicable laws. On July 1, 2024, the State Council of the PRC issued the Provisions on Implementing the Registered Capital Registration and Management System under the PRC Company Law, which further specify the detailed requirements and measures of the registration and management of registered capital under the amended PRC Company Law. Pursuant to such provisions, there shall be a three-year interim period from July 1, 2024 to June 30, 2027 for the existing companies to adjust their periods of capital contribution. If the period of capital contribution of a company established before the effective date of the amended PRC Company Law exceeds the period prescribed under the Amended PRC Company Law, such company shall make an adjustment within the foregoing interim period to meet the requirements under the Amended PRC Company Law. The adjusted period of capital contribution shall be recorded in such company’s articles of association, and shareholders shall make capital contributions in full within such adjusted period. If a company fails to adjust the period of capital contribution and its registered capital in accordance with these provisions, the competent enterprise registration authority may order such company to make rectification.</w:t>
      </w:r>
    </w:p>
    <w:p>
      <w:pPr>
        <w:spacing w:after="0" w:line="13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140"/>
          </w:cols>
          <w:pgMar w:left="320" w:top="482" w:right="4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With respect to the board of directors and the board of supervisors, the amended PRC Company Law eliminates the upper limit on the number of the directors of a limited liability company, and stipulates that a limited liability company with more than 300 employees shall have an employee representative in its board of directors, unless this company has set up a board of supervisors with employee representative(s) as the member(s). In addition, after the effective date of the amended PRC Company Law, limited liability companies, joint stock limited companies with small scale or a small number of shareholders and wholly state-owned companies may set up an audit committee to replace the functions and powers of the board of supervisors, and such companies may not set the board of supervisors or any supervisor.</w:t>
      </w:r>
    </w:p>
    <w:p>
      <w:pPr>
        <w:spacing w:after="0" w:line="187"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With respect to the transfer of equity interest of a limited liability company, the amended PRC Company law stipulates that the shareholders of a limited liability company may transfer the equity interest without the consent of other shareholders, provided that such shareholder shall notify other shareholders in writing with respect to transfer of such equity interest. Other shareholders will be regarded as giving up the right of first refusal if they fail to reply within 30 days after receiving the written notice. If a shareholder transfers the equity interest held by it, it shall notify the company in writing to request the company (i) to change the register of shareholders and (ii) to register the change with the competent enterprise registration authority. If the company refuses or fails to respond, the transferee and transferor may file a lawsuit with the competent court.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Regulations on Foreign Investment</w:t>
      </w:r>
    </w:p>
    <w:p>
      <w:pPr>
        <w:spacing w:after="0" w:line="121"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On January 1, 2020, the PRC Foreign Investment Law and the Regulations for Implementation of the PRC Foreign Investment Law came into effect and became the principal laws and regulations governing foreign investment in Chinese mainland, replacing the trio of prior laws regulating foreign investment in Chinese mainland, namely, the Sino-foreign Equity Joint Venture Enterprise Law, the Sino-foreign Cooperative Joint Venture Enterprise Law and the Wholly Foreign-invested Enterprise Law, together with their implementation rules and ancillary regulations.</w:t>
      </w:r>
    </w:p>
    <w:p>
      <w:pPr>
        <w:spacing w:after="0" w:line="180"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According to the PRC Foreign Investment Law, “foreign investment” refers to the investment activities conducted directly or indirectly in Chinese mainland by foreign individuals, enterprises or other entities, including the following circumstances: (i) the establishment of foreign-invested enterprises in Chinese mainland by foreign investors solely or jointly with other investors, (ii) foreign investors’ acquisition of shares, equity interests, property portions or other similar rights and interests of enterprises in Chinese mainland, (iii) investment in new projects in Chinese mainland by foreign investors solely or jointly with other investors, and (iv) investments made by foreign investors through means stipulated in laws or administrative regulations or other methods prescribed by the State Council.</w:t>
      </w:r>
    </w:p>
    <w:p>
      <w:pPr>
        <w:spacing w:after="0" w:line="187"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The PRC Foreign Investment Law has adopted a reformed system with respect to foreign investment administration, under which the PRC government applies national treatment to foreign investors in terms of investment entry and the foreign investor needs to comply with the requirements as provided in the negative list for foreign investment. The negative list will be issued by, amended or released upon approval by the State Council, from time to time. The negative list will consist of a list of industries in which foreign investments are prohibited and a list of industries in which foreign investments are restricted. Foreign investors will be prohibited from making investments in prohibited industries, while foreign investments must satisfy certain conditions stipulated in the negative list for investments in restricted industries. Foreign investments and domestic investments in industries outside the scope of the prohibited industries and restricted industries stipulated in the negative list will be treated equally. On December 30, 2019, the Ministry of Commerce and the SAMR jointly promulgated the Measures for Information Reporting on Foreign Investment, which became effective on January 1, 2020. Pursuant to the measures, where a foreign investor directly or indirectly carries out investment activities in Chinese mainland, the foreign investor or the foreign-invested enterprise must submit the investment information to the competent commerce department for further handling.</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140"/>
          </w:cols>
          <w:pgMar w:left="320" w:top="482" w:right="4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In December 2020, the NDRC and the Ministry of Commerce promulgated the Measures for the Security Review of Foreign Investment, which came into effect on January 18, 2021. The NDRC and the Ministry of Commerce established a working mechanism office in charge of the security review of foreign investment. Such measures define foreign investment as direct or indirect investment by foreign investors in Chinese mainland, which includes (i) investment in new onshore projects or establishment of wholly foreign owned onshore companies or joint ventures with foreign investors;</w:t>
      </w:r>
    </w:p>
    <w:p>
      <w:pPr>
        <w:spacing w:after="0" w:line="3" w:lineRule="exact"/>
        <w:rPr>
          <w:sz w:val="20"/>
          <w:szCs w:val="20"/>
          <w:color w:val="auto"/>
        </w:rPr>
      </w:pPr>
    </w:p>
    <w:p>
      <w:pPr>
        <w:jc w:val="both"/>
        <w:ind w:left="120" w:hanging="4"/>
        <w:spacing w:after="0" w:line="251" w:lineRule="auto"/>
        <w:tabs>
          <w:tab w:leader="none" w:pos="38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acquiring equity or asset of onshore companies by merger and acquisition; and (iii) onshore investment by and through any other means. Investment in certain key areas with bearing on national security, such as important cultural products and services, important information technology and internet services and products, key technologies and other important areas with bearing on national security which results in the acquisition of de facto control of investee companies, must be filed with a specifically established office before such investment is carried out. What may constitute “onshore investment by and through any other means” or “de facto control” could be broadly interpreted under such measures. It is likely that control through contractual arrangement be regarded as de facto control based on provisions applied to security review of foreign investment in the free trade zone. Failure to make such filing may subject such foreign investor to rectification within prescribed period, and will be recorded as negative credit information of such foreign investor in the national credit information system, which would then subject such investors to joint punishment. If such investor fails to or refuses to undertake such rectification, it would be ordered to dispose of the equity or asset and to take any other necessary measures so as to return to the status quo and to erase the impact to national security.</w:t>
      </w:r>
    </w:p>
    <w:p>
      <w:pPr>
        <w:spacing w:after="0" w:line="2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Regulations on Value-Added Telecommunications Services and Internet Content Services</w:t>
      </w:r>
    </w:p>
    <w:p>
      <w:pPr>
        <w:spacing w:after="0" w:line="119"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Value-added telecommunications services and Internet content services. </w:t>
      </w:r>
      <w:r>
        <w:rPr>
          <w:rFonts w:ascii="Times New Roman" w:cs="Times New Roman" w:eastAsia="Times New Roman" w:hAnsi="Times New Roman"/>
          <w:sz w:val="18"/>
          <w:szCs w:val="18"/>
          <w:color w:val="auto"/>
        </w:rPr>
        <w:t>The Telecommunications Regulations of the PRC promulgated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PRC State Council in September 2000, which were most recently amended in February 2016, categorize all telecommunication businesses in Chinese mainland as either basic or value-added. Pursuant to the Telecommunications Regulations, commercial operators of value-added telecommunications services must first obtain a Value-Added Telecommunication Business Operating License from the MIIT or its provincial level counterparts. The Administrative Measures for Telecommunication Business Operating License, promulgated by the MIIT with latest amendments becoming effective in September 2017, set forth the types of licenses required for value-added telecommunications services and the qualifications and procedures for obtaining such licenses. For example, a value-added telecommunications service operator providing commercial value-added services in multiple provinces is required to obtain an inter-regional license, whereas a value-added telecommunications service operator providing the same services in one province is required to obtain a local license. Baidu Netcom and some of the other variable interest entities in Chinese mainland hold such Value-Added Telecommunication Business Operating Licenses.</w:t>
      </w:r>
    </w:p>
    <w:p>
      <w:pPr>
        <w:spacing w:after="0" w:line="187"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Internet content services, or ICP services, are classified as one of the value-added telecommunication businesses. The Administrative Measures on Internet Information Services, promulgated by the PRC State Council in September 2000 and most recently amended on December 6, 2024, require companies engaged in the provision of commercial internet content services to obtain a Value-added Telecommunication Business Operation Permit for ICP services, or an ICP license from the government authorities before providing any commercial internet content services within Chinese mainland. “Commercial internet content services” generally refer to provision of information service through public telecommunication network or internet for a fee. The Catalog of Classification of Telecommunications Services promulgated by the MIIT in December 2015 and amended in June 2019 further divides ICP services into information publication platform and delivery services, information search and inquiry services, information communities platform services, instant message services, and information security and management services. We do not believe our P4P services conducted by our certain Chinese mainland subsidiaries are categorized as part of internet content services that require an ICP license under these regulations. Although Baidu Online conducts part of the P4P business by, among other things, examining and filtering P4P keywords, interacting with potential P4P customers, engaging in sales activities with our customers, P4P search results are displayed on the websites operated by Baidu Netcom, including </w:t>
      </w:r>
      <w:r>
        <w:rPr>
          <w:rFonts w:ascii="Times New Roman" w:cs="Times New Roman" w:eastAsia="Times New Roman" w:hAnsi="Times New Roman"/>
          <w:sz w:val="18"/>
          <w:szCs w:val="18"/>
          <w:u w:val="single" w:color="auto"/>
          <w:color w:val="auto"/>
        </w:rPr>
        <w:t>baidu.com</w:t>
      </w:r>
      <w:r>
        <w:rPr>
          <w:rFonts w:ascii="Times New Roman" w:cs="Times New Roman" w:eastAsia="Times New Roman" w:hAnsi="Times New Roman"/>
          <w:sz w:val="18"/>
          <w:szCs w:val="18"/>
          <w:color w:val="auto"/>
        </w:rPr>
        <w:t xml:space="preserve">. Baidu Netcom, as the owner of our domain name </w:t>
      </w:r>
      <w:r>
        <w:rPr>
          <w:rFonts w:ascii="Times New Roman" w:cs="Times New Roman" w:eastAsia="Times New Roman" w:hAnsi="Times New Roman"/>
          <w:sz w:val="18"/>
          <w:szCs w:val="18"/>
          <w:u w:val="single" w:color="auto"/>
          <w:color w:val="auto"/>
        </w:rPr>
        <w:t>baidu.com</w:t>
      </w:r>
      <w:r>
        <w:rPr>
          <w:rFonts w:ascii="Times New Roman" w:cs="Times New Roman" w:eastAsia="Times New Roman" w:hAnsi="Times New Roman"/>
          <w:sz w:val="18"/>
          <w:szCs w:val="18"/>
          <w:color w:val="auto"/>
        </w:rPr>
        <w:t xml:space="preserve"> and holder of the necessary licenses and approvals, such as an ICP license, operates the website to list P4P search results and display other marketing and advertising content as an online marketing service provider.</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140"/>
          </w:cols>
          <w:pgMar w:left="320" w:top="482" w:right="4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In June 2020, the MIIT promulgated the Notice regarding Strengthening the Management of Call Center Business, which has strengthened the management on the admittance, codes, accessing, operation activities and certain other items.</w:t>
      </w:r>
    </w:p>
    <w:p>
      <w:pPr>
        <w:spacing w:after="0" w:line="160" w:lineRule="exact"/>
        <w:rPr>
          <w:sz w:val="20"/>
          <w:szCs w:val="20"/>
          <w:color w:val="auto"/>
        </w:rPr>
      </w:pPr>
    </w:p>
    <w:p>
      <w:pPr>
        <w:jc w:val="both"/>
        <w:ind w:left="120" w:right="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Regulations on Content. </w:t>
      </w:r>
      <w:r>
        <w:rPr>
          <w:rFonts w:ascii="Times New Roman" w:cs="Times New Roman" w:eastAsia="Times New Roman" w:hAnsi="Times New Roman"/>
          <w:sz w:val="18"/>
          <w:szCs w:val="18"/>
          <w:color w:val="auto"/>
        </w:rPr>
        <w:t>National security considerations are an important factor in the regulation of internet content in the PRC. The National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People’s Congress, the PRC’s national legislature, has enacted laws with respect to maintaining the security of internet operation and internet content. Under these laws and applicable regulations, violators may be subject to penalties, including criminal sanctions, for internet content that:</w:t>
      </w:r>
    </w:p>
    <w:p>
      <w:pPr>
        <w:spacing w:after="0" w:line="81" w:lineRule="exact"/>
        <w:rPr>
          <w:sz w:val="20"/>
          <w:szCs w:val="20"/>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opposes the fundamental principles stated in the PRC constitution;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compromises national security, divulges state secrets, subverts state power or damages national unity;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harms the dignity or interests of the state;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incites ethnic hatred or racial discrimination or damages inter-ethnic unity;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undermines the PRC’s religious policy or propagates heretical teachings or feudal superstitions;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disseminates rumors, disturbs social order or disrupts social stability;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disseminates obscenity or pornography, encourages gambling, violence, murder or fear or incites the commission of a crime;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insults or slanders a third party or infringes upon the lawful rights and interests of a third party;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otherwise prohibited by law or administrative regulations.</w:t>
      </w:r>
    </w:p>
    <w:p>
      <w:pPr>
        <w:spacing w:after="0" w:line="225" w:lineRule="exact"/>
        <w:rPr>
          <w:sz w:val="20"/>
          <w:szCs w:val="20"/>
          <w:color w:val="auto"/>
        </w:rPr>
      </w:pPr>
    </w:p>
    <w:p>
      <w:pPr>
        <w:jc w:val="both"/>
        <w:ind w:left="120" w:firstLine="440"/>
        <w:spacing w:after="0" w:line="251" w:lineRule="auto"/>
        <w:rPr>
          <w:sz w:val="20"/>
          <w:szCs w:val="20"/>
          <w:color w:val="auto"/>
        </w:rPr>
      </w:pPr>
      <w:r>
        <w:rPr>
          <w:rFonts w:ascii="Times New Roman" w:cs="Times New Roman" w:eastAsia="Times New Roman" w:hAnsi="Times New Roman"/>
          <w:sz w:val="18"/>
          <w:szCs w:val="18"/>
          <w:color w:val="auto"/>
        </w:rPr>
        <w:t>ICP operators are required to monitor their websites, including electronic bulletin boards. They may not post or disseminate any content that falls within the prohibited categories and must remove any such content from their websites. The PRC government may shut down the websites of ICP license holders that violate any of the above-mentioned content restrictions and revoke their ICP licenses. For instance, in 2017, the CAC issued a series of regulatory documents providing that an ICP operator is obligated to monitor contents displayed and disseminated by users on its platform. These regulations apply to online services, including (i) online forum and community service, which allows users to publish information and interact with other users on an online forum, post bar or other form of online communities and (ii) online group chat information service, which allows users to communicate and exchange information in a cyberspace created by the users on an online platform. On January 22, 2021, the CAC promulgated the Administrative Provisions on the Information Services Provided through Official Accounts of Internet Users, which requires, among others, that information service platforms for public accounts are required to perform their responsibilities, establish systems such as those for the hierarchical or classified management of public accounts, ecological governance, copyright protection, and credit evaluation, and improve management measures such as public account registration verification, qualification examination, and disclosure of public account registrants. On November 16, 2022, the CAC promulgated the Administrative Provisions on Internet Comment Posting Services, which came into effect on December 15, 2022. According to such provisions, the follow-up comment service providers must conduct standardized management of the follow-up comment service users and the producers and operators of official accounts according to the user service agreement. For the follow-up comment services users who release any illegal and negative information content, the service providers must take the measures including, among others, warning and reminding, refusing to release and deleting such illegal and negative information content, restricting such accounts’ functions, suspending such accounts updating, shutting down such accounts and prohibiting re-registration of such accounts in accordance with laws, and keep the relevant records. For the producers and operators of official accounts who fail to fulfill their management obligations resulting that any illegal and negative information content appears in the follow-up comments, the service providers must take such measures as warning and reminding, deleting such illegal and negative information, suspending the follow-up comment area functions till permanently shutting down the follow-up comment area, restricting such account functions, suspending such accounts updating, shutting down such accounts and prohibiting re-registration of such accounts in accordance with laws, and keep records and timely report such violations to the cyberspace administrations.</w:t>
      </w:r>
    </w:p>
    <w:p>
      <w:pPr>
        <w:spacing w:after="0" w:line="13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140"/>
          </w:cols>
          <w:pgMar w:left="320" w:top="482" w:right="4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In addition, in November 2018, the CAC issued a notice to require ICP operators to conduct security assessments on their internet information services if their services include forums, blogs, microblogs, chat rooms, communication groups, public accounts, short videos, online live-streaming, information sharing, mini programs or such other functions that provide channels for the public to express opinions or have the capability of mobilizing the public to engage in specific activities. ICP operators must conduct self-assessment on, among others, the legality of new technology involved in the services and the effectiveness of security risk prevention measures, and file the assessment report to local competent internet information office and public security authority. At the end of 2019, the CAC issued the Provisions on the Management of Network Information Content Ecology, which became effective on March 1, 2020, to further strengthen the regulation and management of network information content. Pursuant to these provisions, each network information content service platform is required, among others, (i) not to disseminate any information prohibited by laws and regulations, such as information jeopardizing national security; (ii) to strengthen the examination of advertisements published on such network information content service platform; (iii) to promulgate management rules and platform convention and improve user agreement, such that such network information content service platform could clarify users’ rights and obligations and perform management responsibilities required by laws, regulations, rules and convention; (iv) to establish convenient means for complaints and reports; and (v) to prepare annual work report regarding its management of network information content ecology.</w:t>
      </w:r>
    </w:p>
    <w:p>
      <w:pPr>
        <w:spacing w:after="0" w:line="187"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On September 15, 2021, the CAC promulgated the Opinions on Further Enforcing Responsibilities on Website Platforms as the Main Responsible Party for Information Content Management. In accordance with the Opinions, website platforms are required to perform specific responsibilities as the main responsible party for information content management, including, among others, enhancing the platform community rules, strengthening the regulation and management of accounts, improving the content vetting mechanism, improving the quality of information content, managing the dissemination of information content, and strengthening the management of key functions.</w:t>
      </w:r>
    </w:p>
    <w:p>
      <w:pPr>
        <w:spacing w:after="0" w:line="183" w:lineRule="exact"/>
        <w:rPr>
          <w:sz w:val="20"/>
          <w:szCs w:val="20"/>
          <w:color w:val="auto"/>
        </w:rPr>
      </w:pPr>
    </w:p>
    <w:p>
      <w:pPr>
        <w:jc w:val="both"/>
        <w:ind w:left="120" w:right="20" w:firstLine="440"/>
        <w:spacing w:after="0" w:line="272" w:lineRule="auto"/>
        <w:rPr>
          <w:sz w:val="20"/>
          <w:szCs w:val="20"/>
          <w:color w:val="auto"/>
        </w:rPr>
      </w:pPr>
      <w:r>
        <w:rPr>
          <w:rFonts w:ascii="Times New Roman" w:cs="Times New Roman" w:eastAsia="Times New Roman" w:hAnsi="Times New Roman"/>
          <w:sz w:val="17"/>
          <w:szCs w:val="17"/>
          <w:color w:val="auto"/>
        </w:rPr>
        <w:t>In addition, on June 12, 2024, the CAC and other three authorities jointly promulgated the Provisions on Governance of Cyber Violence Information, which came into effect on August 1, 2024. Pursuant to the provisions, network information service providers shall (i) perform their primary responsibilities for managing network information contents, (ii) establish and improve the mechanism for governance of cyberviolence information, and</w:t>
      </w:r>
    </w:p>
    <w:p>
      <w:pPr>
        <w:spacing w:after="0" w:line="2" w:lineRule="exact"/>
        <w:rPr>
          <w:sz w:val="20"/>
          <w:szCs w:val="20"/>
          <w:color w:val="auto"/>
        </w:rPr>
      </w:pPr>
    </w:p>
    <w:p>
      <w:pPr>
        <w:jc w:val="both"/>
        <w:ind w:left="120" w:right="20" w:hanging="4"/>
        <w:spacing w:after="0" w:line="252" w:lineRule="auto"/>
        <w:tabs>
          <w:tab w:leader="none" w:pos="44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 the systems for user registration, account management, personal information protection, information release review, monitoring and early warning, and identification and handling, among others. When discovering illegal information and unhealthy information involving cyberviolence, the network information service providers shall forthwith stop the transmission of such information, take measures such as deleting, shielding and disconnecting links, keep relevant records, and report the case to relevant authorities. In the case of a suspected criminal offence, the network information service providers shall promptly report such case to the public security authority, with relevant clues provided, and cooperate in investigation and handling in accordance with laws.</w:t>
      </w:r>
    </w:p>
    <w:p>
      <w:pPr>
        <w:spacing w:after="0" w:line="188" w:lineRule="exact"/>
        <w:rPr>
          <w:sz w:val="20"/>
          <w:szCs w:val="20"/>
          <w:color w:val="auto"/>
        </w:rPr>
      </w:pPr>
    </w:p>
    <w:p>
      <w:pPr>
        <w:jc w:val="both"/>
        <w:ind w:left="120" w:firstLine="440"/>
        <w:spacing w:after="0" w:line="252" w:lineRule="auto"/>
        <w:rPr>
          <w:sz w:val="20"/>
          <w:szCs w:val="20"/>
          <w:color w:val="auto"/>
        </w:rPr>
      </w:pPr>
      <w:r>
        <w:rPr>
          <w:rFonts w:ascii="Times New Roman" w:cs="Times New Roman" w:eastAsia="Times New Roman" w:hAnsi="Times New Roman"/>
          <w:sz w:val="18"/>
          <w:szCs w:val="18"/>
          <w:i w:val="1"/>
          <w:iCs w:val="1"/>
          <w:color w:val="auto"/>
        </w:rPr>
        <w:t>Restrictions on Foreign Ownership in Value-Added Telecommunications Services</w:t>
      </w:r>
      <w:r>
        <w:rPr>
          <w:rFonts w:ascii="Times New Roman" w:cs="Times New Roman" w:eastAsia="Times New Roman" w:hAnsi="Times New Roman"/>
          <w:sz w:val="18"/>
          <w:szCs w:val="18"/>
          <w:color w:val="auto"/>
        </w:rPr>
        <w:t>. Foreign ownership in value-added telecommunication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governed by the State Council according to the Provisions on Administration of Foreign-Invested Telecommunications Enterprises, which were recently amended on March 29, 2022 and became effective on May 1, 2022. According to these provisions, a foreign investor’s beneficial equity ownership in an entity providing value-added telecommunications services in Chinese mainland is generally not permitted to exceed 50% unless otherwise permitted by laws and regulations. Although these provisions deleted the prior requirement that major foreign investors holding equity in enterprises providing value-added telecommunications services in Chinese mainland must have a good track record and operational experience in providing these services, the PRC government authorities have not promulgated any implementation rules in line with these new changes. Accordingly, there are uncertainties as to whether foreign investors without a good track record and operational experience in providing these services may qualify as major foreign investors in value-added telecommunications enterprises. Although the Special Administrative Measures (Negative List) for Foreign Investment Access (2024 Version) allow a foreign investor to own more than 50% of the total equity interest in an e-commerce business, a domestic multi-party communication business, an information storage and re-transmission business and a call center business, other requirements provided by these provisions still apply. We believe that it would be impracticable for us to acquire any equity interest in the variable interest entities without diverting management attention and resources. Moreover, we believe that our contractual arrangements with these entities and the individual nominee shareholders allow us to have the power to direct the activities of these entities that most significantly impact their economic performance. Accordingly, we currently do not plan to acquire any equity interest in any of the variable interest entities.</w:t>
      </w:r>
    </w:p>
    <w:p>
      <w:pPr>
        <w:spacing w:after="0" w:line="1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140"/>
          </w:cols>
          <w:pgMar w:left="320" w:top="482" w:right="4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A Notice on Intensifying the Administration of Foreign Investment in Value-Added Telecommunications Services, issued by the MIIT in July 2006, prohibits domestic telecommunication service providers from leasing, transferring or selling Telecommunication Business Operating Licenses to any foreign investor in any form, or providing any resources, sites or facilities to any foreign investor for their illegal operation of a telecommunication business in Chinese mainland. Pursuant to this notice, either the holder of a Value-Added Telecommunication Business Operating License or its shareholders must directly own the domain names and trademarks used by such license holder in its provision of value-added telecommunications services. The notice further requires each license holder to have the necessary facilities, including servers, for its approved business operations and to maintain the facilities in the regions covered by its license. If a license holder fails to comply with the requirements in the notice or cure any non-compliance, the MIIT or its local counterparts have the discretion to take measures against the license holder, including revoking its Value-added Telecommunication Business Operating License. Based on the Notice Regarding the Strengthening of Ongoing and Post Administration of Foreign Investment Telecommunication Enterprises issued by the MIIT in October 2020, the MIIT will not issue Examination Letter for Foreign Investment in Telecommunication Business. Foreign invested enterprises would need to submit relevant foreign investment materials to the MIIT for the establishment or change of telecommunication operating permits.</w:t>
      </w:r>
    </w:p>
    <w:p>
      <w:pPr>
        <w:spacing w:after="0" w:line="190"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On April 8, 2024, the MIIT issued the Circular on Launching the Pilot Program of Expanding the Opening-up of Value-Added Telecommunications Services, which states that in the pilot areas, the foreign shareholding restrictions on (i) the internet data center, (ii) the content delivery network, (iii) the internet service providers, (iv) the online data processing and transaction processing, (v) the information dissemination platform and delivery services (but excluding internet news information services, online publishing services, online audiovisual services, and internet cultural services), and (vi) the information protection and processing services will be removed. According to this circular, the “pilot areas” include Beijing Comprehensive Demonstration Zone for Expanding Opening-up in the Service Sector, the Lin-Gang Special Area of Shanghai Pilot Free Trade Zone and the Pioneering Area in Socialist Modernization, the Hainan Free Trade Port, and the Shenzhen Pilot Demonstration Area of Socialism with Chinese Characteristics. This circular also clarifies the foreign invested telecommunication enterprise that intends to provide the aforesaid value-added telecommunications services in the pilot areas shall apply to the MIIT for obtaining the official approval of the pilot program of telecommunications services, comply with the applicable laws and regulations when providing telecommunications services, and accept and cooperate with the supervision and administration of the telecommunication administrations and the relevant competent authorities.</w:t>
      </w:r>
    </w:p>
    <w:p>
      <w:pPr>
        <w:spacing w:after="0" w:line="192"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Due to the restrictions under these regulations of Chinese mainland, we operate our websites mainly through the variable interest entities, such as Baidu Netcom. Baidu Netcom is a variable interest entity, and is considered a domestic entity in Chinese mainland under laws of Chinese mainland given that the nominee shareholders are citizens of Chinese mainland.</w:t>
      </w:r>
    </w:p>
    <w:p>
      <w:pPr>
        <w:spacing w:after="0" w:line="176"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Baidu Netcom and some of the other variable interest entities in Chinese mainland hold Value-Added Telecommunication Business Operating Licenses. In compliance with the Notice of the MIIT on Intensifying the Administration of Foreign Investment in Value-Added Telecommunications Services, Baidu Netcom owns the necessary domain names and trademarks, including pending trademark applications, and has the necessary personnel and facilities to operate our websites.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Regulations on Mobile Internet Applications</w:t>
      </w:r>
    </w:p>
    <w:p>
      <w:pPr>
        <w:spacing w:after="0" w:line="121"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In June 2016, the CAC promulgated the Administrative Provisions on Mobile Internet Application Information Services, which were most recently amended on June 14, 2022 and became effective on August 1, 2022. Pursuant to these provisions, a mobile internet app refers to an app software that runs on mobile smart devices to provide users with information services. Mobile internet app providers refer to the owners or operators of mobile internet apps which provide information services. Internet app distribution platforms refer to mobile internet information services providers which provide distribution services related to releasing, downloading and dynamic loading of internet apps.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140"/>
          </w:cols>
          <w:pgMar w:left="320" w:top="482" w:right="4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Pursuant to these provisions, internet app providers must comply with the provisions on the scope of necessary personal information when engaging in personal information processing activities and should not compel users to agree to non-essential personal information collection or ban users from their basic functional services due to their refusal of providing unnecessary personal information. Internet app providers should not provide the relevant services to the users who fail to submit real identity information or use fraudulent identity information of other organizations or persons for fake registration. Internet app providers are also required to establish sound information content review and management mechanism, take sound management measures such as user registration, account management, information review, daily inspection and emergency disposal, and be staffed with professionals and technical ability appropriate to the service scale. Furthermore, internet app providers who launch new technologies, applications or functions with the attribute of public opinion or the capability of social mobilization should conduct security assessment in accordance with the applicable laws and regulations. If an internet app provider violates these regulations, internet app distribution platforms may issue warnings, suspend the release of its applications, or terminate the sale of its applications, and/or report the violations to government authorities, and the application provider may be imposed administrative penalty by the CAC and the competent authorities in accordance with the laws and regulations.</w:t>
      </w:r>
    </w:p>
    <w:p>
      <w:pPr>
        <w:spacing w:after="0" w:line="192"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In December 2016, the MIIT promulgated the Interim Measures on the Administration of Pre-Installation and Distribution of Applications for Mobile Smart Terminals, which came into effect on July 1, 2017. The Interim Measures aim to enhance the administration of mobile apps, and require, among others, that mobile phone manufacturers and internet information service providers must ensure that a mobile app, as well as its ancillary resource files, configuration files and user data can be uninstalled by a user on a convenient basis, unless it is a basic function software, which refers to a software that supports the normal functioning of the hardware and operating system of a mobile smart device. On July 21, 2023, the MIIT promulgated the Notice of the Record-filing of Mobile Internet Apps, pursuant to which, operators of mobile internet apps which engage in internet information services within the territory of Chinese mainland shall complete the record-filing formalities. Any operator shall not conduct the internet information services via mobile internet apps before the completion of the record-filing formalities with respect to such mobile internet apps.</w:t>
      </w:r>
    </w:p>
    <w:p>
      <w:pPr>
        <w:spacing w:after="0" w:line="192"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Since 2021, the PRC government has taken steps to strengthen the supervision on the utilization of algorithm in the field of internet information service. On September 17, 2021, the CAC and eight other authorities jointly promulgated the Notice on Promulgation of the Guiding Opinions on Strengthening the Comprehensive Governance of Algorithm-Related Internet Information Services, which provides that, among others, enterprises must establish an algorithmic security responsibility system and a technology ethics vetting system, improve the algorithmic security management organization, strengthen risk prevention and control, and improve the capacity to respond to algorithmic security emergencies.</w:t>
      </w:r>
    </w:p>
    <w:p>
      <w:pPr>
        <w:spacing w:after="0" w:line="183"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On September 20, 2023, the State Council promulgated the Regulation on the Protection of Minors in Cyberspace, or Cyberspace Regulation on Minors Protection, which became effective on January 1, 2024. Pursuant to the Cyberspace Regulation on Minors Protection, a network platform service provider with a substantial number of minor users or with a significant impact on the minor population shall fully fulfill the following obligations, including, among others, (i) fully considering the characteristics of the physical and mental development of minors when designing, researching, developing and operating network platform services, regularly assessing the impact of the protection of minors in cyberspace; (ii) providing a special mode or zone for minors to facilitate the minors to access products or services on the platform that are beneficial for their physical and mental well-being; (iii) establishing and improving a compliance system for the protection of minors in the cyberspace in accordance with the applicable laws and regulations, and establishing an independent body primarily composed of external members to supervise the protection of minors in the cyberspace; and</w:t>
      </w:r>
    </w:p>
    <w:p>
      <w:pPr>
        <w:spacing w:after="0" w:line="1" w:lineRule="exact"/>
        <w:rPr>
          <w:sz w:val="20"/>
          <w:szCs w:val="20"/>
          <w:color w:val="auto"/>
        </w:rPr>
      </w:pPr>
    </w:p>
    <w:p>
      <w:pPr>
        <w:jc w:val="both"/>
        <w:ind w:left="120" w:hanging="4"/>
        <w:spacing w:after="0" w:line="251" w:lineRule="auto"/>
        <w:tabs>
          <w:tab w:leader="none" w:pos="45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terminating services to any product or service provider on the platform that gravely harms the physical and mental well-being of minors or otherwise infringe on their lawful rights and interests. Network services providers who provide the services of information publishing and instant messaging to minors shall require the minors or their guardians to provide the real identity information of the minors in accordance with laws. Network services providers who provide services such as online games, online live-streaming, online audio and video, and online social contact shall take measures to reasonably restrict the amount of single consumption and daily cumulative consumption of minors of different ages during the use of such services, and shall not provide minors with paid services which do not match their capacity for civil conduct. The personal information processors shall conduct compliance audit regarding their compliance with laws and regulations in the processing of the personal information of minors each year, and report the audit results to the cyberspace authority and other government authorities in a timely manner. On December 26, 2025, the CAC and other seven competent government authorities jointly published the Measures for the Classification of Online Information Which May Affect the Physical and Mental Health of Minors. These Measures specify four categories of online information that may adversely affect minors, including: (i) the online information may induce minors to imitate or carry out misconduct; (ii) the online information may negatively impact minors’ values; (iii) the online information may involve the inappropriate use of minors’ images; and (iv) the online information may involve the improper disclosure and use of minors’ personal information. Furthermore, these Measures impose specific obligations on network products and service providers, including but not limited to, online information that may affect the physical and mental health of minors shall not be displayed in internet products or services specifically targeting minors, and internet products and service providers are prohibited from presenting such information in prominent locations like homepages, pop-ups, hot search lists, and recommendations. Providers of algorithm recommendation and generative artificial intelligence services are required to establish sound security management systems and technical measures to prevent the dissemination of such information.</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140"/>
          </w:cols>
          <w:pgMar w:left="320" w:top="482" w:right="4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On March 15, 2024, the State Council promulgated the Regulation on the Implementation of the Law of the PRC on the Protection of Consumer Rights and Interests, which came into effect on July 1, 2024. Pursuant to these regulations, if a business operator provides services by means of automatic extension or automatic renewal, it shall draw the attention of consumers to the same in a prominent way before consumers’ acceptance of such services and the date of automatic extension or automatic renewal. With regard to the violation of the foregoing provisions by any business operator, if other relevant laws and regulations stipulate on punishment methods, such provisions of laws and regulations shall prevail; in the absence of such provisions, the competent market regulators or any other relevant administrative authorities shall order the business operator to make correction, and may, depending on the seriousness of the violation, separately or concurrently impose a warning, confiscation of illegal income, a fine ranging from one to five times of the illegal income, or a fine of not more than RMB 300,000 if there is no illegal income. More seriously, the business operator may be ordered to suspend operation for rectification and its business license may be revoked.</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Regulations on Internet Information Search Service</w:t>
      </w:r>
    </w:p>
    <w:p>
      <w:pPr>
        <w:spacing w:after="0" w:line="121"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In June 2016, the CAC promulgated the Administrative Provisions on Internet Information Search Services, which took effect on August 1, 2016. Pursuant to these provisions, internet information search service refers to the service whereby users can search for information that is collected from the internet and processed by computer technology. These provisions require that an internet information search service provider must not publish any information or contents prohibited by law in the form of links, abstracts, snapshots, associative words, related search or recommendations or otherwise. If an internet information search service provider identifies any search results that contain any information, website or app that is prohibited by law, it must stop displaying the search results, record the infraction and report it to the government authority. In addition, an internet information search service provider is prohibited from seeking illegitimate interest by means of unauthorized disconnection of links, or provision of search results containing false information. If an internet information search service provider engages in paid search services, it must examine and verify the qualifications of its customers of the paid search services, specify the maximum percentage of search results as paid search results on a webpage, clearly distinguish paid search results from natural search results, and notably identify the paid search information item by item.</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Regulations on Advertisements and Online Advertising</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PRC government regulates advertising, including online advertising, principally through the SAMR. The PRC Advertising Law, as amended on April 29, 2021, outlines the regulatory framework for the advertising industry and allows foreign investors to own up to all equity interests in PRC advertising companies.</w:t>
      </w:r>
    </w:p>
    <w:p>
      <w:pPr>
        <w:spacing w:after="0" w:line="176"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conduct our value-added telecommunication-based online advertising business through Baidu Netcom, which is one of the variable interest entities in Chinese mainland and holds a business license that covers value-added telecommunication-based online advertising in its business scope. Our subsidiaries Baidu Times and Baidu China have also expanded their respective business license to cover advertising in their respective business scope.</w:t>
      </w:r>
    </w:p>
    <w:p>
      <w:pPr>
        <w:spacing w:after="0" w:line="176"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Advertisers, advertising operators and advertising distributors are required by PRC advertising laws and regulations to ensure that the content of the advertisements they prepare or distribute is true and in full compliance with applicable laws and regulations. For example, pursuant to the PRC Advertising Law, advertisements must not contain terms such as “the state-level,” “the highest grade,” “the best” or other similar words. In addition, where a special government review is required for certain categories of advertisements before publishing, the advertisers, advertising operators and advertising distributors are obligated to confirm that such review has been performed and approvals have been obtained. Pursuant to the PRC Advertising Law, advertisements distributed on the internet should not affect the normal use of internet by users. Particularly, advertisements distributed on internet pages such as pop-up advertisements must indicate a conspicuous mark for “close” to ensure the close of such advertisements by one click. Where internet information service providers know or should know that illegal advertisements are being distributed using their services, they must prevent such advertisements from being distributed.</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140"/>
          </w:cols>
          <w:pgMar w:left="320" w:top="482" w:right="4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In addition to the above regulations, the Administrative Measures for Internet Advertising promulgated by the SAMR on February 25, 2023 and effective on May 1, 2023 also set forth certain compliance requirements for online advertising businesses. Pursuant to the Administrative Measures for Internet Advertising, an internet advertisement shall be identifiable as an advertisement by consumers. With respect to the promotion of goods or services in the form of paid listing, advertising distributors shall indicate them conspicuously as an advertisement to distinguish them from the natural search results. Publishing and distributing advertisements by means of internet shall not affect the normal internet access by users, and it is prohibited to insert advertisements in the form of paid listing into the search results of government service websites, webpages, internet apps, official accounts, etc. With respect to the internet advertisements which are published in the form of pop-up or otherwise, the advertisers and advertising distributors shall clearly mark the closure sign to ensure that such advertisements could be closed by one click. Furthermore, in accordance with the Administrative Measures for Internet Advertising, the advertising operators and distributors shall establish, improve and implement the registration, review and file management system of internet advertising business, which shall include, among others: (a) to examine and register advertisers’ real identity, address and effective contact information, establish, regularly check and update advertising archives, record and save the electronic data of advertising activities; and (b) to examine the relevant supporting documents and the content of the advertisements. With respect to the internet advertisements which are published by means of algorithmic recommendation or otherwise, the rules on the algorithmic recommendation service and the record of advertisement placement shall be included in the advertisement archives.</w:t>
      </w:r>
    </w:p>
    <w:p>
      <w:pPr>
        <w:spacing w:after="0" w:line="197"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On August 22, 2024, the SAMR promulgated the Guideline on Regulatory Enforcement concerning the Identifiability of Internet Advertising. The guideline further specifies the criteria and requirements on the identifiability of internet advertisements. Pursuant to the guideline, the identifiability of internet advertisements refers to the distinguishability of internet advertisements from other non-advertisement information, which enables consumers to identify them as advertisements. Advertising distributors may enhance the identifiability of internet advertisements by means of text annotation and voice prompts. If text annotations are adopted, “advertisement” shall be conspicuously indicated. If voice prompts are adopted, the relevant content shall be clearly indicated as an “advertisement” through clear voice. If the commodities or services advertised and ranked according to bidding for priority placement are not prominently marked (or clearly indicated) the word “advertisement,” the competent governmental authorities shall investigate and penalize such acts.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Regulations on Artificial Intelligence</w:t>
      </w:r>
    </w:p>
    <w:p>
      <w:pPr>
        <w:spacing w:after="0" w:line="121" w:lineRule="exact"/>
        <w:rPr>
          <w:sz w:val="20"/>
          <w:szCs w:val="20"/>
          <w:color w:val="auto"/>
        </w:rPr>
      </w:pPr>
    </w:p>
    <w:p>
      <w:pPr>
        <w:jc w:val="both"/>
        <w:ind w:left="120" w:firstLine="440"/>
        <w:spacing w:after="0" w:line="233" w:lineRule="auto"/>
        <w:rPr>
          <w:sz w:val="20"/>
          <w:szCs w:val="20"/>
          <w:color w:val="auto"/>
        </w:rPr>
      </w:pPr>
      <w:r>
        <w:rPr>
          <w:rFonts w:ascii="Times New Roman" w:cs="Times New Roman" w:eastAsia="Times New Roman" w:hAnsi="Times New Roman"/>
          <w:sz w:val="18"/>
          <w:szCs w:val="18"/>
          <w:color w:val="auto"/>
        </w:rPr>
        <w:t>We engage in the research and development of artificial intelligence (AI) technology and products, specifically autonomous driving vehicles and generative AI. The PRC government has issued a series of guidelines to encourage and support the research and development of AI technology, such as the Three-Year Implementing Plan for Internet Plus Artificial Intelligence issued in May 2016, the Development Planning on the New Generation of Artificial Intelligence issued in July 2017 and the Development Plan for the Big Data Industry during the “14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Five-Year Plan” Period issued in November 2021.</w:t>
      </w:r>
    </w:p>
    <w:p>
      <w:pPr>
        <w:spacing w:after="0" w:line="200"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Regulations on Autonomous Driving Vehicles. </w:t>
      </w:r>
      <w:r>
        <w:rPr>
          <w:rFonts w:ascii="Times New Roman" w:cs="Times New Roman" w:eastAsia="Times New Roman" w:hAnsi="Times New Roman"/>
          <w:sz w:val="18"/>
          <w:szCs w:val="18"/>
          <w:color w:val="auto"/>
        </w:rPr>
        <w:t>The MIIT, the Ministry of Public Security and the Ministry of Transport jointly promulgated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Administrative Rules of Road Testing and Demonstration Application of Intelligent Connected Vehicles (for Trial Implementation) on July 27, 2021, which became effective on September 1, 2021. Pursuant to these rules, a qualified entity to conduct road testing of intelligently connected vehicles must meet the following conditions, including, among others: (i) it must be an independent legal person registered within the territory of Chinese mainland;</w:t>
      </w:r>
    </w:p>
    <w:p>
      <w:pPr>
        <w:spacing w:after="0" w:line="1" w:lineRule="exact"/>
        <w:rPr>
          <w:sz w:val="20"/>
          <w:szCs w:val="20"/>
          <w:color w:val="auto"/>
        </w:rPr>
      </w:pPr>
    </w:p>
    <w:p>
      <w:pPr>
        <w:jc w:val="both"/>
        <w:ind w:left="120" w:hanging="4"/>
        <w:spacing w:after="0" w:line="251" w:lineRule="auto"/>
        <w:tabs>
          <w:tab w:leader="none" w:pos="41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must have the capabilities concerning intelligently connected vehicles, such as the capabilities of manufacturing automobiles and spare parts thereof, the capabilities of research and development of technologies, or the capabilities of experiments and tests; (iii) it must be capable of paying civil compensation for potential damages caused by the road testing of intelligently connected vehicles; (iv) it must have the evaluation rules for the testing of self-driving functions of intelligently connected vehicles; (v) it must have the ability to conduct real-time remote monitoring of the vehicles on road testing; (vi) it must have the ability to record, analyze and reproduce the events related to road test vehicles; (vii) it must have the ability to guarantee the network security for tested vehicles and remote monitoring platforms; and (viii) other conditions specified in applicable laws, administrative regulations and rules. An eligible entity may apply to conduct experimental operation of intelligently connected vehicles in prescribed roads and areas. Prior to starting a road testing, a road-testing entity must submit a self-declaration on safety of the road testing, and such self-declaration should be confirmed by the competent government authority on the provincial or municipal level. The testing duration for a road testing should not exceed 18 months in principle, and should not exceed the validity period of the quality certificate of safety technical inspection and the insurance voucher of the tested vehicle. A road-testing entity or the experimental operation entity must submit a periodic report every 6 months to the competent government authority on the provincial or municipal level and provide a summary report within 1 month upon conclusion of the road testing or experimental operation. The entity responsible for the road testing or the experimental operation must report information on the traffic accidents during the road testing or experimental operation to the competent authorities on a monthly basis. In case of any traffic violation occurred during the road test or demonstration application, the traffic administrative department of the public security department must impose the penalties (including, among others, fines or warning) on the driver in accordance with the laws and regulations on road traffic safety. In the case of serious injuries or deaths of any person or serious damage of a vehicle, the entity responsible for the road testing or the experimental operation must report such accident to the competent government authority on the provincial or municipal level within 24 hours through the information system, and if such subject fails to report as required, its road testing or experimental operation activities may be suspended for 24 months. Some local governments, such as Beijing, Shanghai, Chongqing, Hunan and Tianjin, have issued local rules and regulations to regulate road testing of autonomous driving cars accordingly.</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140"/>
          </w:cols>
          <w:pgMar w:left="320" w:top="482" w:right="4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In addition, the PRC government has strengthened regulation of the network security and data security of the Internet of Vehicles (IoV) since 2021. On September 15, 2021, the MIIT issued the Circular on Strengthening the Network Security and Data Security of IoV. This Circular provides that all enterprises related to IoV must establish management systems for network security and data security, specify the responsible person and management bodies, and perform network security and data security-related protection responsibilities. The Circular also requires that all enterprises related to IoV must monitor, prevent, and promptly tackle cybersecurity risks and threats to ensure that data can be effectively protected and legally used and that the relevant IoV can be operated safely and stably. On March 7, 2022, the MIIT issued the Guidelines for the Construction of Network Security and Data Security Standard System for IoV, which specifies the safety standards and requirements covering terminal and facility security, network communication security, data security, application service security and security guarantee and support.</w:t>
      </w:r>
    </w:p>
    <w:p>
      <w:pPr>
        <w:spacing w:after="0" w:line="192"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On August 16, 2021, the CAC and four other authorities jointly promulgated the Several Provisions on Automotive Data Security Management (for Trial Implementation), which took effect on October 1, 2021. These provisions require that automotive data processors should avoid excessive collection and illegal use of data and adhere to certain protocols such as “no collection by default” and “data masking” when carrying out data processing activities. These provisions emphasize that if it is indeed necessary to provide any important data overseas due to the business needs of an automotive data processer, the automotive data processer must complete a prior security assessment on outbound data transfer and should not provide any important data overseas beyond the scope determined in such security assessment.</w:t>
      </w:r>
    </w:p>
    <w:p>
      <w:pPr>
        <w:spacing w:after="0" w:line="187"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On April 28, 2021, the National Information Security Standardization Technical Committee issued a draft of the Safety Requirements for Data Collected by Internet of Vehicles (IoV), and on October 19, 2021, the National Information Security Standardization Technical Committee further issued the Security Requirements of Vehicle Collected Data (Draft for comments). The Security Requirements of Vehicle Collected Data (Draft for comments) specifies the security requirements on the transfer, storage, outbound transfer and other dispositions of vehicle collected data. Specifically, certain types of vehicle collected data, such as those collected through sensors within the vehicle cockpit and location and route data, should not be transferred outside Chinese mainland. Besides, outbound transfer of operational data should be subject to the data cross-border transfer security assessment conducted by national cyberspace authorities.</w:t>
      </w:r>
    </w:p>
    <w:p>
      <w:pPr>
        <w:spacing w:after="0" w:line="189" w:lineRule="exact"/>
        <w:rPr>
          <w:sz w:val="20"/>
          <w:szCs w:val="20"/>
          <w:color w:val="auto"/>
        </w:rPr>
      </w:pPr>
    </w:p>
    <w:p>
      <w:pPr>
        <w:jc w:val="both"/>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On November 21, 2023, in order to encourage and regulate the application of autonomous vehicles in transport services, the Ministry of Transport issued the Guideline on Transport Safety and Service for Autonomous Vehicles (Trial Implementation). Pursuant to the guideline, transport service on roads using autonomous vehicles shall be carried out within designated areas and shall pass the road traffic safety assessment in accordance with laws. The operators using autonomous vehicles in urban public bus passenger transport business, taxi passenger transport business and general passenger and cargo transport business shall complete the registration as the market entities pursuant to the applicable laws, and the corresponding business categories shall be registered into their business scope. The autonomous vehicles engaged in road transport shall satisfy the requirements of the national standards and technical specifications, complete motor vehicle registration in accordance with laws, obtain motor vehicle license plates and motor vehicle driving licenses. The autonomous-driving transport operators shall assume the main responsibility of safety, and shall clearly inform other traffic participants of their autonomous-driving identity with eye-catching patterns, words or colors on the vehicle body.</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140"/>
          </w:cols>
          <w:pgMar w:left="320" w:top="482" w:right="4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firstLine="440"/>
        <w:spacing w:after="0" w:line="272" w:lineRule="auto"/>
        <w:rPr>
          <w:sz w:val="20"/>
          <w:szCs w:val="20"/>
          <w:color w:val="auto"/>
        </w:rPr>
      </w:pPr>
      <w:r>
        <w:rPr>
          <w:rFonts w:ascii="Times New Roman" w:cs="Times New Roman" w:eastAsia="Times New Roman" w:hAnsi="Times New Roman"/>
          <w:sz w:val="17"/>
          <w:szCs w:val="17"/>
          <w:color w:val="auto"/>
        </w:rPr>
        <w:t>On November 17, 2023, the MIIT, the Ministry of Transport, the Ministry of Public Security and the Ministry of Housing and Urban-Rural Development jointly issued the Notice of Launching the Pilot Program of Market Access and Road Passage for Intelligent Connected Vehicles. Pursuant to such notice, intelligent connected vehicles which have obtained the permits to run on roads shall carry out pilot road traffic in specified areas. Users of the pilot programs shall purchase insurance for their vehicles, apply for vehicle registration, monitor the operation status of vehicles and strengthen the guarantee for vehicle operation safety as required. Pilot automobile manufacturers shall assume the principal responsibility for the quality and production consistency of intelligent connected vehicles, shall be strictly prohibited from any unauthorized change of autopilot function and shall strictly complete the commitment of software upgrading management and record-filing. Pilot users shall assume the principal responsibilities in respect of road traffic safety, network security and data security, and establish sound safety management systems and measures, to ensure vehicle operation safety.</w:t>
      </w:r>
    </w:p>
    <w:p>
      <w:pPr>
        <w:spacing w:after="0" w:line="172"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On July 26, 2024, the Ministry of Natural Resources issued the Circular on Strengthening the Security Management of Surveying and Mapping Geographic Information for Intelligent Connected Vehicles. Pursuant to this circular, the collection, storage, transmission and processing of spatial coordinates, live images (videos, images and other environment perception data), point clouds and their attribute information and other geoinformation data (including road topology data) of intelligent connected vehicles and surrounding road facilities during their operation, service and testing, belong to the surveying and mapping activities specified in the PRC Surveying and Mapping Law, and shall be regulated and administered in accordance with laws and regulations on surveying and mapping. Basic maps, advanced driver assistance maps, high-precision maps and automatic driving maps used in intelligent connected vehicles are electronic navigation maps. The collection, storage, transmission and processing of geoinformation data transmitted back by intelligent connected vehicles as well as the production of maps shall be undertaken by the institutions that have the qualification for producing electronic navigation maps and other surveying and mapping qualifications.</w:t>
      </w:r>
    </w:p>
    <w:p>
      <w:pPr>
        <w:spacing w:after="0" w:line="186"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Regulations on Generative AI. </w:t>
      </w:r>
      <w:r>
        <w:rPr>
          <w:rFonts w:ascii="Times New Roman" w:cs="Times New Roman" w:eastAsia="Times New Roman" w:hAnsi="Times New Roman"/>
          <w:sz w:val="18"/>
          <w:szCs w:val="18"/>
          <w:color w:val="auto"/>
        </w:rPr>
        <w:t>Prior to 2022, the provisions on the generative AI technology are stipulated in the regulations and rules about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internet information services dispersedly. For example, according to the Provisions on the Management of Network Information Content Ecology issued by the CAC at the end of 2019, a network information content service platform must not, among others, (i) utilize new technologies such as deep-learning and virtual reality to engage in activities prohibited by laws and regulations; (ii) engage in online traffic fraud, malicious traffic rerouting and other activities related to fraudulent account, illegal transaction account or maneuver of users’ account; or (iii) infringe a third party’s legitimate rights or seek illegal interests by way of interfering with information display. According to the Administrative Provisions on Online Audio-visual Information Services jointly issued by the CAC, the Ministry of Culture and Tourism and the NRTA on November 18, 2019, the production, release and dissemination of any unauthentic audio-visual information by use of any new applications and technologies bases on deep learning and virtual reality must be labeled in a prominent manner by the online audio-visual information service providers and users. Furthermore, any online audio-visual information service providers and users should not produce, release or disseminate false news by use of new applications and technologies based on deep learning and virtual reality.</w:t>
      </w:r>
    </w:p>
    <w:p>
      <w:pPr>
        <w:spacing w:after="0" w:line="194"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Since the end of 2021, the PRC government authorities specially promulgated certain laws to regulate the algorithmic recommendation and deep synthesis technology which are closely related to the generative AI technology. On December 31, 2021, the CAC, the MIIT, the Ministry of Public Security and the SAMR jointly issued the Administration Provisions on Algorithmic Recommendation of Internet Information Services, which became effective on March 1, 2022. These provisions stipulates that algorithmic recommendation service providers must (i) fulfill their responsibilities for algorithm security, (ii) establish and strengthen management systems for algorithm mechanism examination, ethical review in technology, user registration, information release examination, protection of data security and personal information, anti-telecom and network fraud, security assessment and monitoring, emergency response to security incidents, etc., and (iii) formulate and publish rules governing algorithmic recommendation related service. The provider of algorithmic recommendation services should not use the services to (i) carry out any illegal activity which may endanger national security and social public interest, disturb economic order and social order, or infringe third parties’ legal interest, or (ii) spread any information prohibited by laws or regulations. Besides, it should not take advantage of algorithms to impose unreasonable restrictions on other information service providers, or hinder or obstruct the normal operation of their legal services. The providers of algorithmic recommendation services with the characteristics of public opinion or capacity of social mobilization must complete the filing with the CAC’s filing system within ten business days after the launch of its service.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140"/>
          </w:cols>
          <w:pgMar w:left="320" w:top="482" w:right="4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On November 25, 2022, the CAC, MIIT and Ministry of Public Security jointly issued the Administrative Provisions on Deep Synthesis of Internet Information Services, which took effect on January 10, 2023. According to these provisions, deep synthesis technology refers to any technology that utilizes deep learning, virtual reality or any other generative or synthetic algorithm to produce text, images, audio, video, virtual scenes or other network information. These provisions emphasize that the providers of deep synthesis services, as the primary entities responsible for the information security, should not use deep synthesis services to engage in activities prohibited by laws and regulations. If the CAC and other competent government authorities find that the deep synthesis service has a serious information security risk, they can require the deep synthesis service providers and technical supporters to suspend information update, user account registration or other related services in accordance with their duties and applicable laws. Deep synthesis service providers and technical supporters shall take measures to rectify and eliminate hidden dangers and a violation of such provisions shall subject them to punishment in accordance with the laws and regulations. If the act of deep synthesis services providers and/or technical supporters constitutes a violation of the administration of public security, they shall be punished according to the laws related to the administration of public security. If the act constitutes a crime, such deep synthesis service provider and/or technical supporter shall be prosecuted for criminal responsibility.</w:t>
      </w:r>
    </w:p>
    <w:p>
      <w:pPr>
        <w:spacing w:after="0" w:line="192"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On July 10, 2023, the CAC, MIIT, NDRC, Ministry of Public Security and other PRC government authorities jointly issued the Interim Measures on the Management of Generative AI Services, or the Generative AI Services Measures, which became effective on August 15, 2023. According to the Generative AI Services Measures, “generative AI technology” refers to models and related technology with the ability to generate text, images, audios, videos, or other content, and “generative AI service provider” refers to any organization or individual that utilizes generative AI technology to provide generative AI services (including the organizations or individuals providing such services through the provision of a programmable interface or other means).</w:t>
      </w:r>
    </w:p>
    <w:p>
      <w:pPr>
        <w:spacing w:after="0" w:line="187" w:lineRule="exact"/>
        <w:rPr>
          <w:sz w:val="20"/>
          <w:szCs w:val="20"/>
          <w:color w:val="auto"/>
        </w:rPr>
      </w:pPr>
    </w:p>
    <w:p>
      <w:pPr>
        <w:jc w:val="both"/>
        <w:ind w:left="120" w:firstLine="440"/>
        <w:spacing w:after="0" w:line="252" w:lineRule="auto"/>
        <w:rPr>
          <w:sz w:val="20"/>
          <w:szCs w:val="20"/>
          <w:color w:val="auto"/>
        </w:rPr>
      </w:pPr>
      <w:r>
        <w:rPr>
          <w:rFonts w:ascii="Times New Roman" w:cs="Times New Roman" w:eastAsia="Times New Roman" w:hAnsi="Times New Roman"/>
          <w:sz w:val="18"/>
          <w:szCs w:val="18"/>
          <w:color w:val="auto"/>
        </w:rPr>
        <w:t>Generative AI service providers shall carry out pre-training, optimization training, and other training data processing activities in accordance with applicable laws and regulations, including, among others, (i) using data and basic models with lawful sources, (ii) not infringing the intellectual property rights owned by others, (iii) obtaining the prior consent from individuals in accordance with the applicable laws and regulations if the training data contains any personal information, and (iv) taking effective measures to improve the quality of training data and to enhance the authenticity, accuracy, objectivity and diversity of training data. Generative AI service providers shall also assume the responsibility as a producer of online information content and personal information processor in accordance with applicable laws, fulfill online information security obligations, enter into service agreements with the users, and label images, videos, and other contents generated by use of generative AI technology pursuant to the Administrative Provisions on Deep Synthesis of Internet Information Services. Any generative AI service provider with the characteristics of public opinion or capacity of social mobilization shall conduct security assessment, and complete the formalities for algorithm filing, change or deregistration in accordance with the Administration Provisions on Algorithmic Recommendation of Internet Information Services. The generative AI service providers who violate the Generative AI Services Measures will be punished in accordance with the applicable laws and regulations. If there is no provision in laws or regulations, the competent government authority shall, in accordance with its functions and duties, issue a warning to such generative AI services providers, circulate a notice of criticism and order such generative AI services providers to correct within a time limit. Those who refuse to make corrections or whose circumstances are serious shall be ordered to suspend the provision of relevant services. If the violation of the Generative AI Services Measures by such generative AI services providers constitutes an act violating the administration of public security, they shall be punished according to the laws related to the administration of public security. If the violation constitutes a crime, such generative AI service provider shall be prosecuted for criminal responsibility.</w:t>
      </w:r>
    </w:p>
    <w:p>
      <w:pPr>
        <w:spacing w:after="0" w:line="1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140"/>
          </w:cols>
          <w:pgMar w:left="320" w:top="482" w:right="4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On September 7, 2023, the PRC Ministry of Science and Technology and other nine PRC government authorities jointly issued the Measures for Science and Technology Ethics Reviews (for Trial Implementation). According to these measures, organizations conducting life sciences, medicine, artificial intelligence or other science and technology activities, of which the research content involves sensitive areas of science and technology ethics, shall establish a science and technology ethics review committee, and the research and development of algorithm models, applications, and systems with the capability to mobilize public opinions and guide social consciousness shall be subject to the ethics review. Moreover, as one of the key contents of the ethics review, with respect to the science and technology activities involving data and algorithms, (i) the data collection, data storage, data processing, data use and other data handling activities, as well as the research and development of new data technologies, shall comply with relevant national data security and personal information protection laws and regulations, and there should be proper data security risk monitoring and contingency plans; and (ii) the design, implementation and application of algorithms, models and systems shall adhere to the principles of fairness, equity, transparency, reliability and controllability, and comply with relevant national requirements.</w:t>
      </w:r>
    </w:p>
    <w:p>
      <w:pPr>
        <w:spacing w:after="0" w:line="194"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On March 7, 2025, the CAC and other three PRC government authorities jointly issued the Measures for Identification of AI Generated Synthetic Contents, which took effect on September 1, 2025. According to these measures, identifications of AI-generated synthetic contents include explicit identifications and implicit identifications, among which, (i) explicit identifications refer to the identifications added to the generated synthetic contents or interactive scene interface, which are presented in text, sound, graphics, etc., and may be clearly perceived by users, and (ii) implicit identification refers to the identifications added to the file data of generated synthetic contents by taking technical measures, which are not easily perceived by users. If the generated synthetic services provided by the service providers fall within the scope of intelligent dialogue, intelligent writing, synthetic voice, face generation, immersive scene generation or other deep synthesis services with the function of generating or significantly changing information content, which may lead to public confusion or misidentification, explicit identifications shall be added to the generated synthesis contents. Service providers shall add the implicit identifications in the metadata of the documents of generated synthetic contents, which shall include the attribute information of the generated synthetic contents, name or code of the service providers, content serial number and other production element information. Meanwhile, the service providers are encouraged to add implicit identifications in such forms as digital watermarks, to the generated synthetic contents.</w:t>
      </w:r>
    </w:p>
    <w:p>
      <w:pPr>
        <w:spacing w:after="0" w:line="192"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We had completed the necessary security assessment and algorithm filing in accordance with the Generative AI Services Measures and other applicable laws and regulations before we launched ERNIE Bot to the public.</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Regulations on News Display</w:t>
      </w:r>
    </w:p>
    <w:p>
      <w:pPr>
        <w:spacing w:after="0" w:line="121"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Displaying news on a website and disseminating news through the internet is highly regulated in the PRC. The Provisional Measures for Administrating Internet Websites Carrying on the News Displaying Business, jointly promulgated by the State Council News Office and the MIIT in November 2000, require an ICP operator (other than a government authorized news unit) to obtain an approval from the State Council News Office to post news on its website or disseminate news through the internet. Furthermore, the disseminated news must come from government-approved sources pursuant to contracts between the ICP operator and the sources, copies of which must be filed with the government authorities.</w:t>
      </w:r>
    </w:p>
    <w:p>
      <w:pPr>
        <w:spacing w:after="0" w:line="183"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In May 2017, the CAC issued the Provisions on the Administration of Internet News Information Services and their implementing rules, which became effective on June 1, 2017. Pursuant to these provisions and their implementing rules, if an entity intends to provide internet news information service, it is required to obtain an approval from the State Council News Office and receive an Internet News Information Service License. Internet news information service refers to editing, publishing and reprinting and the dissemination platform service of internet news through internet websites, mobile apps, forums, blogs, micro-blogs, official accounts, instant message tools, live-streaming and other similar means. Pursuant to these provisions, no internet news information service organizations may take the form of a foreign-invested enterprise, whether a joint venture or a wholly foreign-owned enterprise, and no cooperation between internet news information service organizations and foreign-invested enterprises is allowed prior to the security evaluation by the CAC. On April 16, 2025, the NDRC, SAMR and the Ministry of Commerce issued the Negative List for Market Access (2025 Version), which specifies the prohibition of illegal engagement in news media business, and further emphasizes that non-state capital should not engage in the gathering, editing, broadcasting and distribution of news information. Baidu Netcom obtained the Internet News Information Service License, which permits it to publish internet news pursuant to the PRC laws and regulations, in December 2006. As of the date of this annual report, Baidu Netcom has completed the renewal of such license, and such renewed license is valid until October 15, 2027.</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140"/>
          </w:cols>
          <w:pgMar w:left="320" w:top="482" w:right="4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Regulations on Internet Culture Activities</w:t>
      </w:r>
    </w:p>
    <w:p>
      <w:pPr>
        <w:spacing w:after="0" w:line="121" w:lineRule="exact"/>
        <w:rPr>
          <w:sz w:val="20"/>
          <w:szCs w:val="20"/>
          <w:color w:val="auto"/>
        </w:rPr>
      </w:pPr>
    </w:p>
    <w:p>
      <w:pPr>
        <w:jc w:val="both"/>
        <w:ind w:left="120" w:firstLine="440"/>
        <w:spacing w:after="0" w:line="252" w:lineRule="auto"/>
        <w:rPr>
          <w:sz w:val="20"/>
          <w:szCs w:val="20"/>
          <w:color w:val="auto"/>
        </w:rPr>
      </w:pPr>
      <w:r>
        <w:rPr>
          <w:rFonts w:ascii="Times New Roman" w:cs="Times New Roman" w:eastAsia="Times New Roman" w:hAnsi="Times New Roman"/>
          <w:sz w:val="18"/>
          <w:szCs w:val="18"/>
          <w:color w:val="auto"/>
        </w:rPr>
        <w:t>The Provisional Measures for the Internet Culture Administration, promulgated by the Ministry of Culture, the predecessor of the Ministry of Culture and Tourism, and with the latest amendment becoming effective in December 2017, require ICP operators engaging in “internet culture activities” to obtain a permit from the Ministry of Culture. The “internet culture activities” include, among other things, online dissemination of internet cultural products and the production, reproduction, importation, distribution and broadcasting of internet cultural products. In May 2019, the Ministry of Culture and Tourism issued the Circular regarding Adjusting the Scope of Approval of Internet Culture Business Permit and Further Regulating Approval Matters to adjust the applicable scope of the Internet Culture Business Permit. Pursuant to the circular, the Ministry of Culture and Tourism will no longer be the authority supervising the online game industry and therefore the business scope of an Internet Culture Business Permit issued by it and its local counterparts will only cover internet cultural products including online music, online plays or programs, online performance, online works of art, online cartoon and exhibition and online matches, but exclude online games. Imported internet cultural products are subject to content review by the Ministry of Culture and Tourism before they are disseminated online, while domestic internet cultural products must be filed with the local branch of the Ministry of Culture within 30 days following the online dissemination. Service providers are also required to conduct self-review of the content of internet cultural products before they are put on the internet or submitted to the Ministry of Culture for approvals or filings. Baidu Netcom was granted an Internet Culture Business Permit in April 2007, which was last renewed again in March 2023 and remains valid until April 2026. Some other entities in our group have also obtained an Internet Culture Business Permit.</w:t>
      </w:r>
    </w:p>
    <w:p>
      <w:pPr>
        <w:spacing w:after="0" w:line="197"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Several Suggestions on the Development and Administration of Internet Music, issued by the Ministry of Culture and becoming effective in November 2006, reiterate the requirement for an internet service provider to obtain the Internet Culture Business Permit to carry on any business of internet music products. In addition, foreign investors are prohibited from engaging in the internet culture business operation.</w:t>
      </w:r>
    </w:p>
    <w:p>
      <w:pPr>
        <w:spacing w:after="0" w:line="176"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In October 2015, the Ministry of Culture promulgated a notice, which took effect on January 1, 2016, to further strengthen its regulation over online music, including requiring online platforms that allow users to upload self-created or performed music to set up real-time monitoring systems and requiring online music service providers to make quarterly filings of information related to their content self-review with the local counterpart of the Ministry of Culture from April 1, 2016.</w:t>
      </w:r>
    </w:p>
    <w:p>
      <w:pPr>
        <w:spacing w:after="0" w:line="180"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Regulations for the Administration of Audio and Video Products, as released by the State Council in December 2001 and last amended in December 2024, require that the publication, production, duplication, importation, wholesale, retail and renting of audio and video products are subject to a license issued by competent authorities.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Regulations on Internet Publishing</w:t>
      </w:r>
    </w:p>
    <w:p>
      <w:pPr>
        <w:spacing w:after="0" w:line="121" w:lineRule="exact"/>
        <w:rPr>
          <w:sz w:val="20"/>
          <w:szCs w:val="20"/>
          <w:color w:val="auto"/>
        </w:rPr>
      </w:pPr>
    </w:p>
    <w:p>
      <w:pPr>
        <w:jc w:val="both"/>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In February 2016, the State Administration of Press, Publication, Radio, Film and Television (currently known as the National Press and Publication Administration, or the NPPA), and the MIIT jointly issued the Administrative Provisions on Internet Publishing Service, which took effect on March 10, 2016. These provisions require that any entity engaged in the provision of online publications to the public via information networks obtain an Internet Publication License from the NPPA. Online publications refer to digital works with editing, production, processing and other publishing features, provided to the public via information networks, which mainly include: (i) informative and thoughtful text, pictures, maps, games, animation, audio and video digitizing books and other original digital works in fields such as literature, art and science, (ii) digital works consistent with the content of published books, newspapers, periodicals, audio-visual products and electronic publications, (iii) the network literature database or other digital works formed through aforementioned works by selecting, organizing, compiling and other means, and (iv) other types of digital works determined by the NPPA. The servers and storage facilities used by internet publishers must be located within the territory of Chinese mainland. These provisions also provide that when an internet service provider provides manual intervention search ranking, advertising, promotion and other services to customers that provide internet publishing services, it is required to check and examine the Internet Publication Licenses obtained by the customers and the business scope of such licenses.</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140"/>
          </w:cols>
          <w:pgMar w:left="320" w:top="482" w:right="4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Regulations on Production and Operation of Audio/Video Programs</w:t>
      </w:r>
    </w:p>
    <w:p>
      <w:pPr>
        <w:spacing w:after="0" w:line="121"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Under the Regulations on the Administration of Production of Radio and Television Programs issued by the State Administration of Radio, Film and Television, or the SARFT (currently known as NRTA) in July 2004 and lastly amended and took effective on June 3, 2025, any entities that engage in the production of radio and television programs are required to apply for a Permit for Production and Operation of Radio and TV Programs from the competent administrative authority. Entities with this permit must conduct their business operations in compliance with the approved scope of production and operation.</w:t>
      </w:r>
    </w:p>
    <w:p>
      <w:pPr>
        <w:spacing w:after="0" w:line="183"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On March 17, 2010, the SARFT issued the Internet Audio/Video Program Services Categories (Provisional), or the Provisional Categories, which were amended on March 10, 2017. The amended Provisional Categories classified internet audio/video programs into four categories, which are further divided into seventeen sub-categories.</w:t>
      </w:r>
    </w:p>
    <w:p>
      <w:pPr>
        <w:spacing w:after="0" w:line="176"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In 2022, the PRC government authorities further strengthened the supervision on the network dramas (including network mini plays). On April 29, 2022, the NRTA issued the Circular on Matters regarding Administration on Service of Domestic Network Dramas Distribution License, which took effect on June 1, 2022. Pursuant to this circular, the PRC government adopts a licensing system to the distribution of domestic network dramas, and the distribution of domestic key network dramas is required to obtain the Network Dramas Distribution License issued by the competent government authorities of radio and television in accordance with the applicable laws. On November 14, 2022, the NRTA issued the Circular on Further Strengthening the Management of the Network Mini Plays and Implementing the Creation Improvement Plan, which became effective on the same date. Network mini plays refers to the network dramas with dozens of seconds to around 15 minutes running for each episode. Pursuant to this circular, the operators of network mini plays are required to obtain the Online Audio/Video Program Transmission License or be managed by the administrative authorities of radio and television in accordance with applicable regulations. All network mini plays to be transmitted online must have passed the content review by the administrative authorities of radio and television and must have obtained the Network Dramas Distribution License or completed the filing of internet audio and video programs in accordance with the regulations on network dramas.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Regulations on Broadcasting Audio/Video Programs through the Internet</w:t>
      </w:r>
    </w:p>
    <w:p>
      <w:pPr>
        <w:spacing w:after="0" w:line="121"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In December 2007, the SARFT and the MIIT jointly promulgated the Rules for the Administration of Internet Audio and Video Program Services, commonly known as “Document 56,” which took effect on January 31, 2008 and was further amended on August 28, 2015. Pursuant to Document 56, an online audio/video service provider must obtain an Online Audio/Video Program Transmission License, which has a term of three years, and operate in accordance with the scope of the business as stipulated in the license. Furthermore, Document 56 requires all online audio/ video service providers to be either wholly state-owned or state-controlled. According to some official answers to press inquiries published on the SARFT’s website in February 2008, officials from the SARFT and the MIIT clarified that online audio/video service providers that already had been operating lawfully prior to the issuance of Document 56 may re-register and continue to operate without becoming state-owned or controlled; provided that the providers have not engaged in any unlawful activities. This exemption will not be granted to online audio/video service providers established after Document 56 was issued. In addition, foreign-invested enterprises are not allowed to engage in the above-mentioned businesses. On March 16, 2018, the NRTA issued the Notice on Further Regulating the Transmission Orders of Internet Audio and Video Program, pursuant to which, among others, (i) online streaming platforms should not illegally capture, edit, or reprogram audio-video programs, (ii) the movie clips and prevue broadcasted on the platform must come from the licensed broadcasting and television programs; and (iii) the platform must verify qualifications of sponsors for programs on the platform and must refrain from accepting sponsorship or advertising from or cooperating in any other form with any unlicensed online audio/video service providers.</w:t>
      </w:r>
    </w:p>
    <w:p>
      <w:pPr>
        <w:spacing w:after="0" w:line="187" w:lineRule="exact"/>
        <w:rPr>
          <w:sz w:val="20"/>
          <w:szCs w:val="20"/>
          <w:color w:val="auto"/>
        </w:rPr>
      </w:pPr>
    </w:p>
    <w:p>
      <w:pPr>
        <w:jc w:val="both"/>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According to Document 56 and other laws and regulations, audio-video programs provided by the entities supplying internet audio-video program services should not contain any illegal content or other content prohibited by the laws and regulations, such as any content against the basic principles in the PRC Constitution, any content that damages the sovereignty of the country or national security, and any content that disturbs social order or undermine social stability. An audio-video program that has already been broadcast must be retained in full for at least 60 days. Movies, television programs and other media content used as internet audio-video programs must comply with the administrative regulations on programs broadcasts through radio, movie and television channels. Entities providing services related to internet audio-video programs should immediately delete the audio-video programs violating laws and regulations, keep relevant records, report to authorities and implement other regulatory requirements.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140"/>
          </w:cols>
          <w:pgMar w:left="320" w:top="482" w:right="4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On October 31, 2018, the NRTA issued the Notice on Further Strengthening the Management of Radio and Television and Network Audiovisual Cultural Programs, or Notice 60. According to Notice 60, all radio and television broadcasting institutes, network audiovisual program service institutes and program production institutes must stick to the right political direction and strengthen value guidance; pursue people-centered creative orientation to curb bad tendencies such as pursuing celebrities, pan-entertainment and so on; persist in providing high-quality content, constantly innovate programs, and strictly control the remuneration of guests; and strengthen the governance of TV series, network series (including network movies) to promote the benign development of the industry; must strengthen the use and management of ratings (click-through rate) survey data and resolutely crack down on ratings (click-through rate) forgeries, etc.</w:t>
      </w:r>
    </w:p>
    <w:p>
      <w:pPr>
        <w:spacing w:after="0" w:line="189"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On May 27, 2016, the State Administration of Press, Publication, Radio, Film and Television issued the Notice on Relevant Issues concerning Implementing the Approval Works of Upgrading Mobile Internet Audio-Video Program Service. This notice provides that the mobile internet audio-video program services shall be deemed internet audio-video program service. Entities which have obtained the approvals to provide the internet audio-video program services may use mobile WAP websites or mobile applications to provide audio-video program services. Entities with regulatory approvals may operate mobile applications to provide the audio-video program services. The types of the programs should be within the permitted scope as provided in the licenses and such mobile applications are required to be filed with the NRTA and/or SFB.</w:t>
      </w:r>
    </w:p>
    <w:p>
      <w:pPr>
        <w:spacing w:after="0" w:line="187"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On October 8, 2021, the Administrative Provisions on Minor-oriented Programs was revised by the NRTA and has become effective on the same date. According to these provisions, network audio-visual programs with minors as their main participants or recipients should not contain any contents which are harmful to the minors, such as violence, pornography, heresy, superstition, drug taking and other illegal contents. On November 18, 2019, the CAC, the Ministry of Culture and Tourism and the NRTA jointly issued the Administrative Provisions on Online Audio-visual Information Services, or Circular No. 3, which took effective on January 1, 2020. According to the Circular No. 3, Online Audio-visual Information Services refer to the services of producing, publishing and disseminating audio-visual information offered to the public via internet platforms, such as websites and application programs. Circular No. 3 requires that no individual or entity is allowed to (i) use the online audio-visual information services or related technologies to engage in any activities which may jeopardize national security, undermine social stability or infringe legitimate right of others; (ii) produce, publish or disseminate any audio-visual information prohibited by the laws and regulations, such as internet rumors. A provider of audio-visual information services must establish, maintain and optimize a rumors refuting regime, under which once it identifies that any user of audio-visual information services produces, publishes or disseminates any rumor by virtue of the technology of producing forged pictures or audio-visual information based on deep-learning or virtual reality, such provider must take measures to refute such rumors in a timely manner and file such situations with the competent authorities governing internet information, culture and tourism, and radio and television.</w:t>
      </w:r>
    </w:p>
    <w:p>
      <w:pPr>
        <w:spacing w:after="0" w:line="187"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Baidu Netcom has renewed its Online Audio/Video Program Transmission License, which remains valid until July 2027. Beijing iQIYI has an Online Audio/Video Program Transmission License that is valid until October 2027. Another entity in our group has an Online Audio/Video Program Transmission License that is valid until March 2026 and is in the process of renewing.</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140"/>
          </w:cols>
          <w:pgMar w:left="320" w:top="482" w:right="4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Regulations on Live Streaming</w:t>
      </w:r>
    </w:p>
    <w:p>
      <w:pPr>
        <w:spacing w:after="0" w:line="121" w:lineRule="exact"/>
        <w:rPr>
          <w:sz w:val="20"/>
          <w:szCs w:val="20"/>
          <w:color w:val="auto"/>
        </w:rPr>
      </w:pPr>
    </w:p>
    <w:p>
      <w:pPr>
        <w:jc w:val="both"/>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In November 2016, the CAC promulgated the Administrative Provisions on Internet Live-streaming Service, which took effect on December 1, 2016. Pursuant to the Administrative Provisions, internet live-streaming service refers to continuous publishing of real-time information to the public on internet by means of video, audio, graphics, text or other forms, and an internet live-streaming service provider refers to an operator of the platform providing internet live-streaming service. In accordance with the administrative provisions, an internet live-streaming service provider must verify and register the identity information of publishers of live-streaming programs and users on its platform, and file the identity information of the publishers with the local government authority for record. Any internet live-streaming service provider engaging in news service must obtain internet news information service qualification and operate within the permitted scope of such qualification. In September 2016, the State Administration of Press, Publication, Radio, Film and Television issued the Circular on Strengthening Administration of Live-streaming Service of Network Audio/Video Programs. Pursuant to the circular, any entity that intends to engage in live audio/video broadcasting of major political, military, economic, social, cultural or sport events or activities, or live audio/video broadcasting of general social or cultural group activities, general sporting events or other organizational events, must obtain an Online Audio/Video Program Transmission License with a permitted operation scope covering the above business activities. Any entity or individual without qualification is prohibited from broadcasting live audio/radio programs involving news, variety shows, sports, interviews, commentary or other forms of programs through any online live-streaming platform or online live broadcasting booth, nor are they permitted to start a live broadcasting channel for any audio or radio programs. In addition, no entity or individual other than licensed radio stations or television stations is allowed to use “radio station,” “television station,” “broadcasting station,” “TV” or other descriptive terms exclusive to television and radio broadcasting organizations to engage in any business on the internet without approval. Furthermore, the CAC issued a notice in July 2017 which requires operators of internet news and information reproduction and broadcasting services, including commercial website apps that contain live-streaming features, and other internet live-streaming services, to file with the local CAC starting from July 15, 2017. The Circular on Tightening the Administration of Internet Live-Streaming Services jointly issued by the MIIT, the CAC and several other government agencies in August 2018 reiterates the license requirements for online-streaming service providers and requires the operator to file with the local public security authority within 30 days after it commences the service online.</w:t>
      </w:r>
    </w:p>
    <w:p>
      <w:pPr>
        <w:spacing w:after="0" w:line="188" w:lineRule="exact"/>
        <w:rPr>
          <w:sz w:val="20"/>
          <w:szCs w:val="20"/>
          <w:color w:val="auto"/>
        </w:rPr>
      </w:pPr>
    </w:p>
    <w:p>
      <w:pPr>
        <w:jc w:val="both"/>
        <w:ind w:left="120" w:firstLine="440"/>
        <w:spacing w:after="0" w:line="252" w:lineRule="auto"/>
        <w:rPr>
          <w:sz w:val="20"/>
          <w:szCs w:val="20"/>
          <w:color w:val="auto"/>
        </w:rPr>
      </w:pPr>
      <w:r>
        <w:rPr>
          <w:rFonts w:ascii="Times New Roman" w:cs="Times New Roman" w:eastAsia="Times New Roman" w:hAnsi="Times New Roman"/>
          <w:sz w:val="18"/>
          <w:szCs w:val="18"/>
          <w:color w:val="auto"/>
        </w:rPr>
        <w:t>The SAMR has promulgated the Guidance regarding Strengthening the Supervision over Marketing Activities by Internet Live-Streaming in November 2020 to further regulate marketing activities by internet live-streaming. The NRTA also issued a circular on the Strengthening Management of Live-Streaming of Internet Shows and Electronic Commerce in November 2020 to provide instruction to online marketing activities through live-streaming. Platforms providing live-streaming of internet show or electronic commerce must register with National Internet Video-audio Platform Information Management System no later than November 30, 2020. The overall ratio of front-line content reviewers to live-streaming rooms on such platforms should be no less than 1:50. The training for content reviewers should be strengthened and content reviewers who have passed the training should be registered in the Reviewer Information Management System. A platform must report the number of its live-streaming rooms, streamers and content reviewers to the provincial branch of the NRTA on a quarterly basis. internet show live-streaming platforms must tag content of live-streaming rooms and corresponding streamers by category. A streamer cannot change the category of the programs tagged in his or her live-streaming room without prior approval from the platform. Users that are minors or without real-name registration are prohibited from virtual tipping, and platforms must cap the amount of virtual tipping per time, per day, and per month. When the virtual tipping by a user reaches half of the daily/monthly limit, a consumption notification from the platform and a confirmation from the user by text messages or other means are required before processing the next transaction. When the amount of virtual tipping by a user reaches the daily/ monthly limit, the platform must suspend the virtual tipping function for such user for that day or month. To host any electronic commerce promotion events such as E-commerce Festival, E-commerce Day or Promotion Day in the forms of live-streaming rooms, live performances, live variety shows and other live programs, the platforms should register the information of guests, streamers, content and settings with the local branch of NRTA 14 business days in advance. internet electronic commerce live-streaming platforms should conduct qualification examination and real-name authentication on businesses and individuals providing live-streaming marketing services and keep complete examination and authentication records, and should not enable imposters or businesses or individuals without qualification or real-name registration to conduct live-streaming marketing services.</w:t>
      </w:r>
    </w:p>
    <w:p>
      <w:pPr>
        <w:spacing w:after="0" w:line="191"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On February 9, 2021, the CAC and six other authorities jointly promulgated the Guiding Opinions on Strengthening the Standardized Management of Online Live Streaming, which became effective on the same date. Pursuant to these opinions, online live streaming platforms are required to, among others, (i) establish and improve their system for standardized classified and hierarchical management of live streaming accounts, the management rules for online rewards services, and the management system for sales through live streaming, (ii) set limits on the maximum amount of rewards accepted by a live streamer during a single live stream, and (iii) set a reasonable upper limit for the value of a single virtual product and the amount of a single reward.</w:t>
      </w:r>
    </w:p>
    <w:p>
      <w:pPr>
        <w:spacing w:after="0" w:line="187"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On June 8, 2022, the NRTA and the Ministry of Culture and Tourism jointly released the Code of Conduct for Livestreaming Hosts, which came into effect on the same day. According to such code, online performance platforms, online audio-visual platforms and brokerage agencies must strictly perform their statutory obligations, establish and improve the entry, training, daily management, performance scoring files and “red and yellow card” management and other internal systems and norms on livestreaming hosts. The livestreaming hosts who violate the applicable regulations and rules should be warned, and the livestreaming hosts with serious problems and repeated indiscipline shall be included in the “blacklist” or “warning list” and be prohibited from conducting any livestreaming activities by use of any account of any platform.</w:t>
      </w:r>
    </w:p>
    <w:p>
      <w:pPr>
        <w:sectPr>
          <w:pgSz w:w="11900" w:h="16838" w:orient="portrait"/>
          <w:cols w:equalWidth="0" w:num="1">
            <w:col w:w="11140"/>
          </w:cols>
          <w:pgMar w:left="320" w:top="482" w:right="439" w:bottom="1440" w:gutter="0" w:footer="0" w:header="0"/>
        </w:sectPr>
      </w:pP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118</w:t>
      </w:r>
    </w:p>
    <w:p>
      <w:pPr>
        <w:sectPr>
          <w:pgSz w:w="11900" w:h="16838" w:orient="portrait"/>
          <w:cols w:equalWidth="0" w:num="1">
            <w:col w:w="11140"/>
          </w:cols>
          <w:pgMar w:left="320" w:top="482" w:right="439" w:bottom="1440" w:gutter="0" w:footer="0" w:header="0"/>
          <w:type w:val="continuous"/>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On April 16, 2025, the NDRC, SAMR and the MOC issued the Negative List for Market Access (2025 Version), which provides that, among others, non-state capital should not engage in live streaming and broadcasting of events and activities involving politics, economy, military affairs, diplomatic affairs, major social events, culture, science and technology, public health, education and sports and such other activities and events related to political direction, public opinion orientation and value orientation. The scope of these restricted subject matters for live streaming and broadcasting is relatively broad and vague, and is subject to further clarifications and interpretations by the regulator.</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Regulations on Internet Map Services</w:t>
      </w:r>
    </w:p>
    <w:p>
      <w:pPr>
        <w:spacing w:after="0" w:line="121"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According to the Administrative Rules of Surveying Qualification Certificate, as most recently amended by Ministry of Natural Resources on June 7, 2021, which became effective on July 1, 2021, the provision of internet map services by any non-surveying and mapping enterprise is subject to the approval of the competent departments of natural resources and requires a Surveying and Mapping Qualification Certificate. internet maps refer to maps called or transmitted through the internet. Pursuant to the Notice on Further Strengthening the Administration of Internet Map Services Qualification issued by the National Administration of Surveying, Mapping and Geo-information in December 2011, any entity without a Surveying and Mapping Qualification Certificate for internet map services is prohibited from providing any internet map services. According to the Provisions on the Administration of Examination of Maps most recently amended on July 24, 2019, subject to limited exceptions, an enterprise must first apply for an approval by the regulatory authority, if it intends to engage in any of the following activities: (i) publication, display, production, posting, import or export of a map or a product attached with a map, (ii) re-publication, re-display, re-production, re-posting, re-import or re-export of a map the content of which has been changed after it is approved, or other commercial products attached with such a map, and (iii) publication or display of a map or a product attached with a map overseas. The operator of an approved internet map is required to file the updated contents of the map with the regulatory authority semiannually, and re-apply for a new approval of the map when the two-year term of the existing approval expires.</w:t>
      </w:r>
    </w:p>
    <w:p>
      <w:pPr>
        <w:spacing w:after="0" w:line="190"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Baidu Netcom provides online traffic information inquiry services as well as internet map services and has obtained a Surveying and Mapping Qualification Certificate for internet map services. Another entity in our group has also obtained the Surveying and Mapping Qualification Certificate. In accordance with the Provisions on the Administration of Examination of Maps, we have applied and will apply for examination and approval of the continually iterative and updated maps that are used in our products.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Regulations on Intellectual Property Rights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PRC has adopted legislation governing intellectual property rights, including patents, copyrights, trademarks, and domain names.</w:t>
      </w:r>
    </w:p>
    <w:p>
      <w:pPr>
        <w:spacing w:after="0" w:line="223"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Patent</w:t>
      </w:r>
      <w:r>
        <w:rPr>
          <w:rFonts w:ascii="Times New Roman" w:cs="Times New Roman" w:eastAsia="Times New Roman" w:hAnsi="Times New Roman"/>
          <w:sz w:val="18"/>
          <w:szCs w:val="18"/>
          <w:color w:val="auto"/>
        </w:rPr>
        <w:t>. The PRC Patent Law provides for patentable inventions, utility models and designs, which must meet three conditions: novelty,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inventiveness and practical applicability. The State Intellectual Property Office under the State Council is responsible for examining and approving patent applications. A patent is valid for a term of twenty years in the case of an invention, a term of fifteen years in the case of designs and a term of ten years in the case of utility models.</w:t>
      </w:r>
    </w:p>
    <w:p>
      <w:pPr>
        <w:spacing w:after="0" w:line="180" w:lineRule="exact"/>
        <w:rPr>
          <w:sz w:val="20"/>
          <w:szCs w:val="20"/>
          <w:color w:val="auto"/>
        </w:rPr>
      </w:pPr>
    </w:p>
    <w:p>
      <w:pPr>
        <w:jc w:val="both"/>
        <w:ind w:left="120" w:right="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Copyright</w:t>
      </w:r>
      <w:r>
        <w:rPr>
          <w:rFonts w:ascii="Times New Roman" w:cs="Times New Roman" w:eastAsia="Times New Roman" w:hAnsi="Times New Roman"/>
          <w:sz w:val="18"/>
          <w:szCs w:val="18"/>
          <w:color w:val="auto"/>
        </w:rPr>
        <w:t>. The PRC Copyright Law and its implementation rules extend copyright protection to products disseminated over the internet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computer software. There is a voluntary registration system administered by the China Copyright Protection Center. Creators of protected works enjoy personal and property rights, including, among others, the right of disseminating the works through information networks.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140"/>
          </w:cols>
          <w:pgMar w:left="320" w:top="482" w:right="4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both"/>
        <w:ind w:left="120" w:firstLine="440"/>
        <w:spacing w:after="0" w:line="252" w:lineRule="auto"/>
        <w:rPr>
          <w:sz w:val="20"/>
          <w:szCs w:val="20"/>
          <w:color w:val="auto"/>
        </w:rPr>
      </w:pPr>
      <w:r>
        <w:rPr>
          <w:rFonts w:ascii="Times New Roman" w:cs="Times New Roman" w:eastAsia="Times New Roman" w:hAnsi="Times New Roman"/>
          <w:sz w:val="18"/>
          <w:szCs w:val="18"/>
          <w:color w:val="auto"/>
        </w:rPr>
        <w:t>Pursuant to the PRC regulations, rules and interpretations, ICP operators will be jointly liable with the infringer if they (a) participate in, assist in or abet infringing activities committed by any other person through the internet, (b) are or should be aware of the infringing activities committed by their website users through the internet, or (c) fail to remove infringing content or take other action to eliminate infringing consequences after receiving a warning with evidence of such infringing activities from the copyright holder. The court will determine whether an internet service provider should have known of their internet users’ infringing activities based on how obvious the infringing activities are by taking into consideration a number of factors, including (i) the information management capabilities that the provider should have based on the possibility that the services provided by it may trigger infringing acts, (ii) the degree of obviousness of the infringing content, (iii) whether it has taken the initiative to select, edit, modify or recommend the contents involved, (iv) whether it has taken positive and reasonable measures against infringing acts, and (v) whether it has set up convenient programs to receive notices of infringement and made timely and reasonable responses to the notices. Where an internet service provider has directly obtained economic benefits from any contents made available by an internet user, it should have a higher duty of care with respect to the internet user’s act of infringement of others’ copyrights. Advertisements placed for or other benefits particularly connected with specific contents may be deemed as direct economic benefits from such contents, but general advertising fees or service fees charged by an internet service provider for its internet services will not be included. In addition, where an ICP operator is clearly aware of the infringement of certain content against another’s copyright through the internet, or fails to take measures to remove relevant contents upon receipt of the copyright holder’s notice, and as a result, it damages the public interest, the ICP operator could be ordered to stop the tortious act and be subject to other administrative penalties such as confiscation of illegal income and fines. An ICP operator is also required to retain all infringement notices for a minimum of six months and to record the content, display time and IP addresses or the domain names related to the infringement for a minimum of 60 days.</w:t>
      </w:r>
    </w:p>
    <w:p>
      <w:pPr>
        <w:spacing w:after="0" w:line="193"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Pursuant to the Copyright Law and its implementation rules, creators of protected works enjoy personal and property rights such as the right of disseminating the works through information networks. In addition, the Regulations for the Protection of Information Network Transmission Right promulgated by the State Council on May 18, 2006, and amended on January 30, 2013, specify the rules on a safe harbor for use of copyrights and copyright management technology. An internet service provider may be exempted from liabilities for providing links to infringing or illegal content or providing other internet services which are used by its users to infringe others’ copyright, if it does not know and does not have constructive knowledge that such content is infringing upon other parties’ rights or is illegal. However, if the legitimate owner of the content notifies the internet service provider and requests removal of the links to the infringing content, the internet service provider would be deemed to have constructive knowledge upon receipt of such notification, but would be exempted from liabilities if it removes or disconnects the links to the infringing content at the request of the legitimate owner. At the request of the alleged infringer, the internet service provider should immediately restore links to content previously disconnected upon receipt of initial non-infringing evidence.</w:t>
      </w:r>
    </w:p>
    <w:p>
      <w:pPr>
        <w:spacing w:after="0" w:line="194"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have adopted measures to mitigate copyright infringement risks. For example, our policy is to remove links to web pages and materials uploaded by the users if we know these web pages or materials contain materials that infringe upon third-party rights or if we are notified by the legitimate copyright holder of the infringement with proper evidence.</w:t>
      </w:r>
    </w:p>
    <w:p>
      <w:pPr>
        <w:spacing w:after="0" w:line="174"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Software Products</w:t>
      </w:r>
      <w:r>
        <w:rPr>
          <w:rFonts w:ascii="Times New Roman" w:cs="Times New Roman" w:eastAsia="Times New Roman" w:hAnsi="Times New Roman"/>
          <w:sz w:val="18"/>
          <w:szCs w:val="18"/>
          <w:color w:val="auto"/>
        </w:rPr>
        <w:t>. The Regulation for the Protection of Computer Software promulgated by the State Council on December 20, 2001 and last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amended on January 30, 2013. To further implementing this regulation, the Computer Software Copyright Registration Measures promulgated by the China Copyright Office on February 20, 2002, regulates software copyright registration, exclusive licensing contracts of software copyright and transfer agreements. Although such registration is not mandatory under applicable PRC laws, software copyright owners are encouraged to go through the registration process and registered software may receive better protection.</w:t>
      </w:r>
    </w:p>
    <w:p>
      <w:pPr>
        <w:spacing w:after="0" w:line="183" w:lineRule="exact"/>
        <w:rPr>
          <w:sz w:val="20"/>
          <w:szCs w:val="20"/>
          <w:color w:val="auto"/>
        </w:rPr>
      </w:pPr>
    </w:p>
    <w:p>
      <w:pPr>
        <w:jc w:val="both"/>
        <w:ind w:left="120" w:right="20" w:firstLine="440"/>
        <w:spacing w:after="0" w:line="226" w:lineRule="exact"/>
        <w:rPr>
          <w:sz w:val="20"/>
          <w:szCs w:val="20"/>
          <w:color w:val="auto"/>
        </w:rPr>
      </w:pPr>
      <w:r>
        <w:rPr>
          <w:rFonts w:ascii="Times New Roman" w:cs="Times New Roman" w:eastAsia="Times New Roman" w:hAnsi="Times New Roman"/>
          <w:sz w:val="18"/>
          <w:szCs w:val="18"/>
          <w:i w:val="1"/>
          <w:iCs w:val="1"/>
          <w:color w:val="auto"/>
        </w:rPr>
        <w:t>Trademark</w:t>
      </w:r>
      <w:r>
        <w:rPr>
          <w:rFonts w:ascii="Times New Roman" w:cs="Times New Roman" w:eastAsia="Times New Roman" w:hAnsi="Times New Roman"/>
          <w:sz w:val="18"/>
          <w:szCs w:val="18"/>
          <w:color w:val="auto"/>
        </w:rPr>
        <w:t>. The PRC Trademark Law and its implementation rules protect registered trademarks. The Trademark Office of National Intellectual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Property Administration handles trademark registrations and grants a term of ten years to registered trademarks. Trademark license agreements should be filed with the Trademark Office of National Intellectual Property Administration for record. “</w:t>
      </w:r>
      <w:r>
        <w:rPr>
          <w:rFonts w:ascii="SimSun" w:cs="SimSun" w:eastAsia="SimSun" w:hAnsi="SimSun"/>
          <w:sz w:val="16"/>
          <w:szCs w:val="16"/>
          <w:color w:val="auto"/>
        </w:rPr>
        <w:t>百度</w:t>
      </w:r>
      <w:r>
        <w:rPr>
          <w:rFonts w:ascii="Times New Roman" w:cs="Times New Roman" w:eastAsia="Times New Roman" w:hAnsi="Times New Roman"/>
          <w:sz w:val="18"/>
          <w:szCs w:val="18"/>
          <w:color w:val="auto"/>
        </w:rPr>
        <w:t>” is recognized as a well-known trademark in China by the Trademark Office of National Intellectual Property Administration. In addition to owning “</w:t>
      </w:r>
      <w:r>
        <w:rPr>
          <w:rFonts w:ascii="SimSun" w:cs="SimSun" w:eastAsia="SimSun" w:hAnsi="SimSun"/>
          <w:sz w:val="16"/>
          <w:szCs w:val="16"/>
          <w:color w:val="auto"/>
        </w:rPr>
        <w:t>百度</w:t>
      </w:r>
      <w:r>
        <w:rPr>
          <w:rFonts w:ascii="Times New Roman" w:cs="Times New Roman" w:eastAsia="Times New Roman" w:hAnsi="Times New Roman"/>
          <w:sz w:val="18"/>
          <w:szCs w:val="18"/>
          <w:color w:val="auto"/>
        </w:rPr>
        <w:t>” and the related logos, we have applied for registration of various other trademarks.</w:t>
      </w:r>
    </w:p>
    <w:p>
      <w:pPr>
        <w:spacing w:after="0" w:line="198" w:lineRule="exact"/>
        <w:rPr>
          <w:sz w:val="20"/>
          <w:szCs w:val="20"/>
          <w:color w:val="auto"/>
        </w:rPr>
      </w:pPr>
    </w:p>
    <w:p>
      <w:pPr>
        <w:jc w:val="both"/>
        <w:ind w:left="120" w:right="2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Domain name</w:t>
      </w:r>
      <w:r>
        <w:rPr>
          <w:rFonts w:ascii="Times New Roman" w:cs="Times New Roman" w:eastAsia="Times New Roman" w:hAnsi="Times New Roman"/>
          <w:sz w:val="18"/>
          <w:szCs w:val="18"/>
          <w:color w:val="auto"/>
        </w:rPr>
        <w:t>. Domain names are protected under the Administrative Measures on the Internet Domain Names promulgated by the MIIT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August 2017, which became effective in November 2017. The MIIT is the major regulatory body responsible for the administration of the internet domain names of Chinese mainland, and under the supervision of the MIIT, the China Internet Network Information Center is responsible for the daily administration of “.cn” domain names and Chinese domain names. According to the Circular on Administration of the Use of Domain Names for Internet Information Services issued by the MIIT in November 2017, only the internet information service provider itself or the shareholder(s), principal or senior management officer(s) of the internet information service provider are eligible to register the domain names used for the internet information services. We have registered </w:t>
      </w:r>
      <w:r>
        <w:rPr>
          <w:rFonts w:ascii="Times New Roman" w:cs="Times New Roman" w:eastAsia="Times New Roman" w:hAnsi="Times New Roman"/>
          <w:sz w:val="18"/>
          <w:szCs w:val="18"/>
          <w:u w:val="single" w:color="auto"/>
          <w:color w:val="auto"/>
        </w:rPr>
        <w:t>baidu.cn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baidu.com.cn</w:t>
      </w:r>
      <w:r>
        <w:rPr>
          <w:rFonts w:ascii="Times New Roman" w:cs="Times New Roman" w:eastAsia="Times New Roman" w:hAnsi="Times New Roman"/>
          <w:sz w:val="18"/>
          <w:szCs w:val="18"/>
          <w:color w:val="auto"/>
        </w:rPr>
        <w:t xml:space="preserve"> and certain other domain names with registrars accredited by the China Internet Network Information Center.</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140"/>
          </w:cols>
          <w:pgMar w:left="320" w:top="482" w:right="4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Regulations on Information Security</w:t>
      </w:r>
    </w:p>
    <w:p>
      <w:pPr>
        <w:spacing w:after="0" w:line="121"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The National People’s Congress has enacted legislation that prohibits use of the internet that breaches the public security, disseminates socially destabilizing content or leaks state secrets. Breach of public security includes breach of national security and infringement on legal rights and interests of the state, society or citizens. Socially destabilizing content includes any content that incites defiance or violations of PRC laws or regulations or subversion of the PRC government or its political system, spreads socially disruptive rumors or involves cult activities, superstition, obscenities, pornography, gambling or violence. State secrets are defined broadly to include information concerning PRC national defense, state affairs and other matters as determined by the PRC authorities.</w:t>
      </w:r>
    </w:p>
    <w:p>
      <w:pPr>
        <w:spacing w:after="0" w:line="187" w:lineRule="exact"/>
        <w:rPr>
          <w:sz w:val="20"/>
          <w:szCs w:val="20"/>
          <w:color w:val="auto"/>
        </w:rPr>
      </w:pPr>
    </w:p>
    <w:p>
      <w:pPr>
        <w:jc w:val="both"/>
        <w:ind w:left="120" w:firstLine="440"/>
        <w:spacing w:after="0" w:line="282" w:lineRule="auto"/>
        <w:rPr>
          <w:sz w:val="20"/>
          <w:szCs w:val="20"/>
          <w:color w:val="auto"/>
        </w:rPr>
      </w:pPr>
      <w:r>
        <w:rPr>
          <w:rFonts w:ascii="Times New Roman" w:cs="Times New Roman" w:eastAsia="Times New Roman" w:hAnsi="Times New Roman"/>
          <w:sz w:val="18"/>
          <w:szCs w:val="18"/>
          <w:color w:val="auto"/>
        </w:rPr>
        <w:t>Pursuant to applicable regulations, ICP operators must complete mandatory security filing procedures and regularly update information security and monitoring systems for their websites with local public security authorities, and must also report any public dissemination of prohibited content.</w:t>
      </w:r>
    </w:p>
    <w:p>
      <w:pPr>
        <w:spacing w:after="0" w:line="162"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In December 2015, the Standing Committee promulgated the PRC Anti-Terrorism Law, which took effect on January 1, 2016 and was amended on April 27, 2018. According to the PRC Anti-Terrorism Law, telecommunication service operators or internet service providers must (i) carry out pertinent anti-terrorism publicity and education to society; (ii) provide technical interfaces, decryption and other technical support and assistance for the competent departments to prevent and investigate terrorist activities; (iii) implement network security and information monitoring systems as well as safety and technical prevention measures to avoid the dissemination of terrorism information, delete the terrorism information, immediately halt its dissemination, keep relevant records and report to the competent departments once the terrorism information is discovered; and (iv) examine customer identities before providing services. Any violation of the PRC Anti-Terrorism Law may result in severe penalties, including substantial fines.</w:t>
      </w:r>
    </w:p>
    <w:p>
      <w:pPr>
        <w:spacing w:after="0" w:line="189"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In November 2016, the Standing Committee promulgated the PRC Cybersecurity Law, which took effect on June 1, 2017 and was last amended on October 28, 2025. In accordance with the Cybersecurity Law, network operators must comply with applicable laws and regulations and fulfill their obligations to safeguard network security in conducting business and providing services. Network service providers must take technical and other necessary measures as required by laws, regulations and mandatory requirements to safeguard the operation of networks, respond to network security effectively, prevent illegal and criminal activities, and maintain the integrity, confidentiality and usability of network data. On August 20, 2021, the Standing Committee of the National People’s Congress adopted the PRC Personal Information Protection Law, which took effect on November 1, 2021. The PRC Personal Information Protection Law integrated the scattered rules with respect to personal information rights and privacy protection.</w:t>
      </w:r>
    </w:p>
    <w:p>
      <w:pPr>
        <w:spacing w:after="0" w:line="189" w:lineRule="exact"/>
        <w:rPr>
          <w:sz w:val="20"/>
          <w:szCs w:val="20"/>
          <w:color w:val="auto"/>
        </w:rPr>
      </w:pPr>
    </w:p>
    <w:p>
      <w:pPr>
        <w:jc w:val="both"/>
        <w:ind w:left="120" w:firstLine="440"/>
        <w:spacing w:after="0" w:line="252" w:lineRule="auto"/>
        <w:rPr>
          <w:sz w:val="20"/>
          <w:szCs w:val="20"/>
          <w:color w:val="auto"/>
        </w:rPr>
      </w:pPr>
      <w:r>
        <w:rPr>
          <w:rFonts w:ascii="Times New Roman" w:cs="Times New Roman" w:eastAsia="Times New Roman" w:hAnsi="Times New Roman"/>
          <w:sz w:val="18"/>
          <w:szCs w:val="18"/>
          <w:color w:val="auto"/>
        </w:rPr>
        <w:t>For the further purposes of regulating data processing activities, safeguarding data security, promoting data development and utilization, protecting the lawful rights and interests of individuals and organizations, and maintaining national sovereignty, security, and development interests, on June 10, 2021, Standing Committee published the PRC Data Security Law, which took effect on September 1, 2021. The PRC Data Security Law requires data processing, which includes the collection, storage, use, processing, transmission, provision, publication of data, to be conducted in a legitimate and proper manner. The PRC Data Security Law provides for data security and privacy obligations on entities and individuals carrying out data activities. The PRC Data Security Law also introduces a data classification and hierarchical protection system based on the importance of data in economic and social development, and the degree of harm it may cause to national security, public interests, or legitimate rights and interests of individuals or organizations if such data are tampered with, destroyed, leaked, illegally acquired or illegally used. The appropriate level of protection measures is required to be taken for each respective category of data. For example, a processor of important data is required to designate the personnel and the management body responsible for data security, carry out regular risk assessments of its data processing activities and file the risk assessment reports with the competent authorities. State core data, i.e., data having a bearing on national security, the lifelines of national economy, people’s key livelihood and major public interests, should be subject to stricter management system. Moreover, the PRC Data Security Law provides a national security review procedure for those data activities which affect or may affect national security and imposes export restrictions on certain data and information. In addition, the PRC Data Security Law also provides that any organization or individual within the territory of Chinese mainland should not provide any foreign judicial body and law enforcement body with any data without the approval of the competent PRC government authorities. As the laws and regulations on the data security and personal information protection of Chinese mainland (including the PRC Data Security Law and the PRC Personal Information Protection Law) are evolving and there still exists uncertainties on the interpretation and implementation of such laws and regulations, we may be required to make further adjustments to our business practices to comply with such laws and regulations.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140"/>
          </w:cols>
          <w:pgMar w:left="320" w:top="482" w:right="4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On July 6, 2021, certain PRC regulatory authorities issued Opinions on Strictly Cracking Down on Illegal Securities Activities, which, among others, provides for improving the laws and regulations on data security, cross-border data transmission, and confidential information management. It provided that efforts will be made to revise the regulations on strengthening the confidentiality and file management relating to the offering and listing of securities overseas, to implement the responsibility on information security of overseas listed companies, and to strengthen the standardized management of cross-border information provision mechanisms and procedures.</w:t>
      </w:r>
    </w:p>
    <w:p>
      <w:pPr>
        <w:spacing w:after="0" w:line="183"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On December 28, 2021, the CAC issued the amended Cybersecurity Review Measures, which became effective on February 15, 2022 and replaced the Cybersecurity Review Measures promulgated in April 2020. The scope of review under the Cybersecurity Review Measures extends to critical information infrastructure operators that intend to purchase internet products and services and network platform operators engaging in data processing activities, which affect or may affect national security. According to Article 7 of the Measures, network platform operators who possess personal information of over a million users are required to apply to the Cybersecurity Review Office for cybersecurity reviews before listing in a foreign country. Besides, the Cybersecurity Review Measures also provide that if the authorities consider that certain network products and services and data processing activities affect or may affect national security, the authorities may initiate a cybersecurity review even if the operators do not have an obligation to report for a cybersecurity review under such circumstances. The Cybersecurity Review Measures also elaborate the factors to be considered when assessing the national security risks of the relevant activities, including among others, risks of core data, important data or a large amount of personal information being stolen, leaked, destroyed, and illegally used or illegally exited the country, risks of critical information infrastructure, core data, important data or a large amount of personal information data being affected, controlled and maliciously used by foreign governments after a listing, and risks associated with internet information security.</w:t>
      </w:r>
    </w:p>
    <w:p>
      <w:pPr>
        <w:spacing w:after="0" w:line="190"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On July 30, 2021, the State Council issued the Regulations on Protection of Critical Information Infrastructure. Pursuant to these regulations, critical information infrastructure means the important network facilities or information systems of key industries or fields such as public communication and information service, energy, transportation, water conservation, finance, public services, e-government affairs and national defense science, and important network facilities or information systems which may endanger national security, people’s livelihood and public interest once there occur damage, malfunctioning or data leakage to them. These regulations provide that no individual or organization may carry out any illegal activity of intruding into, interfering with, or sabotaging any critical information infrastructures, or endanger the security of any critical information infrastructures. The regulations also require that critical information infrastructure operators must establish a cybersecurity protection system and accountability system, and that the main responsible person of a critical information infrastructure operator should take full responsibility for the security protection of the critical information infrastructures operated by it. In addition, administration departments of each important industry and sector should be responsible for formulating the rule of critical information infrastructure determination applicable to their respective industry or sector, and determine the critical information infrastructure operators in their industry or sector.</w:t>
      </w:r>
    </w:p>
    <w:p>
      <w:pPr>
        <w:spacing w:after="0" w:line="192"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On July 12, 2021, the MIIT and two other authorities jointly issued the Provisions on the Administration of Security Vulnerabilities of Network Products. Such provisions state that, no organization or individual may abuse the security vulnerabilities of network products to engage in activities that endanger network security, or to illegally collect, sell, or publish the information on such security vulnerabilities. Anyone who is aware of the aforesaid offenses should not provide technical support, advertising, payment settlement and other assistance to the offenders. According to the Provisions, network product providers, network operators, and platforms collecting network product security vulnerabilities must establish and improve channels for receiving network product security vulnerability information and keep such channels available, and retain network product security vulnerability information reception logs for at least six months. The Provisions also bans provision of undisclosed vulnerabilities to overseas organizations or individuals other than to the product providers.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140"/>
          </w:cols>
          <w:pgMar w:left="320" w:top="482" w:right="4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both"/>
        <w:ind w:left="120" w:firstLine="440"/>
        <w:spacing w:after="0" w:line="252" w:lineRule="auto"/>
        <w:rPr>
          <w:sz w:val="20"/>
          <w:szCs w:val="20"/>
          <w:color w:val="auto"/>
        </w:rPr>
      </w:pPr>
      <w:r>
        <w:rPr>
          <w:rFonts w:ascii="Times New Roman" w:cs="Times New Roman" w:eastAsia="Times New Roman" w:hAnsi="Times New Roman"/>
          <w:sz w:val="18"/>
          <w:szCs w:val="18"/>
          <w:color w:val="auto"/>
        </w:rPr>
        <w:t>On July 7, 2022, the CAC promulgated the Measures for the Security Assessment of Cross-border Data Transfer, which became effective on September 1, 2022. In accordance with these measures, data processors will be subject to security assessment conducted by the CAC prior to any cross-border transfer of data if the transfer involves (i) important data; (ii) personal information transferred overseas by operators of critical information infrastructure or a data processor that has processed personal data of more than one million persons; (iii) personal information transferred overseas by a data processor who has already provided personal data of 100,000 persons or sensitive personal data of 10,000 persons overseas since January 1 of last year; or (iv) other circumstances as requested by the CAC. Furthermore, data processors are required to conduct self-assessment on the risks of cross-border data transfer prior to their applying for the security assessment and focus on assessment of the following significant matters, including, among others: (i) the legality and necessity of the purpose, scope and method of cross-border data transfer; (ii) the scale, scope, type and sensitivity of data transferred overseas, and risks to the national security, public interests or legitimate rights of individuals or organizations caused by such cross-border data transfer; (iii) the responsibilities and obligations that the overseas recipient of such data promises to undertake, and whether such overseas recipient’s management and technical measures and capabilities for performing its responsibilities and obligations can guarantee the security of cross-border data transfer; (iv) the risks that the data transferred overseas may be falsified, destroyed, divulged, lost, transferred, illegally obtained or illegally used during and after the cross-border transfer; (v) whether contracts or other legally binding documents entered into with the overseas recipient have fully stipulated the responsibilities and obligations to protect data security. In addition, any cross-border data transfer activities conducted in violation of the Measures for the Security Assessment of Cross-border Data Transfer before the effectiveness of such measures are required to be rectified within six months of the effectiveness date thereof.</w:t>
      </w:r>
    </w:p>
    <w:p>
      <w:pPr>
        <w:spacing w:after="0" w:line="195"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On March 22, 2024, the CAC promulgated the Provisions on Promoting and Regulating Cross-border Data Flow, which came into effect on the same date. To provide data abroad, any data processor shall apply the security assessment to the national cyberspace administration through the cyberspace administration authority at the provincial level at its locality if it satisfies either of the following condition: (i) where a critical information infrastructure operator provides personal information or important data abroad; or (ii) where any data processor other than a critical information infrastructure operator provides important data abroad or provides personal information (excluding sensitive personal information) of no less than 1 million individuals or sensitive personal information of not less than 10,000 individuals, accumulatively as of January 1 of the current year, to overseas parties. Where any data processor other than a critical information infrastructure operator provides abroad the personal information (excluding sensitive personal information) of not less than 100,000 but not more than 1 million individuals, or the sensitive personal information of not more than 10,000 individuals, accumulatively as of January 1 of the current year, it shall enter into a standard contract with overseas recipients for provision of personal information abroad or go through the authentication on protection of personal information in accordance with laws. On October 14, 2025, the CAC issued the Measures for Authentication of Personal Information for Cross-Border Transfer of Personal Information, which came into effect on January 1, 2026, to provide further guidance and regulatory requirements on authentication on protection of personal information for cross-border transfer of personal information.</w:t>
      </w:r>
    </w:p>
    <w:p>
      <w:pPr>
        <w:spacing w:after="0" w:line="187" w:lineRule="exact"/>
        <w:rPr>
          <w:sz w:val="20"/>
          <w:szCs w:val="20"/>
          <w:color w:val="auto"/>
        </w:rPr>
      </w:pPr>
    </w:p>
    <w:p>
      <w:pPr>
        <w:jc w:val="both"/>
        <w:ind w:left="120" w:firstLine="440"/>
        <w:spacing w:after="0" w:line="252" w:lineRule="auto"/>
        <w:rPr>
          <w:sz w:val="20"/>
          <w:szCs w:val="20"/>
          <w:color w:val="auto"/>
        </w:rPr>
      </w:pPr>
      <w:r>
        <w:rPr>
          <w:rFonts w:ascii="Times New Roman" w:cs="Times New Roman" w:eastAsia="Times New Roman" w:hAnsi="Times New Roman"/>
          <w:sz w:val="18"/>
          <w:szCs w:val="18"/>
          <w:color w:val="auto"/>
        </w:rPr>
        <w:t>On September 24, 2024, the State Council promulgated the Regulations on the Network Data Security, which came into effect on January 1, 2025. Pursuant to these regulations, a network data processer processing the personal information of more than 10 million individuals shall comply with the provisions governing the important data processers. An important data processor shall carry out the risk assessment before any network data is provided by such important data processor, or such important data processor is entrusted to process or jointly process the network data. In addition, the important data processor shall also carry out risk assessments of their network data processing activities every year and submit risk assessment reports to relevant authorities at or above the provincial level. These regulations also stipulate the obligations of the Network platform service providers. Network platform service providers shall specify the network data security protection obligations of third-party product and service providers who access their platforms, through platform rules, contracts or otherwise, and urge third-party product and service providers to strengthen network data security management. Network platform service providers recommending information to individuals in an automatic decision-making manner shall set up a personalized recommendation closing option that is easy to understand, access and operate, and provide users with such functions as refusing to receive recommended information and deleting user tags targeted at their personal characteristics. Where the service provider of a large network platform, which refers to a network platform with more than 50 million registered users or more than 10 million monthly active users, complex business types, and network data processing activities having a significant impact on national security, economic operation, national welfare and people’s livelihood, provides cross-border network data, it shall comply with the administrative requirements of the State on cross-border data security management and improve the relevant technical and administrative measures to prevent cross-border security risks of network data.</w:t>
      </w:r>
    </w:p>
    <w:p>
      <w:pPr>
        <w:spacing w:after="0" w:line="12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140"/>
          </w:cols>
          <w:pgMar w:left="320" w:top="482" w:right="4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both"/>
        <w:ind w:left="120" w:firstLine="440"/>
        <w:spacing w:after="0" w:line="252" w:lineRule="auto"/>
        <w:rPr>
          <w:sz w:val="20"/>
          <w:szCs w:val="20"/>
          <w:color w:val="auto"/>
        </w:rPr>
      </w:pPr>
      <w:r>
        <w:rPr>
          <w:rFonts w:ascii="Times New Roman" w:cs="Times New Roman" w:eastAsia="Times New Roman" w:hAnsi="Times New Roman"/>
          <w:sz w:val="18"/>
          <w:szCs w:val="18"/>
          <w:color w:val="auto"/>
        </w:rPr>
        <w:t>On January 30, 2026, eight departments including the MIIT issued the Guidelines on Automotive Data Outbound Transfer Security (2026 Edition), which took effect on the same date. According to the guidelines, “automotive data” refers to personal information and important data involved in the processes of automobile design, production, sales, use, operation, and maintenance. “Automotive data processors” are defined as organizations or individuals that independently determine the purposes and methods of processing in automotive data processing activities, including automobile manufacturers, component and software suppliers, telecommunications operators, autonomous driving service providers, platform operators, dealers, maintenance institutions, and mobility service companies, among others. These guidelines establish criteria for determining important data across six scenarios: research and development design, production and manufacturing, autonomous driving, software update services, connected operation, and other circumstances. Specifically, in the autonomous driving scenario, algorithm files, source code, and algorithm parameters are classified as important data if they meet any of the following criteria: (i) they are supported by national major special projects or national key research and development programs; (ii) they involve achievements related to vehicle networking network and data security or autonomous driving functions that have received provincial/ministerial-level or higher awards; or (iii) they may impact national technological security or industry competitiveness. Automotive data processors are required to identify, in accordance with these guidelines, whether the automotive data which will be transferred outbound shall undergo a security assessment. Where a data security assessment is required, automotive data processors must apply for an outbound transfer security assessment through a legal entity established within Chinese mainland.</w:t>
      </w:r>
    </w:p>
    <w:p>
      <w:pPr>
        <w:spacing w:after="0" w:line="197"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 addition, the State Secrecy Bureau has issued provisions authorizing the blocking of access to any website it deems to be leaking state secrets or failing to comply with the legislation regarding the protection of state secrets during online information distribution. Specifically, internet companies in Chinese mainland with bulletin boards, chat rooms or similar services must apply for specific approval prior to operating such services.</w:t>
      </w:r>
    </w:p>
    <w:p>
      <w:pPr>
        <w:spacing w:after="0" w:line="176"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Furthermore, the Provisions on Technological Measures for Internet Security Protection, promulgated by the Ministry of Public Security and became effective in March 2006, require all ICP operators to keep records of certain information about its users (including user registration information, log-in and log-out time, IP address, content and time of posts by users) for at least 60 days and submit the above information as required by laws and regulations. The Decision on Strengthening Network Information Protection, which was promulgated by the PRC National People’s Congress in December 2012, states that ICP operators must request identity information from users when ICP operators provide information publication services to the users. If ICP operators come across prohibited information, they must immediately cease the transmission of such information, delete the information, keep relevant records, and report to the government authorities.</w:t>
      </w:r>
    </w:p>
    <w:p>
      <w:pPr>
        <w:spacing w:after="0" w:line="189"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On October 21, 2019, the Supreme People’s Court and the Supreme People’s Procuratorate of the PRC jointly issued the Interpretations on Certain Issues Regarding the Applicable of Law in the Handling of Criminal Case Involving Illegal Use of Information Networks and Assisting Committing Internet Crimes, which came into effect on November 1, 2019, and further clarifies the meaning of Internet service provider and the severe situations of the relevant crimes.</w:t>
      </w:r>
    </w:p>
    <w:p>
      <w:pPr>
        <w:spacing w:after="0" w:line="180"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On December 6, 2025, the CAC released the Measures for Network Data Security Risk Assessment (Draft for Comments) to solicit public opinions until January 5, 2026. According to the draft Measures for Network Data Security Risk Assessment (Draft for Comment), data processors handling important data must conduct a risk assessment annually. If the security status of important data changes significantly and may adversely affect data security, an assessment of the affected parts shall be conducted promptly. Processors of general data are encouraged to carry out assessments at least once every three years.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140"/>
          </w:cols>
          <w:pgMar w:left="320" w:top="482" w:right="4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Regulations on Internet Privacy</w:t>
      </w:r>
    </w:p>
    <w:p>
      <w:pPr>
        <w:spacing w:after="0" w:line="121" w:lineRule="exact"/>
        <w:rPr>
          <w:sz w:val="20"/>
          <w:szCs w:val="20"/>
          <w:color w:val="auto"/>
        </w:rPr>
      </w:pPr>
    </w:p>
    <w:p>
      <w:pPr>
        <w:jc w:val="both"/>
        <w:ind w:left="120" w:firstLine="440"/>
        <w:spacing w:after="0" w:line="251" w:lineRule="auto"/>
        <w:rPr>
          <w:sz w:val="20"/>
          <w:szCs w:val="20"/>
          <w:color w:val="auto"/>
        </w:rPr>
      </w:pPr>
      <w:r>
        <w:rPr>
          <w:rFonts w:ascii="Times New Roman" w:cs="Times New Roman" w:eastAsia="Times New Roman" w:hAnsi="Times New Roman"/>
          <w:sz w:val="18"/>
          <w:szCs w:val="18"/>
          <w:color w:val="auto"/>
        </w:rPr>
        <w:t>The PRC Constitution states that PRC law protects the freedom and privacy of communications of citizens and prohibits infringement of these rights. In recent years, PRC government authorities have enacted legislation on internet use to protect personal information from any unauthorized disclosure. The Decision on Strengthening Network Information Protection provides that electronic information that identifies a citizen or involves privacy of any citizen is protected by law and must not be unlawfully collected or provided to others. ICP operators collecting or using personal electronic information of citizens must specify the purposes, manners and scopes of information collection and uses, obtain consent of the relevant citizens, and keep the collected personal information confidential. ICP operators are prohibited from disclosing, tampering with, damaging, selling or illegally providing others with, collected personal information. ICP operators are required to take technical and other measures to prevent the collected personal information from any unauthorized disclosure, damage or loss. The Administrative Measures on Internet Information Services prohibit an ICP operator from insulting or slandering a third party or infringing upon the lawful rights and interests of a third party. According to the Provisions on Protection of Personal Information of Telecommunication and Internet Users, which was promulgated by the MIIT and became effective in September 2013, telecommunication business operators and ICP operators are responsible for the security of the personal information of users they collect or use in the course of their provision of services. Without obtaining the consent from the users, telecommunication business operators and ICP operators may not collect or use the users’ personal information. The personal information collected or used in the course of provision of services by the telecommunication business operators or ICP operators must be kept in strict confidence, and may not be divulged, tampered with or damaged, and may not be sold or illegally provided to others. The ICP operators are required to take certain measures to prevent any divulgence of, damage to, tampering with or loss of users’ personal information. In accordance with the PRC Cybersecurity Law, network operators are required to collect and use personal information in compliance with the principles of legitimacy, properness and necessity, and strictly within the scope of authorization by the subject of personal information unless otherwise prescribed by laws or regulations. In the event of any unauthorized disclosure, damage or loss of collected personal information, network operators must take immediate remedial measures, notify the affected users and report the incidents to the authorities in a timely manner. If any user knows that a network operator illegally collects and uses his or her personal information in violation of laws, regulations or any agreement with the user, or the collected and stored personal information is inaccurate or wrong, the user has the right to request the network operator to delete or correct the relevant collected personal information.</w:t>
      </w:r>
    </w:p>
    <w:p>
      <w:pPr>
        <w:spacing w:after="0" w:line="206" w:lineRule="exact"/>
        <w:rPr>
          <w:sz w:val="20"/>
          <w:szCs w:val="20"/>
          <w:color w:val="auto"/>
        </w:rPr>
      </w:pPr>
    </w:p>
    <w:p>
      <w:pPr>
        <w:jc w:val="both"/>
        <w:ind w:left="120" w:firstLine="440"/>
        <w:spacing w:after="0" w:line="252" w:lineRule="auto"/>
        <w:rPr>
          <w:sz w:val="20"/>
          <w:szCs w:val="20"/>
          <w:color w:val="auto"/>
        </w:rPr>
      </w:pPr>
      <w:r>
        <w:rPr>
          <w:rFonts w:ascii="Times New Roman" w:cs="Times New Roman" w:eastAsia="Times New Roman" w:hAnsi="Times New Roman"/>
          <w:sz w:val="18"/>
          <w:szCs w:val="18"/>
          <w:color w:val="auto"/>
        </w:rPr>
        <w:t>The telecommunications authorities are further authorized to order ICP operators to rectify unauthorized disclosure. ICP operators are subject to legal liability, including warnings, fines, confiscation of illegal gains, revocation of licenses or filings, closing of websites, administrative punishment, criminal liabilities, or civil liabilities, if they violate the provisions on internet privacy. Pursuant to the Ninth Amendment to the Criminal Law issued by the Standing Committee in August 2015 and becoming effective in November 2015, the standards of crime of infringing citizens’ personal information were amended accordingly and the criminal culpability of unlawful collection, transaction, and provision of personal information has been reinforced. In addition, any ICP provider that fails to fulfill the obligations related to internet information security administration as required by applicable laws and refuses to rectify upon orders, will be subject to criminal liability for (i) any dissemination of illegal information in large scale; (ii) any severe effect due to the leakage of the client’s information; (iii) any serious loss of evidence of criminal activities; or (iv) other severe situations, and any individual or entity that (x) sells or provides personal information to others unlawfully, or (y) steals or illegally obtains any personal information, will be subject to criminal liability in severe situations. In addition, the Interpretations of the Supreme People’s Court and the Supreme People’s Procuratorate of the PRC on Several Issues Concerning the Application of Law in Handling Criminal Cases of Infringing Personal Information, effective in June 2017, have clarified certain standards for the conviction and sentencing in relation to personal information infringement. The PRC government has the power and authority to order ICP operators to turn over personal information if an internet user posts any prohibited content or engages in illegal activities on the internet. The PRC Civil Code further provides in a stand-alone chapter of right of personality and reiterate that the personal information of a natural person shall be protected by the law. Any organization or individual should legitimately obtain such personal information of others in due course on a need-to-know basis and ensure the safety and privacy of such information, and refrain from excessively handling or using such information.</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140"/>
          </w:cols>
          <w:pgMar w:left="320" w:top="482" w:right="4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both"/>
        <w:ind w:left="120" w:firstLine="440"/>
        <w:spacing w:after="0" w:line="251" w:lineRule="auto"/>
        <w:rPr>
          <w:sz w:val="20"/>
          <w:szCs w:val="20"/>
          <w:color w:val="auto"/>
        </w:rPr>
      </w:pPr>
      <w:r>
        <w:rPr>
          <w:rFonts w:ascii="Times New Roman" w:cs="Times New Roman" w:eastAsia="Times New Roman" w:hAnsi="Times New Roman"/>
          <w:sz w:val="18"/>
          <w:szCs w:val="18"/>
          <w:color w:val="auto"/>
        </w:rPr>
        <w:t>With respect to the security of information collected and used by mobile apps, pursuant to the Announcement of Conducting Special Supervision against the Illegal Collection and Use of Personal Information by Apps, which was issued on January 23, 2019, app operators should collect and use personal information in compliance with the PRC Cybersecurity Law and should be responsible for the security of personal information obtained from users and take effective measures to strengthen the personal information protection. Furthermore, app operators should not force their users to make authorization by means of bundling, suspending installation or in other default forms and should not collect personal information in violation of laws, regulations or breach of user agreements. Such regulatory requirements were emphasized by the Notice on the Special Rectification of Apps Infringing upon User’s Personal Rights and Interests, which was issued by the MIIT on October 31, 2019. On November 28, 2019, the CAC, the MIIT, the Ministry of Public Security and the SAMR jointly issued the Methods of Identifying Illegal Acts of Apps to Collect and Use Personal Information. This regulation further illustrates certain commonly-seen illegal practices of apps operators in terms of personal information protection, including “failure to publicize rules for collecting and using personal information,” “failure to expressly state the purpose, manner and scope of collecting and using personal information,” “collection and use of personal information without consent of users of such App,” “collecting personal information irrelevant to the services provided by such app in violation of the principle of necessity,” “provision of personal information to others without users’ consent,” “failure to provide the function of deleting or correcting personal information as required by laws” and “failure to publish information such as methods for complaints and reporting.” Among others, any of the following acts of an app operator will constitute “collection and use of personal information without consent of users”: (i) collecting an user’s personal information or activating the permission for collecting any user’s personal information without obtaining such user’s consent; (ii) collecting personal information or activating the permission for collecting the personal information of any user who explicitly refuses such collection, or repeatedly seeking for user’s consent such that the user’s normal use of such app is disturbed; (iii) any user’s personal information which has been actually collected by the app operator or the permission for collecting any user’s personal information activated by the app operator is beyond the scope of personal information which such user authorizes such app operator to collect; (iv) seeking for any user’s consent in a non-explicit manner; (v) modifying any user’s settings for activating the permission for collecting any personal information without such user’s consent; (vi) using users’ personal information and any algorithms to directionally push any information, without providing the option of non-directed pushing such information; (vii) misleading users to permit collecting their personal information or activating the permission for collecting such users’ personal information by improper methods such as fraud and deception; (viii) failing to provide users with the means and methods to withdraw their permission of collecting personal information; and (ix) collecting and using personal information in violation of the rules for collecting and using personal information promulgated by such app operator.</w:t>
      </w:r>
    </w:p>
    <w:p>
      <w:pPr>
        <w:spacing w:after="0" w:line="204"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On August 22, 2019, the CAC promulgated the Children Information Protection Provisions, which took effect on October 1, 2019, requiring that before collecting, using, transferring or disclosing the personal information of a child, the internet service operator should inform the child’s guardians in a noticeable and clear manner and obtain their consents. Meanwhile, internet service operators should take measures like encryption when storing children’s personal information. On March 12, 2021, the CAC and three other authorities jointly issued the Rules on the Scope of Necessary Personal Information for Common Types of Mobile Internet Applications. The Rules specifies the scope of necessary personal information to be collected each for a variety of common mobile internet applications, such as maps and navigation apps, online ride-hailing apps, instant messaging apps, online community apps. Operators of such apps should not refuse to provide basic services to users on the ground of users’ refusal to provide their personal non-essential information.</w:t>
      </w:r>
    </w:p>
    <w:p>
      <w:pPr>
        <w:spacing w:after="0" w:line="192" w:lineRule="exact"/>
        <w:rPr>
          <w:sz w:val="20"/>
          <w:szCs w:val="20"/>
          <w:color w:val="auto"/>
        </w:rPr>
      </w:pPr>
    </w:p>
    <w:p>
      <w:pPr>
        <w:jc w:val="both"/>
        <w:ind w:left="120" w:firstLine="440"/>
        <w:spacing w:after="0" w:line="252" w:lineRule="auto"/>
        <w:rPr>
          <w:sz w:val="20"/>
          <w:szCs w:val="20"/>
          <w:color w:val="auto"/>
        </w:rPr>
      </w:pPr>
      <w:r>
        <w:rPr>
          <w:rFonts w:ascii="Times New Roman" w:cs="Times New Roman" w:eastAsia="Times New Roman" w:hAnsi="Times New Roman"/>
          <w:sz w:val="18"/>
          <w:szCs w:val="18"/>
          <w:color w:val="auto"/>
        </w:rPr>
        <w:t>On August 20, 2021, the Standing Committee adopted the PRC Personal Information Protection Law which took effect on November 1, 2021. The PRC Personal Information Protection Law integrates provisions from several rules with respect to personal information rights and privacy protection. According to the PRC Personal Information Protection Law, personal information refers to information related to identified or identifiable natural persons which is recorded by electronic or other means (excluding the anonymized information). The PRC Personal Information Protection Law provides the circumstances under which a personal information processor could process personal information, such as where the consent of the individual concerned is obtained and where it is necessary for the conclusion or performance of a contract to which such individual is a party to such contract. In addition, it imposes further obligations on a personal information processor that provides for basic internet platform services, has large amount of users, has complicated business activities, including, among others, formulating of an independent institution mainly comprising of outside members to supervise personal information processing activities, termination of provision of services for product or service providers on the platform whose personal information processing activities are in material violation of laws and regulations, and issuing personal information protection social responsibilities reports regularly. The PRC Personal Information Protection Law also requires, among others, that (i) the processing of personal information should have a clear and reasonable purpose which should be directly related to the processing purpose, in a method that has the least impact on personal rights and interests, and (ii) the collection of personal information should be limited to the minimum scope necessary to achieve the processing purpose to avoid the excessive collection of personal information. Different types of personal information and personal information processing will be subject to various rules on consent, transfer, and security. Entities handling personal information should bear responsibilities for their personal information handling activities, and adopt necessary measures to safeguard the security of the personal information they handle. The entities failing to comply could be ordered to correct, or suspend or terminate the provision of services, and face confiscation of illegal income, fines or other penalties.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140"/>
          </w:cols>
          <w:pgMar w:left="320" w:top="482" w:right="4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On December 8, 2022, the MIIT issued the Administrative Measures on Industry and Information Technology Data Security (Trial Implementation), which took effect on January 1, 2023. According to such administrative measures, based on the degree of potential damage to national security, public interests or the legitimate rights and interests of individuals and organizations caused by tampering with, destruction, leakage or illegal acquisition or use of the data, industry and information technology data are classified into three categories, i.e., general data, important data and core data. Industry and information technology data processors are required to file the catalogs of their important data and core data with the local industrial government authorities for record. Furthermore, processors of important data and core data must, on their own or by entrusting third-party evaluation agencies, conduct risk assessment on their data processing activities at least once a year and submit risk assessment reports to the local industrial government authorities.</w:t>
      </w:r>
    </w:p>
    <w:p>
      <w:pPr>
        <w:spacing w:after="0" w:line="192"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On February 12, 2025, the CAC issued the Administrative Measures for Personal Information Protection Compliance Audit, which took effect on May 1, 2025. According to these administrative measures, any personal information processor who processes personal information of more than 10 million individuals shall carry out the personal information protection compliance audit at least once each two years. Any personal information processor who processes personal information of more than 1 million individuals shall designate a specific officer to be responsible for the compliance audit of its personal information protection. Any personal information processor providing important internet platform services, with a large number of users and with the complicated business types shall establish an independent institution mainly composed of external personnel to supervise the personal information protection compliance audit. After completion of compliance audit, the personal information processors shall submit the compliance audit report issued by the agency to the protection authorities. Any personal information processor which violates these provisions shall be punished in accordance with the PRC Personal Information Protection Law, the Regulations on the Network Data Security and other relevant laws and regulations. If the violation constitutes a crime, such personal information processor shall be prosecuted for criminal responsibility.</w:t>
      </w:r>
    </w:p>
    <w:p>
      <w:pPr>
        <w:spacing w:after="0" w:line="194" w:lineRule="exact"/>
        <w:rPr>
          <w:sz w:val="20"/>
          <w:szCs w:val="20"/>
          <w:color w:val="auto"/>
        </w:rPr>
      </w:pPr>
    </w:p>
    <w:p>
      <w:pPr>
        <w:jc w:val="both"/>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On November 22, 2025, the CAC and the Ministry of Public Security jointly released the Protection of Personal Information by Large-Scale Online Platforms (Draft for Comments), pursuant to which, the national cyberspace administration, together with the Ministry of Public Security and other relevant authorities, shall formulate and publish a catalogue of large-scale online platforms and update it dynamically. In determining large online platforms, the following factors shall be primarily considered: (i) registered users of 50 million or more, or monthly active users of 10 million or more;</w:t>
      </w:r>
    </w:p>
    <w:p>
      <w:pPr>
        <w:spacing w:after="0" w:line="3" w:lineRule="exact"/>
        <w:rPr>
          <w:sz w:val="20"/>
          <w:szCs w:val="20"/>
          <w:color w:val="auto"/>
        </w:rPr>
      </w:pPr>
    </w:p>
    <w:p>
      <w:pPr>
        <w:jc w:val="both"/>
        <w:ind w:left="120" w:hanging="4"/>
        <w:spacing w:after="0" w:line="252" w:lineRule="auto"/>
        <w:tabs>
          <w:tab w:leader="none" w:pos="403"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 of important network services or business scope covering multiple types of business; (iii) data held and processed which, once leaked, tampered with, or damaged, shall have a significant impact on national security, economic operation, and national livelihood, among others; (iv) other circumstances as provided by the national cyberspace administration and the Ministry of Public Security. Such large-scale online platforms must appoint a management personnel member who is a Chinese national with no permanent residency abroad and over five years of relevant experience as Personal Information Protection Officer. And such large-scale online platforms shall conduct personal information protection compliance audits and risk assessments on their own or by engaging third-party professional institutions, and rectify issues identified.</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Regulations on Anti-Monopoly and Unfair Competition Matters related to Internet Platform Companies</w:t>
      </w:r>
    </w:p>
    <w:p>
      <w:pPr>
        <w:spacing w:after="0" w:line="121"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The PRC Anti-monopoly Law, which took effect on August 1, 2008 and most recently amended on June 24, 2022, prohibits monopolistic conduct such as entering into monopoly agreements, abusing market dominance and concentration of undertakings conducted illegally that may have the effect of eliminating or restricting competition. The amended PRC Anti-monopoly Law increases the fines for illegal concentration of business operators to “no more than ten percent of its preceding year’s sales revenue if the concentration of business operator has or may have an effect of excluding or limiting competition; or a fine of up to RMB5 million if the concentration of business operator does not have an effect of excluding or limiting competition.” The amended PRC Anti-monopoly Law also proposes for the authority to investigate any concentration where there is evidence that such concentration has or may have the effect of eliminating or restricting competition, even if such concentration does not reach the filing threshold. In addition, the amended PRC Anti-monopoly Law introduces a “stop-clock mechanism” which may prolong the review process for the concentration.</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140"/>
          </w:cols>
          <w:pgMar w:left="320" w:top="482" w:right="4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On January 22, 2024, the State Council released the Provisions of the State Council on the Threshold for the Filing of Concentration of Undertakings mainly to optimize the filing standard. These provisions significantly adjust the revenue threshold of merger control filing to either one of the following two conditions: (i) the worldwide revenue of all business operators involved in the concentration exceeds RMB12 billion (increased from the previous threshold of RMB10 billion) collectively in the last fiscal year, and the revenue in Chinese mainland of at least two business operators among them each exceeds RMB800 million (increased from the previous threshold of RMB400 million) in the last fiscal year; or (ii) the revenue in Chinese mainland of all the business operators involved in the concentration exceeds RMB4 billion (increased from the current threshold of RMB2 billion) collectively in the last fiscal year, and the revenue in Chinese mainland of at least two business operators among them each exceeds RMB800 million (increased from the current threshold of RMB400 million) in the last fiscal year. Furthermore, if there is evidence indicating that the concentration of business operator has or may have an effect of excluding or limiting competition, the anti-monopoly authority may order the operators to file for clearance, regardless of the threshold standard.</w:t>
      </w:r>
    </w:p>
    <w:p>
      <w:pPr>
        <w:spacing w:after="0" w:line="194"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On February 7, 2021, the Anti-monopoly Commission of the State Council officially promulgated the Guidelines to Anti-Monopoly in the Field of Internet Platforms. Pursuant to an official interpretation from the Anti-monopoly Commission of the State Council, these guidelines mainly cover five aspects, including general provisions, monopoly agreements, abusing market dominance, concentration of undertakings, and abusing of administrative powers eliminating or restricting competition. These guidelines prohibit certain monopolistic acts of internet platforms so as to protect market competition and safeguard interests of consumers and undertakings participating in internet platform economy, including, without limitation, prohibiting platforms with dominant position from abusing their market dominance (such as discriminating customers in terms of pricing and other transactional conditions using big data and analytics, coercing counterparties into exclusivity arrangements through entering into written or oral agreements or using technology means to block competitors’ interface or reduce positions in search results of goods displays, using bundle services to sell different services or products, compulsory collection of unnecessary user data). In addition, the guidelines also reinforce antitrust merger review for internet platform related transactions to safeguard market competition.</w:t>
      </w:r>
    </w:p>
    <w:p>
      <w:pPr>
        <w:spacing w:after="0" w:line="194"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On January 28, 2026, the SAMR released the Anti-monopoly Compliance Guidelines for Internet Platforms, which took effect on the same date. According to the Anti-monopoly Compliance Guidelines for Internet Platforms, platform operators shall strengthen anti-monopoly compliance management to maintain fair market competition and promote the healthy development of the platform economy. Platform operators shall not use data, algorithms, technology, capital advantages, platform rules or other methods, to engage in monopolistic conduct prohibited by the PRC Anti-monopoly Law. Platform operators shall avoid engaging in monopolistic agreements and abusing a dominant market position, and shall not organize or substantively help other operators to reach monopolistic agreements. Furthermore, platforms with significant market share or market power are encouraged to periodically assess whether they hold a dominant market position, and an operator with dominant market position shall refrain from abusive practices including unfair pricing, selling below cost without justifiable grounds, refusing to trade, restricting transactions, tying or imposing unreasonable conditions and applying differential treatment.</w:t>
      </w:r>
    </w:p>
    <w:p>
      <w:pPr>
        <w:spacing w:after="0" w:line="188" w:lineRule="exact"/>
        <w:rPr>
          <w:sz w:val="20"/>
          <w:szCs w:val="20"/>
          <w:color w:val="auto"/>
        </w:rPr>
      </w:pPr>
    </w:p>
    <w:p>
      <w:pPr>
        <w:jc w:val="both"/>
        <w:ind w:left="120" w:firstLine="440"/>
        <w:spacing w:after="0" w:line="251" w:lineRule="auto"/>
        <w:rPr>
          <w:sz w:val="20"/>
          <w:szCs w:val="20"/>
          <w:color w:val="auto"/>
        </w:rPr>
      </w:pPr>
      <w:r>
        <w:rPr>
          <w:rFonts w:ascii="Times New Roman" w:cs="Times New Roman" w:eastAsia="Times New Roman" w:hAnsi="Times New Roman"/>
          <w:sz w:val="18"/>
          <w:szCs w:val="18"/>
          <w:color w:val="auto"/>
        </w:rPr>
        <w:t>On May 6, 2024, the SAMR promulgated the Interim Provisions on Anti-Unfair Competition on the Internet, which came into effect on September 1, 2024. Pursuant to the provisions, a platform operator with competitive advantages, without justifiable reasons, shall not make use of technical means to abuse the advantages in background transaction data, traffic and other information and management rules, to impede or disrupt the normal operation of cyber goods or services legally provided by other business operators and disrupt the fair competition order of the market by shielding any third party’s operating information or unjustifiably interfering with the display order of goods or otherwise. A platform operator shall not take advantage of service agreements, transaction rules or other means to impose unreasonable restrictions on or attach unreasonable conditions to the transactions of the business operators using the platform, the transaction price and the transactions with other business operators. On June 27, 2025, the amended Anti-Unfair Competition Law was promulgated, which took effect on October 15, 2025 and further introduced rules to address new forms of unfair competition in the digital economy by prohibiting the use of data and algorithms, technology, platform rules by business operators, by influencing user choices or otherwise, to commit the acts that hinder or disrupt the normal operation of network products or services lawfully provided by other business operators. Platform operators shall specify fair competition rules within the platform service agreement and transaction rules, establish mechanisms for reporting, complaint, and dispute resolution regarding unfair competition, and guide and regulate business operators using the platform to compete fairly in accordance with the laws; upon discovering acts of unfair competition by business operators using the platform, the platform operator shall promptly take necessary measures in accordance with the laws, preserve relevant records and report to the competent regulatory authority. On December 9, 2025, the NDRC, the SAMR, and the CAC jointly issued the Rules Governing the Pricing Behavior of Internet Platforms, which will be effective on April 10, 2026. The new rules regulate the pricing activities of internet platforms operators and the business operators on the platform Business operators on the platform are permitted to adopt differential pricing across internet platforms and internet platforms are prohibited from compelling uniform pricing among operators through algorithmic de-prioritization, traffic restrictions, or similar means. Platform operators shall not impose the following unreasonable restrictions or impose unreasonable conditions on the price behaviors of the business operators on the platform:</w:t>
      </w:r>
    </w:p>
    <w:p>
      <w:pPr>
        <w:spacing w:after="0" w:line="9" w:lineRule="exact"/>
        <w:rPr>
          <w:sz w:val="20"/>
          <w:szCs w:val="20"/>
          <w:color w:val="auto"/>
        </w:rPr>
      </w:pPr>
    </w:p>
    <w:p>
      <w:pPr>
        <w:jc w:val="both"/>
        <w:ind w:left="120" w:hanging="4"/>
        <w:spacing w:after="0" w:line="253" w:lineRule="auto"/>
        <w:tabs>
          <w:tab w:leader="none" w:pos="33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compelling or compelling in disguised form the business operators on the platform to reduce prices or conducting promotions through means such as offering discounts or rebates; (ii) compelling or compelling in disguised form the business operators on the platform to sell goods or provide services on this platform at prices no higher than those in other sales channels; (iii) compelling or compelling in disguised form the business operators on the platform to activate automatic price adjustment, automatic price reduction or similar systems; and (iv) other actions that restrict the autonomous pricing rights of the business operators on the platform.</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140"/>
          </w:cols>
          <w:pgMar w:left="320" w:top="482" w:right="4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Regulations on Internet Drug Information Services</w:t>
      </w:r>
    </w:p>
    <w:p>
      <w:pPr>
        <w:spacing w:after="0" w:line="121"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According to the Provisions on the Administration of Internet Drug Information Services, which were promulgated by the State Food and Drug Administration and most recently amended in November 2017, an enterprise publishing drug-related information must obtain a qualification certificate from the provincial-level food and drug administration before it applies for the ICP license or files with the MIIT or its local provincial-level counterpart. In addition, the Standing Committee further amended the Drug Administration Law on August 26, 2019, which became effective on December 1, 2019. An ICP service operator that provides information regarding drugs or medical devices must obtain an Internet Drug Information Service Qualification Certificate from the applicable provincial level administrative authority. On December 19, 2025, the National Medical Products Administration released the Regulations on the Filing Administration of Internet Drug or Medical Device Information Services. According to these regulations, information service providers shall, prior to providing internet drug or medical device information services, complete the filing procedures with the provincial-level drug regulatory department of their locality and obtain a filing number.</w:t>
      </w:r>
    </w:p>
    <w:p>
      <w:pPr>
        <w:spacing w:after="0" w:line="188"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Baidu Netcom firstly obtained the Qualification Certificate for Internet Drug Information Services in November 2007. On December 21, 2021, to comply with the requirements of the competent government authorities in Beijing, Baidu Netcom obtained the Filing Certificate for Internet Drug and Medical Devices Information Services to replace the Qualification Certificate for Internet Drug Information Services, and such filing certificate of Baidu Netcom has been renewed on June 13, 2022. In addition, we have several other entities in our group that have obtained the Qualification Certificate for Internet Drug Information Services.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Regulations on Internet Healthcare</w:t>
      </w:r>
    </w:p>
    <w:p>
      <w:pPr>
        <w:spacing w:after="0" w:line="121"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According to the Guiding Opinions on Vigorously Advancing the “Internet Plus” Action issued by the State Council on July 1, 2015, internet enterprises are encouraged to cooperate with medical institutions in establishing online medical information platforms, strengthen the integration of regional health care service resources, and make full use of the internet, Big Data and other means to improve the capability to prevent and control major diseases and unexpected public health incidents. The General Office of the State Council issued the Opinions on Promoting the Development of “Internet Plus Health Care” on April 25, 2018, which encouraged medical institutions to apply the internet and other information technologies to expand the space and content of medical services, and develop an online-offline integrated medical service model covering stages before, during and after diagnosis. The development of internet hospitals depending on medical institutions should be permitted. Medical institutions may use internet hospital as the second name and, based on physical hospitals, use internet technology to provide safe and appropriate medical services, allowing online re-diagnosis for some common diseases and chronic diseases. After reviewing documents of the medical records and profiles of patients, doctors should be allowed to prescribe online for some common diseases and chronic diseases.</w:t>
      </w:r>
    </w:p>
    <w:p>
      <w:pPr>
        <w:spacing w:after="0" w:line="194"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According to the Measures for the Administration of Internet Hospitals (for Trial Implementation) issued on July 17, 2018, any entity applying for establishment of an internet hospital is required to submit an application to the competent registration authority of the physical medical institution supporting such internet hospital, and submit the application form, the feasibility research report on establishment of such internet hospital, the address of the physical medical institution supporting such internet hospital, and the agreement jointly signed by the applicant and the physical medical institution in relation to establishment of an internet hospital through cooperation. If a physical medical institution intends to establish an internet hospital information platform through cooperation with a third-party institution, the relevant cooperation agreement should be submitted to competent registration authority of such physical medical institution. The Measures for the Administration of Internet Hospitals (for Trial Implementation) also clarify that internet hospitals must adopt information security protection measures for Level 3 information system in accordance with the information security laws and regulations. Doctors can only provide follow-up diagnosis services through internet hospitals for patients that have been diagnosed with certain common diseases or chronic diseases, unless the patients are in physical hospitals and the doctors in the physical hospital invites other doctors to provide diagnosis services through internet hospital.</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140"/>
          </w:cols>
          <w:pgMar w:left="320" w:top="482" w:right="4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According to the Measures for the Administration of Internet Diagnosis and Treatment (for Trial Implementation) issued on July 17, 2018, internet diagnosis and treatment activities must be provided by the medical institutions that have obtained a “Practicing License for Medical Institution.” If a medical institution intends to establish an information and services platform for internet diagnosis and treatment activities through cooperation with a third-party institution, the relevant cooperation agreement should be submitted to competent registration authority of such medical institution. The internet-based diagnosis services provided by a medical institution must be consistent with its diagnosis and treatment subjects. Physicians and nurses carrying out internet diagnosis and treatment activities should be recorded and registered in the national electronic registration system of physicians and nurses. A medical institution must conduct electronic real-name verification for the medical staff members carrying out internet diagnosis and treatment activities.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Regulations on Online Games</w:t>
      </w:r>
    </w:p>
    <w:p>
      <w:pPr>
        <w:spacing w:after="0" w:line="121"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Pursuant to the Administrative Provisions on Internet Publishing Service and the Circular on Mobile Game Publishing Service, the online games services provided on websites by online game operator partners may be deemed as a type of “online publication service,” and may be required to obtain an Internet Publication License from the NPPA. The required approval by the NNPA of each online game provided on our websites is handled by our online game operator partners.</w:t>
      </w:r>
    </w:p>
    <w:p>
      <w:pPr>
        <w:spacing w:after="0" w:line="180" w:lineRule="exact"/>
        <w:rPr>
          <w:sz w:val="20"/>
          <w:szCs w:val="20"/>
          <w:color w:val="auto"/>
        </w:rPr>
      </w:pPr>
    </w:p>
    <w:p>
      <w:pPr>
        <w:jc w:val="both"/>
        <w:ind w:left="120" w:firstLine="440"/>
        <w:spacing w:after="0" w:line="252" w:lineRule="auto"/>
        <w:rPr>
          <w:sz w:val="20"/>
          <w:szCs w:val="20"/>
          <w:color w:val="auto"/>
        </w:rPr>
      </w:pPr>
      <w:r>
        <w:rPr>
          <w:rFonts w:ascii="Times New Roman" w:cs="Times New Roman" w:eastAsia="Times New Roman" w:hAnsi="Times New Roman"/>
          <w:sz w:val="18"/>
          <w:szCs w:val="18"/>
          <w:color w:val="auto"/>
        </w:rPr>
        <w:t>In September 2009, the General Administration of Press and Publication (currently known as the NPPA) together with several other government agencies issued Notice Regarding the Consistent Implementation of the “Measures on Three Provisions” of the State Council and the Relevant Interpretations of the State Commission Office for Public Sector Reform and the Further Strengthening of the Administration of Examination and Approval of Online Games and the Examination and Approval of Imported Online Games, or the Circular 13, which explicitly prohibits foreign investors from participating in online game operating businesses through wholly-owned enterprises, equity joint ventures or cooperative joint ventures in Chinese mainland. Circular 13 expressly prohibits foreign investors from gaining control over or participating in Chinese mainland operating companies’ online game operations through indirect means, such as establishing joint venture companies, entering into contractual arrangements with or providing technical support to the operating companies, or through a disguised form, such as incorporating user registration, user account management or payment through game cards into online game platforms that are ultimately controlled or owned by foreign investors. Certain foreign companies offer online games provided by their game operator partners on websites or through smartphone app distribution platforms which are owned and operated by their variable interest entities under contractual agreements. If such contractual arrangements were deemed to be “indirect means” or “disguised form” under Circular 13, such contractual arrangements may be challenged by the NPPA or other government authorities. If we were found to be in violation of Circular 13 in the operation of our online game platform, the NNPA, in conjunction with the regulatory authorities, would have the power to investigate and deal with such violations, including in the most serious cases, suspending and revoking the relevant licenses and registrations.</w:t>
      </w:r>
    </w:p>
    <w:p>
      <w:pPr>
        <w:spacing w:after="0" w:line="197"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In October 2019, the NPPA promulgated the Circular on Preventing Minors from Developing Online Game Addictions, which mandates that online game operators take, among others, the following measures to prevent minors from being addicted to online games: (i) the operator must ensure that its online game users use valid and true identity information to register their game accounts; (ii) the operator must strictly control the time slot and duration allowed for minors to log in and play online games to the extent that it should not provide any game service for the minors in any form from 10:00 PM each day to 8:00 AM the next day, and the length of time a minor spends in playing its online games must not exceed three hours accumulatively on each statutory holiday and one and a half hours on each business day; and (iii) the online game operator should not offer any paid services to minors that are not suitable for their civil capacity. According to such circular, these requirements are pre-conditions for an operator to publish and operate any online game.</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140"/>
          </w:cols>
          <w:pgMar w:left="320" w:top="482" w:right="4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On August 30, 2021, the NPPA issued the Circular of the National Press and Publication Administration on Further Strengthening Regulation to Effectively Prevent Online Gaming Additions among Minors, which became into effect on September 1, 2021. After the effective date of this Circular, online game companies must provide minors only with one hour of online game services at prescribed periods, namely between 8 pm and 9 pm on Fridays, Saturdays, Sundays and public holidays. The Circular reinstates that online game companies must strictly implement the real-name registration and login requirements for online game user accounts. All online games should be connected to the NPPA’s real-name verification system for anti-online game addiction purpose. Online game users should use real and valid identity information to register for game accounts and log in to online games. Online game companies should not provide gaming services in any form (including visitor experience mode) to users who have not registered or logged in with their real names.</w:t>
      </w:r>
    </w:p>
    <w:p>
      <w:pPr>
        <w:spacing w:after="0" w:line="192"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On December 22, 2023, the NPPA issued the Draft Administrative Measures on Online Games for public comment until January 22, 2024, which stipulates, among others, (i) not only that the publishers of online games shall obtain the Internet Publication Licenses, the operators engaged in online game business operations such as online game operation and online game coin issuance and trading services shall also obtain the Internet Publication Licenses with the scope of the online game business operations; (ii) publishers and operators of the online game shall carry out the game publication and operation within one year from the date of obtaining the online game approval, or otherwise they shall timely explain the reasons in writing to the competent government authority; (iii) compulsory battles, inducement rewards for daily login, first recharge and continuous recharge, and rewards in large amounts in online game live-streaming shall be prohibited in online games; (iv) publishers and operators of online games shall not provide or connive at high-price trading of virtual items in the form of speculation or auction, shall set the limit of user recharge and publicize such limitations in the service rules of online games, and shall provide pop-up warning to users for irrational consumption behaviors; (v) online game publishers and operators shall submit written annual report to the competent government authority in accordance with applicable regulations, which shall include, among others, the implementation of online game management laws and policies, rewards and punishments, the performance of online game publishing and operation, the issuance and trade of online game coins, and the internal management of the current year.</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Regulations on Online Game Virtual Currency</w:t>
      </w:r>
    </w:p>
    <w:p>
      <w:pPr>
        <w:spacing w:after="0" w:line="121" w:lineRule="exact"/>
        <w:rPr>
          <w:sz w:val="20"/>
          <w:szCs w:val="20"/>
          <w:color w:val="auto"/>
        </w:rPr>
      </w:pPr>
    </w:p>
    <w:p>
      <w:pPr>
        <w:jc w:val="both"/>
        <w:ind w:left="120" w:firstLine="440"/>
        <w:spacing w:after="0" w:line="252" w:lineRule="auto"/>
        <w:rPr>
          <w:sz w:val="20"/>
          <w:szCs w:val="20"/>
          <w:color w:val="auto"/>
        </w:rPr>
      </w:pPr>
      <w:r>
        <w:rPr>
          <w:rFonts w:ascii="Times New Roman" w:cs="Times New Roman" w:eastAsia="Times New Roman" w:hAnsi="Times New Roman"/>
          <w:sz w:val="18"/>
          <w:szCs w:val="18"/>
          <w:color w:val="auto"/>
        </w:rPr>
        <w:t>The Interim Administration Measures of Online Games, which has been repealed on July 10, 2019 (while no other regulation has been issued or promulgated as of the date of this annual report to replace this regulation) require companies that (i) issue online game virtual currency (including prepaid cards and/or pre-payment or prepaid card points) or (ii) offer online game virtual currency transaction services to apply for the Internet Culture Business Permit from provincial branches of the Ministry of Culture. The regulations prohibit companies that issue online game virtual currency from providing services that would enable the trading of such virtual currency. Any company that fails to submit the requisite application will be subject to sanctions, including, but not limited to, termination of operation, confiscation of incomes and fines. The regulations also prohibit online game operators from allocating virtual items or virtual currency to players based on random selection through lucky draw, wager or lottery that involve cash or virtual currency directly paid by the players. In addition, companies that issue online game virtual currency must comply with certain specific requirements. For example, online games virtual currency can only be used for products and services related to the issuance company’s own online games. Pursuant to the Circular on Regulating Online Game Operation and Strengthening Interim and Ex Post Supervision issued by the Ministry of Culture in December 2016, which took effect on May 1, 2017 and repealed on August 19, 2019, an online game operator must not allow online game virtual currency to exchange for legal currency or items, except in the case of termination of online game operation where the online game operator may refund the balance of online game virtual currency to players in the form of legal currency or in other means acceptable to the players. Moreover, pursuant to the circular, regulations applicable to online game virtual currency also apply to such other virtual items where the virtual items are issued by the online game operator, can be exchangeable for other virtual items or value-added services related to the games, and can be purchased with legal currency or online game virtual currency or exchanged for online game virtual currency.</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140"/>
          </w:cols>
          <w:pgMar w:left="320" w:top="482" w:right="4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On December 22, 2023, the NPPA issued the Draft Administrative Measures on Online Games for public comment, pursuant to which, one enterprise shall not engage in the issuance and trading service of online game currency at the same time. With respect to the issuance of online game coins, the Draft Administrative Measures on Online Games emphasizes again that: (i) online game coins shall only be used to the extent of the exchange of online game products and services provided by such issuers, and shall not be used for payment, purchase of physical items or exchange of products and services of other service providers; (ii) the issuance of online game coins shall not be issued for purpose of maliciously occupying players’ prepaid funds, and the standards for the issuance and purchase of online game coins shall be transparent and reasonable; and (iii) the service of exchanging online game coins for legal currency shall be prohibited. With respect to the trading service of online game coins, the Draft Administrative Measures on Online Games provides that, among others, (i) trading services shall not be provided for any unapproved online games; (ii) anonymous digital RMB wallets shall be prohibited from being provided to players; and (iii) technical measures shall be taken to effectively supervise the transaction process, and the transactions with illegal and suspicious behaviors shall be reported to the competent government authority in a timely manner to avoid convenience for online gambling, online fraud and other illegal behaviors. In addition, according to the Draft Administrative Measures on Online Games, virtual items issued by online game publishers and operators, which are directly purchased by players with legal currency, purchased or exchanged by players with online game coins, and which can be directly exchanged into other virtual items or value-added services in the games, shall be regulated as online game coins. Publishers and operators of online games shall not convert virtual items of online games obtained by players into legal currency.</w:t>
      </w:r>
    </w:p>
    <w:p>
      <w:pPr>
        <w:spacing w:after="0" w:line="30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Regulations on Overseas Offering and Listing</w:t>
      </w:r>
    </w:p>
    <w:p>
      <w:pPr>
        <w:spacing w:after="0" w:line="121"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On July 6, 2021, the PRC government authorities issued Opinions on Strictly Cracking Down Illegal Securities Activities in Accordance with the Law. These opinions emphasized the need to strengthen the administration over illegal securities activities and the supervision on overseas listings by Chinese mainland-based companies and proposed to take effective measures, such as promoting the construction of the regulatory systems to deal with the risks and incidents faced by Chinese mainland-based overseas-listed companies.</w:t>
      </w:r>
    </w:p>
    <w:p>
      <w:pPr>
        <w:spacing w:after="0" w:line="180"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On September 6, 2024, the NDRC and the MOC jointly issued the Special Administrative Measures (Negative List) for Foreign Investment Access (2024 Version), which became effective on November 1, 2024, to supersede the Special Administrative Measures (Negative List) for Foreign Investment Access (2021 Version). Pursuant to such measures, if a domestic company engaging in the prohibited business stipulated in the 2024 negative list seeks an overseas offering and listing, it must obtain the approval from the competent government authorities. Besides, the foreign investors of the company should not be involved in the company’s operation and management, and their shareholding percentage are subject, mutatis mutandis, to the regulations on the domestic securities investments by foreign investors.</w:t>
      </w:r>
    </w:p>
    <w:p>
      <w:pPr>
        <w:spacing w:after="0" w:line="187" w:lineRule="exact"/>
        <w:rPr>
          <w:sz w:val="20"/>
          <w:szCs w:val="20"/>
          <w:color w:val="auto"/>
        </w:rPr>
      </w:pPr>
    </w:p>
    <w:p>
      <w:pPr>
        <w:jc w:val="both"/>
        <w:ind w:left="120" w:firstLine="440"/>
        <w:spacing w:after="0" w:line="251" w:lineRule="auto"/>
        <w:rPr>
          <w:sz w:val="20"/>
          <w:szCs w:val="20"/>
          <w:color w:val="auto"/>
        </w:rPr>
      </w:pPr>
      <w:r>
        <w:rPr>
          <w:rFonts w:ascii="Times New Roman" w:cs="Times New Roman" w:eastAsia="Times New Roman" w:hAnsi="Times New Roman"/>
          <w:sz w:val="18"/>
          <w:szCs w:val="18"/>
          <w:color w:val="auto"/>
        </w:rPr>
        <w:t>On February 17, 2023, the CSRC, as approved by the State Council, released the Trial Administrative Measures of Overseas Securities Offering and Listing by Domestic Companies and five supporting guidelines, or the Filing Rules collectively. According to the Filing Rules, domestic companies in Chinese mainland that directly or indirectly offer or list their securities in an overseas market, are required to file with the CSRC. Specifically, the securities under the Filing Rules refer to stocks, depositary receipts, convertible corporate bonds, exchangeable bonds and other equity-linked securities to be issued and offered in overseas markets by domestic companies directly or indirectly, while a direct offering and listing refers to the overseas offering and listing of a joint-stock company incorporated in Chinese mainland, and an indirect offering and listing refers to the overseas offering and listing of a domestic company which conducts its business operations primarily in Chinese mainland, in the name of an offshore company and based on the underlying equities, assets, earnings or similar interests of the domestic company. In particular, the determination of an indirect offering and listing will be conducted on a “substance over form” basis, and an offering and listing should be considered as an indirect overseas offering and listing by a domestic company if the issuer meets both of the following conditions: (i) any of the revenue, profits, total assets or net assets of such domestic company in the most recent financial year account for more than 50% of the corresponding data in the issuer’s audited consolidated financial statements for the same period; and (ii) the majority of its business operations are conducted in Chinese mainland or its principal place of business is located in Chinese mainland, or the majority of senior management in charge of business operations are Chinese citizens or have domicile in the Chinese mainland. According to the Filing Rules, an overseas offering and listing is prohibited under any of the following circumstances: (i) if the intended securities offering and listing is specifically prohibited by the laws, administrative regulations and national provisions; (ii) if the intended securities offering and listing may constitute a threat to or endangers national security as reviewed and determined by competent authorities under the State Council in accordance with law; (iii) the domestic companies or their controlling shareholders or actual controllers have committed corruption, bribery, embezzlement, misappropriation of property, or other criminal offenses disruptive to the order of the socialist market economy in the past three years;</w:t>
      </w:r>
    </w:p>
    <w:p>
      <w:pPr>
        <w:spacing w:after="0" w:line="10" w:lineRule="exact"/>
        <w:rPr>
          <w:sz w:val="20"/>
          <w:szCs w:val="20"/>
          <w:color w:val="auto"/>
        </w:rPr>
      </w:pPr>
    </w:p>
    <w:p>
      <w:pPr>
        <w:jc w:val="both"/>
        <w:ind w:left="120" w:hanging="4"/>
        <w:spacing w:after="0" w:line="255" w:lineRule="auto"/>
        <w:tabs>
          <w:tab w:leader="none" w:pos="42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domestic companies are currently under investigations in connection with suspicion of having committed criminal offenses or material violations of applicable laws and regulations, and there is still no explicit conclusion; (v) there are material ownership disputes over the shareholdings held by the controlling shareholder or the shareholder under the control of the controlling shareholder or the actual controllers.</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140"/>
          </w:cols>
          <w:pgMar w:left="320" w:top="482" w:right="4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both"/>
        <w:ind w:left="120" w:firstLine="440"/>
        <w:spacing w:after="0" w:line="252" w:lineRule="auto"/>
        <w:rPr>
          <w:sz w:val="20"/>
          <w:szCs w:val="20"/>
          <w:color w:val="auto"/>
        </w:rPr>
      </w:pPr>
      <w:r>
        <w:rPr>
          <w:rFonts w:ascii="Times New Roman" w:cs="Times New Roman" w:eastAsia="Times New Roman" w:hAnsi="Times New Roman"/>
          <w:sz w:val="18"/>
          <w:szCs w:val="18"/>
          <w:color w:val="auto"/>
        </w:rPr>
        <w:t>According to the Filing Rules, the issuer or its affiliated domestic company, as the case may be, is required to file with the CSRC (i) with respect to its initial public offering and listing and its subsequent securities offering in an overseas market different from the market where it has listed, within three business days after its submission of listing application documents to the regulator in the place of intended listing, (ii) with respect to its follow-on offering in the same overseas market where it has listed (including issuance of any corporate convertible bonds, exchangeable bonds and other equity-linked securities, but excluding the offering for employees incentive, dividend distribution by shares and share split), within three business days after completion of such follow-on offering, (iii) with respect to listing by means of single or multiple acquisitions, share swap, transfers of shares and similar transactions, within three business days after its initial filing of the listing application or the first public announcement of the transaction, as case may be. Failure to comply with the filing requirements may result in an order of rectification, a warning and fines up to RMB10 million to the non-compliant domestic companies, and the directly responsible persons of the companies will be warned and fined between RMB500,000 and RMB5 million. Furthermore, if the controlling shareholder and the actual controller of the non-compliant companies organizes or instigates the breach, they will be fined between RMB1 million and RMB10 million. In addition to above filing requirements, the Filings Rules also requires an issuer to report to the CSRC within three business days after occurrence of any the following events: (i) its change of control; (ii) its being subject to investigation or sanctions by any overseas securities regulators or overseas authorities; (iii) its change of listing status or listing segment; (iv) voluntary or mandatory delisting; and (v) material change of its principal business operations to the extent that it ceases to be subject to the filing requirements of the Filing Rules.</w:t>
      </w:r>
    </w:p>
    <w:p>
      <w:pPr>
        <w:spacing w:after="0" w:line="200" w:lineRule="exact"/>
        <w:rPr>
          <w:sz w:val="20"/>
          <w:szCs w:val="20"/>
          <w:color w:val="auto"/>
        </w:rPr>
      </w:pPr>
    </w:p>
    <w:p>
      <w:pPr>
        <w:spacing w:after="0" w:line="213"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On February 24, 2023, the CSRC, jointly with other government authorities, promulgated the revised Provisions on Strengthening Confidentiality and Archives Management of Overseas Securities Issuance and Listing by Domestic Enterprises, effective on March 31, 2023. According to these provisions, domestic companies, whether offering and listing securities overseas directly or indirectly, must strictly abide by the applicable laws and regulations, enhance the sense of confidentiality, improve the archives management system, and take necessary measures to implement the confidentiality and archives management responsibilities when providing or publicly disclosing, either directly or through their overseas listed entities, documents and materials to securities services providers such as securities companies and accounting firms or overseas regulators in the process of their overseas offering and listing. In the event that such documents or materials contain any information related to state secrets or government authorities work secrets, domestic companies must obtain the approval from competent government authorities according to the applicable laws, and file with the secrecy administrative department at the same level with the approving government authority; and in the event that such documents or materials, if divulged, will jeopardize national security or public interest, domestic companies should strictly fulfill the procedures stipulated by applicable laws and regulations. Furthermore, domestic companies should also provide a written statement about whether they have completed the approval or filing procedures as above when providing documents and materials to securities companies and securities service providers, and the securities companies and securities service providers should properly retain such written statements for inspection.</w:t>
      </w:r>
    </w:p>
    <w:p>
      <w:pPr>
        <w:spacing w:after="0" w:line="187"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Securities companies and securities service providers shall also fulfill the applicable legal procedures according to the revised Provisions on Strengthening Confidentiality and Archives Management of Overseas Securities Issuance and Listing by Domestic Enterprises when providing overseas regulatory institutions and other institutions and individuals with documents or materials containing any state secrets or government authorities work secrets or other documents or materials that, if divulged, will jeopardize national security or public interest.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Regulations on Foreign Exchange</w:t>
      </w:r>
    </w:p>
    <w:p>
      <w:pPr>
        <w:spacing w:after="0" w:line="119"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Foreign Currency Exchange. </w:t>
      </w:r>
      <w:r>
        <w:rPr>
          <w:rFonts w:ascii="Times New Roman" w:cs="Times New Roman" w:eastAsia="Times New Roman" w:hAnsi="Times New Roman"/>
          <w:sz w:val="18"/>
          <w:szCs w:val="18"/>
          <w:color w:val="auto"/>
        </w:rPr>
        <w:t>Pursuant to the Foreign Currency Administration Rules, as most recently amended in 2008, and various regulations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issued by SAFE and other PRC government authorities, RMB is freely convertible to the extent of current account items, such as trade related receipts and payments, interest and dividends. Capital account items, such as direct equity investments, loans and repatriation of investment, unless expressly exempted by laws and regulations, still require prior approval from SAFE or its provincial branch for conversion of RMB into a foreign currency, such as U.S. dollars, and remittance of the foreign currency outside of Chinese mainland.</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1140"/>
          </w:cols>
          <w:pgMar w:left="320" w:top="482" w:right="4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In August 2008, SAFE issued the Circular on the Relevant Operating Issues Concerning the Improvement of the Administration of the Payment and Settlement of Foreign Currency Capital of Foreign-Invested Enterprises, or SAFE Circular 142, regulating the conversion by a foreign-invested enterprise of foreign currency-registered capital into RMB by restricting how the converted RMB may be used. In addition, SAFE promulgated Circular 45 on November 9, 2011 in order to clarify the application of SAFE Circular 142. Under SAFE Circular 142 and Circular 45, the RMB capital converted from foreign currency registered capital of a foreign-invested enterprise may only be used for purposes within the business scope approved by the applicable administrative authority and may not be used for equity investments within Chinese mainland. In addition, SAFE strengthened its oversight of the flow and use of RMB capital converted from foreign currency registered capital of foreign-invested enterprises. The use of RMB capital may not be changed without SAFE’s approval, and RMB capital may not in any case be used to repay RMB loans if the proceeds of the loans have not been used.</w:t>
      </w:r>
    </w:p>
    <w:p>
      <w:pPr>
        <w:spacing w:after="0" w:line="188"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To further reform the foreign exchange administration system in order to satisfy and facilitate the business and capital operations of foreign-invested enterprises, SAFE issued the Circular on the Relevant Issues Concerning the Launch of Reforming Trial of the Administration Model of the Settlement of Foreign Currency Capital of Foreign-Invested Enterprises in Certain Areas in July 2014, which became effective on August 4, 2014. This circular suspends the application of SAFE Circular 142 in certain areas and allows a foreign-invested enterprise registered in these areas with a business scope including “investment” to use the RMB capital converted from foreign currency registered capital for equity investments within Chinese mainland. SAFE released the Notice on the Reform of the Administration Method for the Settlement of Foreign Exchange Capital of Foreign-invested Enterprises or SAFE Circular 19, in March 2015, which came into force and superseded SAFE Circular 142 on June 1, 2015. Circular 19 allows foreign-invested enterprises to settle their foreign exchange capital on a discretionary basis according to the actual needs of their business operation and provides the procedures for foreign-invested companies to use Renminbi converted from foreign currency-denominated capital for equity investment. Nevertheless, Circular 19 also reiterates the principle that Renminbi converted from foreign currency-denominated capital of a foreign-invested company may not be directly or indirectly used for purposes beyond its business scope.</w:t>
      </w:r>
    </w:p>
    <w:p>
      <w:pPr>
        <w:spacing w:after="0" w:line="192"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In June 2016, SAFE issued the Circular on Reforming and Regulating Policies on the Control over Foreign Exchange Settlement of Capital Accounts, or Circular 16, which took effect on the same day. Compared to Circular 19, Circular 16 provides that discretionary foreign exchange settlement applies to foreign exchange capital, foreign debt offering proceeds and remitted foreign listing proceeds, and the corresponding Renminbi obtained from foreign exchange settlement are not restricted from extending loans to related parties or repaying the intercompany loans (including advances by third parties). However, there still exist substantial uncertainties with respect to the interpretation and implementation of Circular 16 in practice.</w:t>
      </w:r>
    </w:p>
    <w:p>
      <w:pPr>
        <w:spacing w:after="0" w:line="187"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In November 2012, SAFE promulgated the Circular of Further Improving and Adjusting Foreign Exchange Administration Policies on Direct Investment, as amended, which substantially amends and simplifies the foreign exchange procedure. Pursuant to this circular, the opening of various special purpose foreign exchange accounts, such as pre-establishment expenses accounts, foreign exchange capital accounts and guarantee accounts, the reinvestment of RMB proceeds by foreign investors in Chinese mainland, and remittance of foreign exchange profits and dividends by a foreign-invested enterprise to its foreign shareholders no longer require the approval or verification of SAFE, and multiple capital accounts for the same entity may be opened in different provinces, which was not possible previously. In addition, SAFE promulgated the Circular on Printing and Distributing the Provisions on Foreign Exchange Administration over Domestic Direct Investment by Foreign Investors and the Supporting Documents in May 2013, as amended, which specifies that the administration by SAFE or its local branches over direct investment by foreign investors in Chinese mainland should be conducted by way of registration and banks should process foreign exchange business relating to the direct investment in Chinese mainland based on the registration information provided by SAFE and its branches.</w:t>
      </w:r>
    </w:p>
    <w:p>
      <w:pPr>
        <w:spacing w:after="0" w:line="194"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After a Notice on Further Simplifying and Improving Foreign Exchange Administration Policy on Direct Investment became effective on June 1, 2015, instead of applying for approvals regarding foreign exchange registrations of foreign direct investment and overseas direct investment from SAFE, entities and individuals will be required to apply for such foreign exchange registrations from qualified banks. The qualified banks, under the supervision of SAFE, directly examine the applications and conduct the registration.</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140"/>
          </w:cols>
          <w:pgMar w:left="320" w:top="482" w:right="4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On October 23, 2019, SAFE issued the Circular on Further Promoting Cross-border Trade and Investment Facilitation. Among others, this circular relaxes the prior restrictions and allows the foreign-invested enterprises without equity investment as in their approved business scope to use their capital obtained from foreign exchange settlement to make domestic equity investment as long as the investments are real and in compliance with the foreign investment-related laws and regulations. In addition, this circular stipulates that qualified enterprises in certain pilot areas may use their capital income from registered capital, foreign debt and overseas listing, for the purpose of domestic payments without providing authenticity certifications to the relevant banks in advance for those domestic payments. Payments for transactions that take place within Chinese mainland must be made in RMB. Foreign currency revenues received by companies in Chinese mainland may be repatriated into Chinese mainland or retained outside of Chinese mainland in accordance with requirements and terms specified by SAFE.</w:t>
      </w:r>
    </w:p>
    <w:p>
      <w:pPr>
        <w:spacing w:after="0" w:line="190" w:lineRule="exact"/>
        <w:rPr>
          <w:sz w:val="20"/>
          <w:szCs w:val="20"/>
          <w:color w:val="auto"/>
        </w:rPr>
      </w:pPr>
    </w:p>
    <w:p>
      <w:pPr>
        <w:jc w:val="both"/>
        <w:ind w:left="120" w:right="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Dividend Distribution. </w:t>
      </w:r>
      <w:r>
        <w:rPr>
          <w:rFonts w:ascii="Times New Roman" w:cs="Times New Roman" w:eastAsia="Times New Roman" w:hAnsi="Times New Roman"/>
          <w:sz w:val="18"/>
          <w:szCs w:val="18"/>
          <w:color w:val="auto"/>
        </w:rPr>
        <w:t>Wholly foreign-owned enterprises and Sino-foreign equity joint ventures in Chinese mainland may pay dividends only 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their accumulated profits, if any, as determined in accordance with PRC accounting standards and regulations. Additionally, these foreign-invested enterprises may not pay dividends unless they set aside at least 10% of their respective accumulated profits after tax each year, if any, to fund certain reserve funds, until such time as the accumulative amount of such fund reaches 50% of the enterprise’s registered capital. In addition, these companies also may allocate a portion of their after-tax profits based on PRC accounting standards to employee welfare and bonus funds at their discretion. These reserves are not distributable as cash dividends.</w:t>
      </w:r>
    </w:p>
    <w:p>
      <w:pPr>
        <w:spacing w:after="0" w:line="184" w:lineRule="exact"/>
        <w:rPr>
          <w:sz w:val="20"/>
          <w:szCs w:val="20"/>
          <w:color w:val="auto"/>
        </w:rPr>
      </w:pPr>
    </w:p>
    <w:p>
      <w:pPr>
        <w:jc w:val="both"/>
        <w:ind w:left="120" w:firstLine="440"/>
        <w:spacing w:after="0" w:line="281" w:lineRule="auto"/>
        <w:rPr>
          <w:sz w:val="20"/>
          <w:szCs w:val="20"/>
          <w:color w:val="auto"/>
        </w:rPr>
      </w:pPr>
      <w:r>
        <w:rPr>
          <w:rFonts w:ascii="Times New Roman" w:cs="Times New Roman" w:eastAsia="Times New Roman" w:hAnsi="Times New Roman"/>
          <w:sz w:val="17"/>
          <w:szCs w:val="17"/>
          <w:color w:val="auto"/>
        </w:rPr>
        <w:t>Regulations governing abovementioned dividend distribution arrangements have been replaced by the PRC Foreign Investment Law and its implantation rules, which do not provide specific dividend distribution rules for foreign invested enterprises. However, the PRC Foreign Investment Law and its implementation rules provide that after the conversion from a wholly foreign-owned enterprise or sino-foreign equity joint venture to a foreign invested enterprise under the PRC Foreign Investment Law, distribution method of gains agreed in the joint venture agreements may continue to apply.</w:t>
      </w:r>
    </w:p>
    <w:p>
      <w:pPr>
        <w:spacing w:after="0" w:line="162" w:lineRule="exact"/>
        <w:rPr>
          <w:sz w:val="20"/>
          <w:szCs w:val="20"/>
          <w:color w:val="auto"/>
        </w:rPr>
      </w:pPr>
    </w:p>
    <w:p>
      <w:pPr>
        <w:jc w:val="both"/>
        <w:ind w:left="120" w:firstLine="440"/>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Foreign Exchange Registration of Offshore Investment by Domestic Residents of Chinese Mainland. </w:t>
      </w:r>
      <w:r>
        <w:rPr>
          <w:rFonts w:ascii="Times New Roman" w:cs="Times New Roman" w:eastAsia="Times New Roman" w:hAnsi="Times New Roman"/>
          <w:sz w:val="18"/>
          <w:szCs w:val="18"/>
          <w:color w:val="auto"/>
        </w:rPr>
        <w:t>On July 4, 2014, SAFE promulgated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Circular on Relevant Issues Concerning Foreign Exchange Control on Domestic Residents’ Offshore Investment and Financing and Roundtrip Investment through Special Purpose Vehicles, or SAFE Circular No. 37. SAFE Circular No. 37 requires domestic residents to register with local branches of SAFE in connection with their direct establishment or indirect control of an offshore entity, for the purpose of overseas investment and financing, with such domestic residents’ legally owned assets or equity interests in domestic enterprises or offshore assets or interests, referred to in SAFE Circular No. 37 as a “special purpose vehicle.” The term “control” under SAFE Circular No. 37 is broadly defined as the operation rights, beneficiary rights or decision-making rights acquired by the domestic residents in the offshore special purpose vehicles or domestic companies by such means as acquisition, trust, proxy, voting rights, repurchase, convertible bonds or other arrangements. SAFE Circular No. 37 further requires amendment to the registration in the event of any changes with respect to the basic information of the special purpose vehicle, such as changes in a domestic resident individual shareholder, name or operation period; or any significant changes with respect to the special purpose vehicle, such as an increase or decrease of capital contributed by domestic individuals, a share transfer or exchange, merger, division or other material event. If the shareholders of the offshore holding company who are domestic residents do not complete their registration with the local SAFE branches, the Chinese mainland subsidiaries may be prohibited from distributing their profits and proceeds from any reduction in capital, share transfer or liquidation to the offshore company, and the offshore company may be restricted in its ability to contribute additional capital to its Chinese mainland subsidiaries. Moreover, failure to comply with the SAFE registration and amendment requirements described above could result in liability under laws of Chinese mainland for evasion of applicable foreign exchange restrictions. We have notified holders of ordinary shares of our company whom we know are domestic residents to register with the local SAFE branch and update their registrations as required under the SAFE regulations described above. After the Notice on Further Simplifying and Improving Foreign Exchange Administration Policy on Direct Investment became effective on June 1, 2015, entities and individuals are required to apply for foreign exchange registration of foreign direct investment and overseas direct investment, including those required under SAFE Circular No. 37, with qualified banks, instead of SAFE. The qualified banks, under the supervision of SAFE, directly examine the applications and conduct the registration. We are aware that Mr. Robin Yanhong Li, our chairman, chief executive officer and principal shareholder, who is a domestic resident, has registered with the local SAFE branch. We, however, cannot provide any assurances that all of our shareholders who are domestic residents will file all applicable registrations or update previously filed registrations as required by these SAFE regulations. The failure or inability of our domestic resident shareholders to comply with the registration procedures may subject the domestic resident shareholders to fines and legal sanctions, restrict our cross-border investment activities, or limit our Chinese mainland subsidiaries’ ability to distribute dividends to or obtain foreign exchange dominated loans from our company.</w:t>
      </w:r>
    </w:p>
    <w:p>
      <w:pPr>
        <w:spacing w:after="0" w:line="13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1140"/>
          </w:cols>
          <w:pgMar w:left="320" w:top="482" w:right="4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Under the Administration Measures on Individual Foreign Exchange Control issued by the People’s Bank of China in December 2006 and its implementation rules issued in January 2007 and revised in May 2016, all foreign exchange matters involved in employee share ownership plans and share option plans in which citizens of Chinese mainland participate require approval from SAFE or its authorized branch. In February 2012, SAFE promulgated the Notices on Issues Concerning the Foreign Exchange Administration for Domestic Individuals Participating in Stock Incentive Plans of Overseas Publicly-Listed Companies. Under these notices, domestic residents who are granted stock options by an overseas publicly listed company are required, through a domestic agent or domestic subsidiary of such overseas publicly listed company, to register with SAFE and complete certain other procedures. We and our domestic resident employees who have been granted stock options are subject to these regulations. We have designated our Chinese mainland subsidiary Baidu Online to handle the registration and other procedures required by these notices. Failure of the option holders to complete their SAFE registrations may subject these domestic employees to fines and legal sanctions and may also limit the ability of the overseas publicly listed company to contribute additional capital into its Chinese mainland subsidiary and limit the Chinese mainland subsidiary’s ability to distribute dividends.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Regulation on Product Quality</w:t>
      </w:r>
    </w:p>
    <w:p>
      <w:pPr>
        <w:spacing w:after="0" w:line="121"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Products made in Chinese mainland are subject to the PRC Product Quality Law, which was promulgated on February 22, 1993 and most recently amended on December 29, 2018. According to the PRC Product Quality Law, a seller of a product should be responsible for repairing, replacing or returning the product with any of the following defects, and should compensate for the damages incurred by consumers who bought such defective product: (i) the product does not have the usability which such product should have and there are no prior indications about such situation; (ii) the actual quality of such product fails to comply with the standards specified on such product or the package of such product; and (iii) the actual quality of such product fails to meet the quality status specified by way of product specifications and samples. After the seller performs its obligation of repairing, replacing and returning the defective product and/or compensating for the customers’ damages, such seller is entitled to seek reimbursement from the manufacturer of such product, if it could be proved that the defect is caused by the manufacturer. According to the PRC Product Quality Law, a manufacturer of a product should be responsible to compensate for the damages to any person caused by the defect of such product, unless the manufacturer is able to prove that: (i) it did not circulate the product; (ii) the defect did not exist at the time when the product was circulated; or (iii) scientific or technologic knowledge at the time when such product was circulated was not such that it allowed the defect to be discovered.</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Regulations on Tort Liability</w:t>
      </w:r>
    </w:p>
    <w:p>
      <w:pPr>
        <w:spacing w:after="0" w:line="121"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The National People’s Congress adopted the PRC Civil Code on May 28, 2020, which came into effect on January 1, 2021 and revoked the PRC Tort Liability Law. The PRC Civil Code provides that internet users and internet service providers shall bear tortious liabilities in the event that they infringe upon other persons’ rights and interests through the internet. It has further elaborated on “safe harbor” rule with respect to an internet service provider from both the aspects of notice and counter notice, including (i) upon receiving notice from the right holder, promptly adopting necessary protective measures such as deletion, screening or disconnection of hyperlinks and reefing right holder’s notice to disputed internet user; and (ii) upon receiving counter-notice from the disputed internet user, referring such counter-notice to the claiming right holder and informing him/her to take other corresponding measures such as filing complaint with competent authorities or suit with courts. The PRC Civil Code has also provided that where the internet service provider knew or should have known the infringing acts of the internet user, it must be severally liable with such internet user. As for product liability, the PRC Civil Code provides additional mitigation measures such as stop selling of defective products and stipulated that the seller and manufacturer should also be liable for expanded damages caused by such defective products if no mitigation measures are provided or not sufficient. If a recall of defective product is required, the seller and the manufacturer should be responsible to undertake fees paid by infringed users.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140"/>
          </w:cols>
          <w:pgMar w:left="320" w:top="482" w:right="4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Regulations on Labor</w:t>
      </w:r>
    </w:p>
    <w:p>
      <w:pPr>
        <w:spacing w:after="0" w:line="121"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The PRC Labor Contract Law, which became effective in January 2008 and last amended in December 2012, and its implementation rules, impose more restrictions on employers and have been deemed to increase labor costs for employers, compared to the PRC Labor Law, which became effective in January 1995. For example, pursuant to the Labor Contract Law, an employer is obliged to sign a labor contract with an unlimited term with an employee if the employer continues to hire the employee after the expiration of two consecutive fixed-term labor contracts. The employer has to compensate the employee upon the expiration of a fixed-term labor contract, unless the employee refuses to renew such contract on terms the same as or more favorable to the employee than those contained in the expired contract. The employer also has to indemnify an employee if the employer terminates a labor contract without a cause permitted by law. In addition, under the Regulations on Paid Annual Leave for Employees, which became effective in January 2008, employees who have served more than one year for an employer are entitled to a paid vacation ranging from 5 to 15 days per year, depending on their length of service. Employees who waive such vacation time at the request of employers must be compensated for three times their regular salaries for each waived vacation day.</w:t>
      </w:r>
    </w:p>
    <w:p>
      <w:pPr>
        <w:spacing w:after="0" w:line="194"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In addition, according to the PRC Social Insurance Law and the Regulations on the Administration of Housing Provident Funds, employers in Chinese mainland must provide employees with welfare schemes covering pension insurance, unemployment insurance, maternity insurance, work-related injury insurance, medical insurance and housing provident funds.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Regulations on Taxation</w:t>
      </w:r>
    </w:p>
    <w:p>
      <w:pPr>
        <w:spacing w:after="0" w:line="121"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For a discussion of applicable tax regulations of Chinese mainland, see “Item 5.A. Operating and Financial Review and Prospects—Operating Results—Taxation.”</w:t>
      </w:r>
    </w:p>
    <w:p>
      <w:pPr>
        <w:spacing w:after="0" w:line="306" w:lineRule="exact"/>
        <w:rPr>
          <w:sz w:val="20"/>
          <w:szCs w:val="20"/>
          <w:color w:val="auto"/>
        </w:rPr>
      </w:pPr>
    </w:p>
    <w:p>
      <w:pPr>
        <w:ind w:left="540" w:hanging="424"/>
        <w:spacing w:after="0"/>
        <w:tabs>
          <w:tab w:leader="none" w:pos="54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Organizational Structure</w:t>
      </w:r>
    </w:p>
    <w:p>
      <w:pPr>
        <w:spacing w:after="0" w:line="121" w:lineRule="exact"/>
        <w:rPr>
          <w:rFonts w:ascii="Times New Roman" w:cs="Times New Roman" w:eastAsia="Times New Roman" w:hAnsi="Times New Roman"/>
          <w:sz w:val="18"/>
          <w:szCs w:val="18"/>
          <w:b w:val="1"/>
          <w:bCs w:val="1"/>
          <w:color w:val="auto"/>
        </w:rPr>
      </w:pPr>
    </w:p>
    <w:p>
      <w:pPr>
        <w:ind w:left="5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is a list of our principal subsidiaries and the variable interest entities as of the date of this annual report on Form 20-F:</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6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Borders>
              <w:bottom w:val="single" w:sz="8" w:color="CCEEFF"/>
            </w:tcBorders>
          </w:tcPr>
          <w:p>
            <w:pPr>
              <w:spacing w:after="0"/>
              <w:rPr>
                <w:sz w:val="16"/>
                <w:szCs w:val="16"/>
                <w:color w:val="auto"/>
              </w:rPr>
            </w:pPr>
          </w:p>
        </w:tc>
        <w:tc>
          <w:tcPr>
            <w:tcW w:w="196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b w:val="1"/>
                <w:bCs w:val="1"/>
                <w:color w:val="auto"/>
              </w:rPr>
              <w:t>Place of Formation</w:t>
            </w:r>
          </w:p>
        </w:tc>
        <w:tc>
          <w:tcPr>
            <w:tcW w:w="120" w:type="dxa"/>
            <w:vAlign w:val="bottom"/>
            <w:tcBorders>
              <w:bottom w:val="single" w:sz="8" w:color="CCEEFF"/>
            </w:tcBorders>
          </w:tcPr>
          <w:p>
            <w:pPr>
              <w:spacing w:after="0"/>
              <w:rPr>
                <w:sz w:val="16"/>
                <w:szCs w:val="16"/>
                <w:color w:val="auto"/>
              </w:rPr>
            </w:pPr>
          </w:p>
        </w:tc>
        <w:tc>
          <w:tcPr>
            <w:tcW w:w="220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4"/>
                <w:szCs w:val="14"/>
                <w:b w:val="1"/>
                <w:bCs w:val="1"/>
                <w:color w:val="auto"/>
              </w:rPr>
              <w:t>Relationship</w:t>
            </w:r>
          </w:p>
        </w:tc>
      </w:tr>
      <w:tr>
        <w:trPr>
          <w:trHeight w:val="210"/>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Baidu Holdings Limited</w:t>
            </w:r>
          </w:p>
        </w:tc>
        <w:tc>
          <w:tcPr>
            <w:tcW w:w="1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British Virgin Islands</w:t>
            </w:r>
          </w:p>
        </w:tc>
        <w:tc>
          <w:tcPr>
            <w:tcW w:w="12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Wholly owned subsidiary</w:t>
            </w: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Baidu (Hong Kong) Limited</w:t>
            </w:r>
          </w:p>
        </w:tc>
        <w:tc>
          <w:tcPr>
            <w:tcW w:w="20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Hong Kong</w:t>
            </w:r>
          </w:p>
        </w:tc>
        <w:tc>
          <w:tcPr>
            <w:tcW w:w="2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Wholly owned subsidiary</w:t>
            </w: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Baidu Online Network Technology (Beijing) Co., Ltd.</w:t>
            </w:r>
          </w:p>
        </w:tc>
        <w:tc>
          <w:tcPr>
            <w:tcW w:w="20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Chinese Mainland</w:t>
            </w:r>
          </w:p>
        </w:tc>
        <w:tc>
          <w:tcPr>
            <w:tcW w:w="2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Wholly owned subsidiary</w:t>
            </w: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Baidu (China) Co., Ltd.</w:t>
            </w:r>
          </w:p>
        </w:tc>
        <w:tc>
          <w:tcPr>
            <w:tcW w:w="20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Chinese Mainland</w:t>
            </w:r>
          </w:p>
        </w:tc>
        <w:tc>
          <w:tcPr>
            <w:tcW w:w="2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Wholly owned subsidiary</w:t>
            </w: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Baidu.com Times Technology (Beijing) Co., Ltd</w:t>
            </w:r>
          </w:p>
        </w:tc>
        <w:tc>
          <w:tcPr>
            <w:tcW w:w="20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Chinese Mainland</w:t>
            </w:r>
          </w:p>
        </w:tc>
        <w:tc>
          <w:tcPr>
            <w:tcW w:w="2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Wholly owned subsidiary</w:t>
            </w: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Dulian Network Technology (Hainan) Co., Ltd</w:t>
            </w:r>
          </w:p>
        </w:tc>
        <w:tc>
          <w:tcPr>
            <w:tcW w:w="20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Chinese Mainland</w:t>
            </w:r>
          </w:p>
        </w:tc>
        <w:tc>
          <w:tcPr>
            <w:tcW w:w="2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Wholly owned subsidiary</w:t>
            </w: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Beijing Baidu Netcom Science Technology Co., Ltd.</w:t>
            </w:r>
          </w:p>
        </w:tc>
        <w:tc>
          <w:tcPr>
            <w:tcW w:w="20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Chinese Mainland</w:t>
            </w:r>
          </w:p>
        </w:tc>
        <w:tc>
          <w:tcPr>
            <w:tcW w:w="2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Variable interest entity</w:t>
            </w: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Beijing Perusal Technology Co., Ltd</w:t>
            </w:r>
          </w:p>
        </w:tc>
        <w:tc>
          <w:tcPr>
            <w:tcW w:w="20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Chinese Mainland</w:t>
            </w:r>
          </w:p>
        </w:tc>
        <w:tc>
          <w:tcPr>
            <w:tcW w:w="2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Variable interest entity</w:t>
            </w: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iQIYI, Inc.</w:t>
            </w:r>
          </w:p>
        </w:tc>
        <w:tc>
          <w:tcPr>
            <w:tcW w:w="20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Cayman Islands</w:t>
            </w:r>
          </w:p>
        </w:tc>
        <w:tc>
          <w:tcPr>
            <w:tcW w:w="2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Majority-owned subsidiary</w:t>
            </w: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Beijing QIYI Century Science &amp; Technology Co., Ltd</w:t>
            </w:r>
          </w:p>
        </w:tc>
        <w:tc>
          <w:tcPr>
            <w:tcW w:w="20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Chinese Mainland</w:t>
            </w:r>
          </w:p>
        </w:tc>
        <w:tc>
          <w:tcPr>
            <w:tcW w:w="2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Majority-owned subsidiary</w:t>
            </w: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Beijing iQIYI Science &amp; Technology Co., Ltd</w:t>
            </w:r>
          </w:p>
        </w:tc>
        <w:tc>
          <w:tcPr>
            <w:tcW w:w="20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Chinese Mainland</w:t>
            </w:r>
          </w:p>
        </w:tc>
        <w:tc>
          <w:tcPr>
            <w:tcW w:w="2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Variable interest entity</w:t>
            </w:r>
          </w:p>
        </w:tc>
      </w:tr>
      <w:tr>
        <w:trPr>
          <w:trHeight w:val="234"/>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Beijing Duyou Information Technology Co., Ltd</w:t>
            </w:r>
          </w:p>
        </w:tc>
        <w:tc>
          <w:tcPr>
            <w:tcW w:w="20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Chinese Mainland</w:t>
            </w:r>
          </w:p>
        </w:tc>
        <w:tc>
          <w:tcPr>
            <w:tcW w:w="2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Wholly owned subsidiary</w:t>
            </w:r>
          </w:p>
        </w:tc>
      </w:tr>
    </w:tbl>
    <w:p>
      <w:pPr>
        <w:spacing w:after="0" w:line="179"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following diagram illustrates our corporate structure, including our principal subsidiaries and the variable interest entities as of the date of this annual report on Form 20-F:</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1140"/>
          </w:cols>
          <w:pgMar w:left="320" w:top="482" w:right="4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217170</wp:posOffset>
            </wp:positionV>
            <wp:extent cx="6343650" cy="49720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343650" cy="4972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Notes:</w:t>
      </w:r>
    </w:p>
    <w:p>
      <w:pPr>
        <w:spacing w:after="0" w:line="126" w:lineRule="exact"/>
        <w:rPr>
          <w:sz w:val="20"/>
          <w:szCs w:val="20"/>
          <w:color w:val="auto"/>
        </w:rPr>
      </w:pPr>
    </w:p>
    <w:p>
      <w:pPr>
        <w:jc w:val="both"/>
        <w:ind w:left="540" w:hanging="424"/>
        <w:spacing w:after="0" w:line="242" w:lineRule="auto"/>
        <w:tabs>
          <w:tab w:leader="none" w:pos="54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Beijing Baidu Netcom Science Technology Co., Ltd. is 99.5% owned by Mr. Robin Yanhong Li, our chairman and chief executive officer, and 0.5% owned by Ms. Shanshan Cui, one of our employees. Please see “Item 6.E. Directors, Senior Management and Employees—Share Ownership” for details of Mr. Robin Yanhong Li’s beneficial ownership in our company.</w:t>
      </w:r>
    </w:p>
    <w:p>
      <w:pPr>
        <w:spacing w:after="0" w:line="363" w:lineRule="exact"/>
        <w:rPr>
          <w:rFonts w:ascii="Times New Roman" w:cs="Times New Roman" w:eastAsia="Times New Roman" w:hAnsi="Times New Roman"/>
          <w:sz w:val="14"/>
          <w:szCs w:val="14"/>
          <w:color w:val="auto"/>
        </w:rPr>
      </w:pPr>
    </w:p>
    <w:p>
      <w:pPr>
        <w:ind w:left="540" w:hanging="424"/>
        <w:spacing w:after="0" w:line="261" w:lineRule="auto"/>
        <w:tabs>
          <w:tab w:leader="none" w:pos="54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Beijing Perusal Technology Co., Ltd. is 50% owned by Ms. Shanshan Cui and 50% owned by Mr. Zhixiang Liang. Both Ms. Shanshan Cui and Mr. Zhixiang Liang are our employees, and their respective beneficial ownership in our company is less than 1% of our total issued and outstanding shares.</w:t>
      </w:r>
    </w:p>
    <w:p>
      <w:pPr>
        <w:spacing w:after="0" w:line="68" w:lineRule="exact"/>
        <w:rPr>
          <w:rFonts w:ascii="Times New Roman" w:cs="Times New Roman" w:eastAsia="Times New Roman" w:hAnsi="Times New Roman"/>
          <w:sz w:val="14"/>
          <w:szCs w:val="14"/>
          <w:color w:val="auto"/>
        </w:rPr>
      </w:pPr>
    </w:p>
    <w:p>
      <w:pPr>
        <w:ind w:left="540" w:hanging="424"/>
        <w:spacing w:after="0" w:line="261" w:lineRule="auto"/>
        <w:tabs>
          <w:tab w:leader="none" w:pos="54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Xiaohua Geng holds 99% of the equity interests in Beijing iQIYI Science &amp; Technology Co., Ltd. and Yangshipin Integrated Media Development Co., Ltd., a third-party minority shareholder, holds 1% of the equity interests in Beijing iQIYI Science &amp; Technology Co., Ltd.</w:t>
      </w:r>
    </w:p>
    <w:p>
      <w:pPr>
        <w:spacing w:after="0" w:line="68" w:lineRule="exact"/>
        <w:rPr>
          <w:rFonts w:ascii="Times New Roman" w:cs="Times New Roman" w:eastAsia="Times New Roman" w:hAnsi="Times New Roman"/>
          <w:sz w:val="14"/>
          <w:szCs w:val="14"/>
          <w:color w:val="auto"/>
        </w:rPr>
      </w:pPr>
    </w:p>
    <w:p>
      <w:pPr>
        <w:ind w:left="540" w:hanging="424"/>
        <w:spacing w:after="0"/>
        <w:tabs>
          <w:tab w:leader="none" w:pos="54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Baidu Holdings Limited indirectly controls Beijing Duyou Information Technology Co., Ltd through its wholly owned subsidiaries.</w:t>
      </w:r>
    </w:p>
    <w:p>
      <w:pPr>
        <w:spacing w:after="0" w:line="31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Contractual Arrangements with the Variable Interest Entities and Other Consolidated Affiliated Entities and their Shareholders</w:t>
      </w:r>
    </w:p>
    <w:p>
      <w:pPr>
        <w:spacing w:after="0" w:line="121"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The laws and regulations of Chinese mainland restrict and impose conditions on foreign investment in, among other areas, internet content services, value-added telecommunication-based services, internet map services, online audio and video services and mobile application distribution businesses. Accordingly, we operate these businesses in Chinese mainland through the variable interest entities. We have entered into a series of contractual arrangements with the variable interest entities and the nominee shareholders of the variable interest entities. These contractual arrangements: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120"/>
          </w:cols>
          <w:pgMar w:left="320" w:top="482" w:right="45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540" w:right="20" w:hanging="331"/>
        <w:spacing w:after="0" w:line="282" w:lineRule="auto"/>
        <w:tabs>
          <w:tab w:leader="none" w:pos="15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enable us to receive the economic benefits that could potentially be significant to the variable interest entities in consideration for the services provided by our subsidiaries;</w:t>
      </w:r>
    </w:p>
    <w:p>
      <w:pPr>
        <w:spacing w:after="0" w:line="67" w:lineRule="exact"/>
        <w:rPr>
          <w:rFonts w:ascii="Times New Roman" w:cs="Times New Roman" w:eastAsia="Times New Roman" w:hAnsi="Times New Roman"/>
          <w:sz w:val="18"/>
          <w:szCs w:val="18"/>
          <w:color w:val="auto"/>
        </w:rPr>
      </w:pPr>
    </w:p>
    <w:p>
      <w:pPr>
        <w:ind w:left="1540" w:right="20" w:hanging="331"/>
        <w:spacing w:after="0" w:line="282" w:lineRule="auto"/>
        <w:tabs>
          <w:tab w:leader="none" w:pos="15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assigned all of the voting rights underlying the nominee shareholders’ equity interest in the variable interest entities to us; and</w:t>
      </w:r>
    </w:p>
    <w:p>
      <w:pPr>
        <w:spacing w:after="0" w:line="67" w:lineRule="exact"/>
        <w:rPr>
          <w:rFonts w:ascii="Times New Roman" w:cs="Times New Roman" w:eastAsia="Times New Roman" w:hAnsi="Times New Roman"/>
          <w:sz w:val="18"/>
          <w:szCs w:val="18"/>
          <w:color w:val="auto"/>
        </w:rPr>
      </w:pPr>
    </w:p>
    <w:p>
      <w:pPr>
        <w:ind w:left="1540" w:right="20" w:hanging="331"/>
        <w:spacing w:after="0" w:line="282" w:lineRule="auto"/>
        <w:tabs>
          <w:tab w:leader="none" w:pos="15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enable us to hold an exclusive option to purchase all or part of the equity interests in the variable interest entities when and to the extent permitted by the laws of Chinese mainland.</w:t>
      </w:r>
    </w:p>
    <w:p>
      <w:pPr>
        <w:spacing w:after="0" w:line="162" w:lineRule="exact"/>
        <w:rPr>
          <w:sz w:val="20"/>
          <w:szCs w:val="20"/>
          <w:color w:val="auto"/>
        </w:rPr>
      </w:pPr>
    </w:p>
    <w:p>
      <w:pPr>
        <w:jc w:val="both"/>
        <w:ind w:left="120" w:firstLine="440"/>
        <w:spacing w:after="0" w:line="251" w:lineRule="auto"/>
        <w:rPr>
          <w:sz w:val="20"/>
          <w:szCs w:val="20"/>
          <w:color w:val="auto"/>
        </w:rPr>
      </w:pPr>
      <w:r>
        <w:rPr>
          <w:rFonts w:ascii="Times New Roman" w:cs="Times New Roman" w:eastAsia="Times New Roman" w:hAnsi="Times New Roman"/>
          <w:sz w:val="18"/>
          <w:szCs w:val="18"/>
          <w:color w:val="auto"/>
        </w:rPr>
        <w:t xml:space="preserve">These contractual agreements among our company/iQIYI/our certain offshore subsidiaries, and our subsidiaries, the variable interest entities and their respective shareholders generally include proxy agreements or shareholder voting rights trust agreements, exclusive equity purchase and transfer option agreements or exclusive purchase option agreements, loan agreements, operating agreements or business operation agreements, exclusive technology consulting and services agreements, and equity pledge agreements, as the case may be. As for some of the variable interest entities, our subsidiaries have entered into additional business cooperation agreements, power of attorney, license agreements and/or commitment letters (as the case may be) with these variable interest entities and their respective nominee shareholders. We do not have any equity interests in the variable interest entities and these contractual agreements are not equivalent to equity ownership in the business of the variable interest entities. Despite the lack of equity majority ownership, as a result of the contractual arrangements, the shareholders of the variable interest entities effectively assigned all of their voting rights and economic interests underlying their equity interest in the variable interest entities to the primary beneficiaries of these companies, which gives our company/iQIYI the power to direct the activities that most significantly impact the variable interest entities’ economic performance. In addition, through the other exclusive agreements, which consist of exclusive equity purchase and transfer option agreements/exclusive purchase option agreements or commitment letters, operating agreements/business operation agreements, exclusive technology consulting and services agreements and license agreements, the primary beneficiaries, by themselves or by their wholly-owned subsidiaries in Chinese mainland, demonstrate their ability and intention to continue to exercise the ability to absorb losses or receive economic benefits that could potentially be significant to the variable interest entities. The variable interest entities are subject to operating risks, which determine the variability of our company’s interest in those entities. Based on these contractual arrangements, we consolidate the variable interest entities as required by Accounting Standards Codification (ASC) Topic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The individual nominee shareholders of Baidu Netcom, Beijing Perusal and Beijing iQIYI, the variable interest entities, are directors or employees of our company/ iQIYI. We/iQIYI consider such people suitable to act as the nominee shareholders of these variable interest entities because of, among other considerations, their contribution to our company/iQIYI, their competence and their length of service with and loyalty to our company/iQIYI. If the variable interest entities or the nominee shareholders fail to perform their respective obligations under the contractual arrangements, we could be limited in our ability to enforce the contractual arrangements that effectively assigned us the voting rights and/or economic interests in the variable interest entities. Furthermore, if we are unable to maintain such effective assignment, we would not be able to continue to consolidate the financial results of the variable interest entities in our financial statements. In 2023, 2024 and 2025, we derived 45%, 44% and 50% of our external revenues from the variable interest entities, respectively. Based on the book value of Baidu Netcom and Beijing Perusal and taking into account major adjustments for intra-group transactions, the revenue contribution of Baidu Netcom to us for each of the years ended December 31, 2023, 2024 and 2025 was 13%, 17% and 18%, respectively, and the revenue contribution of Beijing Perusal was all 0% for each of the same periods. For a detailed revenue contribution, see “Item 3.A. [Reserved]—Financial Information Related to the Variable interest Entities.” For a detailed description of the regulatory environment that necessitates the adoption of our corporate structure, see “Item 4.B. Information on the Company—Business Overview— Regulations.” For a detailed description of the risks associated with our corporate structure, see “Item 3.D. Key Information—Risk Factors—Risks Related to Our Corporate Structure.”</w:t>
      </w:r>
    </w:p>
    <w:p>
      <w:pPr>
        <w:spacing w:after="0" w:line="202"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material provisions of the contractual arrangements relating to Baidu Netcom, Beijing Perusal and Beijing iQIYI.</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1140"/>
          </w:cols>
          <w:pgMar w:left="320" w:top="482" w:right="4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Proxy Agreements/Shareholder Voting Rights Trust Agreements/Power of Attorney</w:t>
      </w:r>
    </w:p>
    <w:p>
      <w:pPr>
        <w:spacing w:after="0" w:line="119"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Pursuant to the proxy agreement amongst our company and the nominee shareholders of Baidu Netcom, the nominee shareholders of Baidu Netcom agree to entrust all the rights to exercise their voting power and any other rights as shareholders of Baidu Netcom to the person(s) designated by our company. Each of the nominee shareholders of Baidu Netcom has executed an irrevocable power of attorney to appoint the person(s) designated by our company as their attorney-in-fact to vote on their behalf on all matters requiring shareholder approval. Any action taken by such attorney-in-fact in relation to the entrusted rights should be directed and approved by our company. The proxy agreement will be in effect for an unlimited term unless terminated in writing by our company. Each of the powers of attorney will be in effect for as long as the relevant nominee shareholder of Baidu Netcom holds any equity interests in Baidu Netcom.</w:t>
      </w:r>
    </w:p>
    <w:p>
      <w:pPr>
        <w:spacing w:after="0" w:line="189"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Each of the proxy agreements or shareholder voting rights trust agreements amongst our company and the shareholders of Beijing Perusal and between Beijing QIYI Century and the individual shareholder of Beijing iQIYI contains substantially the same terms as those described above. Each of the proxy agreements or shareholder voting rights trust agreements will be in effect for an unlimited term unless terminated in writing by our company or other subsidiaries. Each of the powers of attorney or shareholder voting rights trust agreements will be in effect for as long as the shareholder of Beijing Perusal or Beijing iQIYI, holds any equity interests in Beijing Perusal or Beijing iQIYI, as the case may be.</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Exclusive Equity Purchase and Transfer Option Agreement or Exclusive Purchase Option Agreements</w:t>
      </w:r>
    </w:p>
    <w:p>
      <w:pPr>
        <w:spacing w:after="0" w:line="119" w:lineRule="exact"/>
        <w:rPr>
          <w:sz w:val="20"/>
          <w:szCs w:val="20"/>
          <w:color w:val="auto"/>
        </w:rPr>
      </w:pPr>
    </w:p>
    <w:p>
      <w:pPr>
        <w:jc w:val="both"/>
        <w:ind w:left="120" w:firstLine="440"/>
        <w:spacing w:after="0" w:line="252" w:lineRule="auto"/>
        <w:rPr>
          <w:sz w:val="20"/>
          <w:szCs w:val="20"/>
          <w:color w:val="auto"/>
        </w:rPr>
      </w:pPr>
      <w:r>
        <w:rPr>
          <w:rFonts w:ascii="Times New Roman" w:cs="Times New Roman" w:eastAsia="Times New Roman" w:hAnsi="Times New Roman"/>
          <w:sz w:val="18"/>
          <w:szCs w:val="18"/>
          <w:color w:val="auto"/>
        </w:rPr>
        <w:t>Pursuant to the exclusive equity purchase and transfer option agreement by and among our company, Baidu Online, Baidu Netcom and the nominee shareholders of Baidu Netcom, the nominee shareholders of Baidu Netcom have irrevocably granted our company or its designated person(s) (including Baidu Online) an exclusive option to purchase, to the extent permitted under the laws of Chinese mainland, all or part of the equity interests in Baidu Netcom for the cost of the initial contributions to the registered capital or the minimum amount of consideration permitted by applicable laws of Chinese mainland. The nominee shareholders must remit to Baidu Online any amount that is paid by Baidu Online in connection with the purchased equity interest as requested by our company or its designated person(s) (including Baidu Online) to the extent permitted by the applicable laws. Our company or its designated person(s) have sole discretion to decide when to exercise the option, whether in part or in full amount. Any and all dividends and other capital distributions from Baidu Netcom to the nominee shareholders must be repaid to Baidu, Inc. in full amount. Our company or its designated person(s) (including Baidu Online) also have the exclusive right to cause the nominee shareholders of Baidu Netcom to transfer their equity interest in Baidu Netcom to our company or any designated third party. Our company will provide unlimited financial support to Baidu Netcom, if Baidu Netcom becomes in need of any form of reasonable financial support in the normal operation of business. If Baidu Netcom were to incur any loss and as a result cannot repay any loans from our company (through Baidu Online), our company will unconditionally forgive any such loans to Baidu Netcom upon provision by Baidu Netcom of sufficient proof for its loss and incapacity to repay. In addition, the shareholders of Baidu Netcom must appoint the candidates recommended by Baidu Online as their representatives on Baidu Netcom’s board of directors. The agreement will terminate upon the transfer by the nominee shareholders of Baidu Netcom of all their equity interests in Baidu Netcom to our company or its designated person(s) or upon expiration of the term of business of our company or Baidu Netcom.</w:t>
      </w:r>
    </w:p>
    <w:p>
      <w:pPr>
        <w:spacing w:after="0" w:line="195" w:lineRule="exact"/>
        <w:rPr>
          <w:sz w:val="20"/>
          <w:szCs w:val="20"/>
          <w:color w:val="auto"/>
        </w:rPr>
      </w:pPr>
    </w:p>
    <w:p>
      <w:pPr>
        <w:jc w:val="both"/>
        <w:ind w:left="120" w:right="20"/>
        <w:spacing w:after="0" w:line="258" w:lineRule="auto"/>
        <w:rPr>
          <w:sz w:val="20"/>
          <w:szCs w:val="20"/>
          <w:color w:val="auto"/>
        </w:rPr>
      </w:pPr>
      <w:r>
        <w:rPr>
          <w:rFonts w:ascii="Times New Roman" w:cs="Times New Roman" w:eastAsia="Times New Roman" w:hAnsi="Times New Roman"/>
          <w:sz w:val="18"/>
          <w:szCs w:val="18"/>
          <w:color w:val="auto"/>
        </w:rPr>
        <w:t>Each of the exclusive equity purchase and transfer option agreements/exclusive purchase option agreements amongst our company, Baidu Online, Beijing Perusal and its shareholders and iQIYI, Beijing QIYI Century, Beijing iQIYI and its individual shareholder contains substantially the same terms as those described above, except that the initial term of the amended and restated exclusive purchase option agreement amongst iQIYI, Beijing QIYI Century, Beijing iQIYI and its shareholder is ten years, which has been extended to November 22, 2032, and can be further renewed at iQIYI’s discretion.</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1140"/>
          </w:cols>
          <w:pgMar w:left="320" w:top="482" w:right="4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Exclusive Technology Consulting and Services Agreement</w:t>
      </w:r>
    </w:p>
    <w:p>
      <w:pPr>
        <w:spacing w:after="0" w:line="119"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Pursuant to the exclusive technology consulting and services agreement between Baidu Online and Baidu Netcom, Baidu Online has the exclusive right to provide Baidu Netcom technology consulting and services related to, among other things, the maintenance of servers, software development, design of advertisements, and e-commerce technical services. Baidu Online owns the intellectual property rights resulting from the performance of this agreement. Baidu Netcom agrees to pay service fees to Baidu Online and Baidu Online has the right to adjust the service fees at its sole discretion without the consent of Baidu Netcom. The agreement will be in effect for an unlimited term, until the term of business of one party expires and extension is denied by the approval authorities.</w:t>
      </w:r>
    </w:p>
    <w:p>
      <w:pPr>
        <w:spacing w:after="0" w:line="187"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Each of the exclusive technology consulting and services agreements between Baidu Online and Beijing Perusal and Beijing QIYI Century and Beijing iQIYI contains substantially the same terms as those described above, except that the terms regarding the determinant of the service fees may differ and that the initial term of the exclusive technology consulting and services agreement between Beijing QIYI Century and Beijing iQIYI dated November 23, 2011 is ten years, and has been extended to November 23, 2031, and can be further renewed at the discretion of Beijing QIYI Century.</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2023, 2024 and 2025, Baidu Netcom and Beijing Perusal did not pay any service fees to Baidu Online.</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Operating Agreement or Business Operation Agreement</w:t>
      </w:r>
    </w:p>
    <w:p>
      <w:pPr>
        <w:spacing w:after="0" w:line="119" w:lineRule="exact"/>
        <w:rPr>
          <w:sz w:val="20"/>
          <w:szCs w:val="20"/>
          <w:color w:val="auto"/>
        </w:rPr>
      </w:pPr>
    </w:p>
    <w:p>
      <w:pPr>
        <w:jc w:val="both"/>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Pursuant to the operating agreement amongst Baidu Online, Baidu Netcom and the nominee shareholders of Baidu Netcom, Baidu Online provides guidance and instructions on Baidu Netcom’s daily operations, financial affairs and employment and dismissal of staff. In addition, Baidu Online agrees to guarantee Baidu Netcom’s performance under any agreements or arrangements relating to Baidu Netcom’s business arrangements with any third party. In return, Baidu Netcom agrees that without the prior consent of Baidu Online, Baidu Netcom will not engage in any transactions that could materially affect the assets, liabilities, rights or operations of Baidu Netcom, including, without limitation, incurrence or assumption of any indebtedness, sale or purchase of any assets or rights, incurrence of any encumbrance on any of its assets or intellectual property rights in favor of a third party or transfer of any agreements relating to its business operation to any third party. The agreement will be in effect for an unlimited term, until the term of business of one party expires and extension is denied by the approval authorities.</w:t>
      </w:r>
    </w:p>
    <w:p>
      <w:pPr>
        <w:spacing w:after="0" w:line="192"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operating agreement amongst Baidu Online, Beijing Perusal and its shareholders contains substantially the same terms as those described above.</w:t>
      </w:r>
    </w:p>
    <w:p>
      <w:pPr>
        <w:spacing w:after="0" w:line="162"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Pursuant to the amended and restated business operation agreement dated January 30, 2013 amongst Beijing QIYI Century, Beijing iQIYI and its individual shareholder, Beijing QIYI Century provides guidance and instructions on Beijing iQIYI’s daily operations and financial affairs. In addition, Beijing QIYI Century agrees to guarantee Beijing iQIYI’s performance under any agreements or arrangements relating to Beijing iQIYI’s business arrangements with any third party. The agreement can only be unilaterally revoked by Beijing QIYI Century. The initial term of the agreement is ten years, which has been extended for another ten years to January 30, 2033, and can be further extended at Beijing QIYI Century’s discretion.</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Loan Agreements</w:t>
      </w:r>
    </w:p>
    <w:p>
      <w:pPr>
        <w:spacing w:after="0" w:line="119"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Pursuant to loan agreements amongst Baidu Online and the nominee shareholders of Baidu Netcom, Baidu Online provided loans with an aggregate amount of RMB13.4 billion to the nominee shareholders of Baidu Netcom solely for the latter to fund the capitalization of Baidu Netcom. The loans can be repaid only with the proceeds from the sale of the nominee shareholders’ equity interest in Baidu Netcom to Baidu Online or its designated person(s). The term of the loan agreements with the two nominee shareholders of Baidu Netcom will expire on July 9, 2029 and August 19, 2029, respectively, and can be extended with the written consent of both parties before its expiration.</w:t>
      </w:r>
    </w:p>
    <w:p>
      <w:pPr>
        <w:spacing w:after="0" w:line="183"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Pursuant to loan agreements amongst the shareholders of Beijing Perusal and Baidu Online, the amount of loans extended to the respective shareholders of Beijing Perusal is RMB3.2 billion. The term of the loan agreements will expire on March 30, 2028 and October 29, 2029, respectively, and can be extended with the written consent of both parties before its expiration. Each of the loan agreements amongst Baidu Online and the respective shareholders of Beijing Perusal, and Beijing QIYI Century and the individual shareholder of Beijing iQIYI, contains substantially the same terms as those described above, except that the amount of the loans and that the contract expiration date varies. The term of the loan agreement amongst Beijing QIYI Century and the individual shareholder of Beijing iQIYI will expire on June 23, 2031 and can be further extended upon the written notification from Beijing QIYI Century.</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1140"/>
          </w:cols>
          <w:pgMar w:left="320" w:top="482" w:right="4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Equity Pledge Agreement</w:t>
      </w:r>
    </w:p>
    <w:p>
      <w:pPr>
        <w:spacing w:after="0" w:line="119"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Pursuant to the equity pledge agreement amongst Baidu Online and the nominee shareholders of Baidu Netcom, the nominee shareholders of Baidu Netcom must pledge all of their equity interests in Baidu Netcom to Baidu Online to guarantee their obligations under the loan agreements and Baidu Netcom’s performance of its obligations under the exclusive technology consulting and service agreement. If Baidu Netcom or the nominee shareholders breach their respective contractual obligations, Baidu Online, as the pledgee, will be entitled to certain rights, including the right to sell the pledged equity interests. The nominee shareholders of Baidu Netcom agree not to dispose of the pledged equity interests or take any actions that would prejudice Baidu Online’s interest. The equity pledge agreement will terminate on the date when Baidu Netcom and its shareholders have completed all their respective obligations under the exclusive technology consulting and service agreement and the loan agreements, but such equity pledge will expire two years after expiration of the term of the obligations of Baidu Netcom and its shareholders under the exclusive technology consulting and service agreement and the loan agreements if they fail to fulfill such obligations thereunder.</w:t>
      </w:r>
    </w:p>
    <w:p>
      <w:pPr>
        <w:spacing w:after="0" w:line="188" w:lineRule="exact"/>
        <w:rPr>
          <w:sz w:val="20"/>
          <w:szCs w:val="20"/>
          <w:color w:val="auto"/>
        </w:rPr>
      </w:pPr>
    </w:p>
    <w:p>
      <w:pPr>
        <w:jc w:val="both"/>
        <w:ind w:left="120" w:firstLine="440"/>
        <w:spacing w:after="0" w:line="282" w:lineRule="auto"/>
        <w:rPr>
          <w:sz w:val="20"/>
          <w:szCs w:val="20"/>
          <w:color w:val="auto"/>
        </w:rPr>
      </w:pPr>
      <w:r>
        <w:rPr>
          <w:rFonts w:ascii="Times New Roman" w:cs="Times New Roman" w:eastAsia="Times New Roman" w:hAnsi="Times New Roman"/>
          <w:sz w:val="18"/>
          <w:szCs w:val="18"/>
          <w:color w:val="auto"/>
        </w:rPr>
        <w:t>Each of the equity pledge agreements amongst Baidu Online and the shareholders of Beijing Perusal and Beijing QIYI Century and the individual shareholder of Beijing iQIYI contains substantially the same terms, including its term to expiration, as those described above.</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Business Cooperation Agreement</w:t>
      </w:r>
    </w:p>
    <w:p>
      <w:pPr>
        <w:spacing w:after="0" w:line="119"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Pursuant to the business cooperation agreement between Beijing QIYI Century and Beijing iQIYI effective November 23, 2011, Beijing iQIYI agrees to provide Beijing QIYI Century with services, including internet information services, online advertising and other services reasonably necessary within the scope of Beijing QIYI Century’s business. Beijing iQIYI agrees to use technology services provided by Beijing QIYI Century on its platform, including, but not limited to, P2P download and video on-demand systems. Beijing QIYI Century agrees to pay specified service fees to Beijing iQIYI as consideration for the internet information services and other services provided by Beijing iQIYI. Beijing iQIYI has the right to waive the service fees at its discretion. The initial term of this agreement is ten years, which has been extended for another ten years to November 23, 2031, and can be further renewed at Beijing QIYI Century’s discretion.</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License Agreements</w:t>
      </w:r>
    </w:p>
    <w:p>
      <w:pPr>
        <w:spacing w:after="0" w:line="119"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Baidu Online and Baidu Netcom have entered into a software license agreement and a web layout copyright license agreement. Pursuant to these license agreements, Baidu Online has granted to Baidu Netcom the right to use, including, but not limited to, a software license and a web layout copyright license. Baidu Netcom may only use the licenses in its own business operations. Baidu Online has the right to adjust the service fees at its sole discretion. The software license agreement and web layout copyright license agreement have been renewed since their original expiration and are in effect for an unlimited term, until the term of business of one party expires and extension is denied by the approval authorities.</w:t>
      </w:r>
    </w:p>
    <w:p>
      <w:pPr>
        <w:spacing w:after="0" w:line="183"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web layout copyright license agreements that Baidu Online has entered into with Beijing Perusal contain substantially the same terms as those between Baidu Online and Baidu Netcom described above. The agreement is in effect for an unlimited term, until the term of business of one party expires and extension is denied by the approval authorities.</w:t>
      </w:r>
    </w:p>
    <w:p>
      <w:pPr>
        <w:spacing w:after="0" w:line="176" w:lineRule="exact"/>
        <w:rPr>
          <w:sz w:val="20"/>
          <w:szCs w:val="20"/>
          <w:color w:val="auto"/>
        </w:rPr>
      </w:pPr>
    </w:p>
    <w:p>
      <w:pPr>
        <w:jc w:val="both"/>
        <w:ind w:left="120" w:right="20"/>
        <w:spacing w:after="0" w:line="255" w:lineRule="auto"/>
        <w:rPr>
          <w:sz w:val="20"/>
          <w:szCs w:val="20"/>
          <w:color w:val="auto"/>
        </w:rPr>
      </w:pPr>
      <w:r>
        <w:rPr>
          <w:rFonts w:ascii="Times New Roman" w:cs="Times New Roman" w:eastAsia="Times New Roman" w:hAnsi="Times New Roman"/>
          <w:sz w:val="18"/>
          <w:szCs w:val="18"/>
          <w:color w:val="auto"/>
        </w:rPr>
        <w:t>Pursuant to the trademark license agreement and the software usage license agreement between Beijing QIYI Century and Beijing iQIYI effective November 23, 2011, Beijing QIYI Century granted a non-exclusive and non-transferable license, without sublicensing rights, to Beijing iQIYI to use its trademarks and software. Beijing iQIYI may only use the licenses in its own business operations. Beijing QIYI Century has the right to adjust the service fees at its sole discretion. The initial term of the two agreements is five years. The software usage license agreement may be extended upon the written consent of Beijing QIYI Century, and has been extended to December 1, 2031, and is further renewable at the discretion of Beijing QIYI Century. The trademark license agreement is automatically extended for successive one-year periods after its expiration unless Beijing QIYI Century early terminates the agreement in accordance with the provisions of the agreement.</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1140"/>
          </w:cols>
          <w:pgMar w:left="320" w:top="482" w:right="4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Commitment Letters</w:t>
      </w:r>
    </w:p>
    <w:p>
      <w:pPr>
        <w:spacing w:after="0" w:line="119"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Pursuant to the commitment letter dated January 30, 2013, under the condition that Beijing iQIYI remains as a variable interest entity of iQIYI under United States generally accepted accounting principles and the relevant contractual arrangements remain in effect, iQIYI commits to provide unlimited financial support to Beijing iQIYI, if Beijing iQIYI requires any form of reasonable financial support for its normal business operations. If Beijing iQIYI incurs any losses and as a result cannot repay its loans from iQIYI and Beijing QIYI Century, one of iQIYI’s subsidiaries, iQIYI and Beijing QIYI Century would unconditionally forgive their loans to Beijing iQIYI, if Beijing iQIYI provides sufficient proof for its loss and incapacity to repay.</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commitment letters executed by other iQIYI VIEs contain terms similar to the terms described above.</w:t>
      </w:r>
    </w:p>
    <w:p>
      <w:pPr>
        <w:spacing w:after="0" w:line="225"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Through design of the aforementioned agreements, the nominee shareholders of these variable interest entities have effectively assigned their full voting rights to our company/iQIYI, which gives our company/iQIYI the power to direct the activities that most significantly impact the variable interest entities’ economic performance. Our company/iQIYI obtains the ability to approve decisions made by the variable interest entities and the ability to acquire the equity interests in the variable interest entities when permitted by the laws of Chinese mainland. Our company/iQIYI is obligated to absorb losses of the variable interest entities that could potentially be significant to the variable interest entities through providing unlimited financial support to the variable interest entities or is entitled to receive economic benefits from the variable interest entities that could potentially be significant to the variable interest entities through the exclusive technology consulting and service fees. As a result of these contractual arrangements, our company/iQIYI is determined to be the primary beneficiary of these variable interest entities and we consolidate these variable interest entities through our company/iQIYI as required by Accounting Standards Codification Topic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We have also entered into contractual arrangements with several other variable interest entities and their respective nominee shareholders, including iQIYI’s other variable interest entities and their respective nominee shareholders, through some of our subsidiaries other than Baidu Online and Beijing QIYI Century, which result in our company/iQIYI or relevant offshore subsidiaries, as the case may be, being the primary beneficiaries of the relevant variable interest entities. As a result of these contractual arrangements, we consolidate these other variable interest entities through the subsidiaries as required by Accounting Standards Codification Topic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In addition, we have entered into similar contractual arrangements with consolidated affiliated entities and their shareholders in certain other jurisdictions.</w:t>
      </w:r>
    </w:p>
    <w:p>
      <w:pPr>
        <w:spacing w:after="0" w:line="332" w:lineRule="exact"/>
        <w:rPr>
          <w:sz w:val="20"/>
          <w:szCs w:val="20"/>
          <w:color w:val="auto"/>
        </w:rPr>
      </w:pPr>
    </w:p>
    <w:p>
      <w:pPr>
        <w:ind w:left="540" w:hanging="424"/>
        <w:spacing w:after="0"/>
        <w:tabs>
          <w:tab w:leader="none" w:pos="54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Property, Plant and Equipment</w:t>
      </w:r>
    </w:p>
    <w:p>
      <w:pPr>
        <w:spacing w:after="0" w:line="229"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Our corporate headquarters, Baidu Campus, is located in Shangdi, Haidian district of Beijing. We own the office building of Baidu Campus and a nearby office building, Baidu Science Park, which is located in Malianwa, Haidian district of Beijing. Besides Beijing, we own and occupy office buildings in Shanghai and Shenzhen.</w:t>
      </w:r>
    </w:p>
    <w:p>
      <w:pPr>
        <w:spacing w:after="0" w:line="176" w:lineRule="exact"/>
        <w:rPr>
          <w:sz w:val="20"/>
          <w:szCs w:val="20"/>
          <w:color w:val="auto"/>
        </w:rPr>
      </w:pPr>
    </w:p>
    <w:p>
      <w:pPr>
        <w:jc w:val="both"/>
        <w:ind w:left="120" w:firstLine="440"/>
        <w:spacing w:after="0" w:line="282" w:lineRule="auto"/>
        <w:rPr>
          <w:sz w:val="20"/>
          <w:szCs w:val="20"/>
          <w:color w:val="auto"/>
        </w:rPr>
      </w:pPr>
      <w:r>
        <w:rPr>
          <w:rFonts w:ascii="Times New Roman" w:cs="Times New Roman" w:eastAsia="Times New Roman" w:hAnsi="Times New Roman"/>
          <w:sz w:val="18"/>
          <w:szCs w:val="18"/>
          <w:color w:val="auto"/>
        </w:rPr>
        <w:t>We also lease offices in Beijing, many other cities in Chinese mainland and places outside of Chinese mainland, including in the United States, Canada, Hong Kong, Malaysia, Japan, Thailand and Singapore.</w:t>
      </w:r>
    </w:p>
    <w:p>
      <w:pPr>
        <w:spacing w:after="0" w:line="162"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Our servers are hosted at the internet data centers of major telecom operators, including China Telecom, China Unicom and China Mobile, in over ten selected cities across China. Our content delivery network covers most of the major cities in Chinese mainland.</w:t>
      </w:r>
    </w:p>
    <w:p>
      <w:pPr>
        <w:spacing w:after="0" w:line="162"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In 2025, we completed the third-phase construction of our cloud computing centers in certain cities, which all serve as our internet data centers in China.</w:t>
      </w:r>
    </w:p>
    <w:p>
      <w:pPr>
        <w:spacing w:after="0" w:line="306"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4A.</w:t>
        <w:tab/>
        <w:t>UNRESOLVED STAFF COMMENTS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1140"/>
          </w:cols>
          <w:pgMar w:left="320" w:top="482" w:right="4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OPERATING AND FINANCIAL REVIEW AND PROSPECTS</w:t>
      </w:r>
    </w:p>
    <w:p>
      <w:pPr>
        <w:spacing w:after="0" w:line="121"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following discussion of our financial condition and results of operations is based upon, and should be read in conjunction with, our audited consolidated financial statements and the related notes included in this annual report on Form 20-F. This report contains forward-looking statements. See “Forward-Looking Information.” In evaluating our business, you should carefully consider the information provided under the caption “Item 3.D. Key Information—Risk Factors” in this annual report on Form 20-F. We caution you that our businesses and financial performance are subject to substantial risks and uncertainties.</w:t>
      </w:r>
    </w:p>
    <w:p>
      <w:pPr>
        <w:spacing w:after="0" w:line="328" w:lineRule="exact"/>
        <w:rPr>
          <w:sz w:val="20"/>
          <w:szCs w:val="20"/>
          <w:color w:val="auto"/>
        </w:rPr>
      </w:pPr>
    </w:p>
    <w:p>
      <w:pPr>
        <w:ind w:left="120" w:right="9080" w:hanging="4"/>
        <w:spacing w:after="0" w:line="377" w:lineRule="auto"/>
        <w:tabs>
          <w:tab w:leader="none" w:pos="66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 xml:space="preserve">Operating Results </w:t>
      </w:r>
      <w:r>
        <w:rPr>
          <w:rFonts w:ascii="Times New Roman" w:cs="Times New Roman" w:eastAsia="Times New Roman" w:hAnsi="Times New Roman"/>
          <w:sz w:val="18"/>
          <w:szCs w:val="18"/>
          <w:b w:val="1"/>
          <w:bCs w:val="1"/>
          <w:color w:val="auto"/>
        </w:rPr>
        <w:t>Overview</w:t>
      </w:r>
    </w:p>
    <w:p>
      <w:pPr>
        <w:spacing w:after="0" w:line="2"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We are a leading AI company with a strong internet foundation. We have been consistently investing in AI since 2010 to solidify our technology advancement, improve search capabilities and boost overall monetization. The breadth and depth of our AI capabilities provide the differentiating foundational technologies that power all of our businesses.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121"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Our revenues are derived principally from online marketing services and others. Online marketing services primarily include performance-based online marketing services and other online marketing services. Others primarily include cloud services and video membership services.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Costs and Expenses</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Our costs and expenses consist of cost of revenues, selling, general and administrative expenses, research and development expenses, and impairment of long-lived assets. Share-based compensation expenses are allocated among cost of revenues, selling, general and administrative expenses and research and development expenses, based on the nature of the work of the employees who have received share-based compensation.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21" w:lineRule="exact"/>
        <w:rPr>
          <w:sz w:val="20"/>
          <w:szCs w:val="20"/>
          <w:color w:val="auto"/>
        </w:rPr>
      </w:pPr>
    </w:p>
    <w:p>
      <w:pPr>
        <w:jc w:val="both"/>
        <w:ind w:left="120" w:firstLine="440"/>
        <w:spacing w:after="0" w:line="282" w:lineRule="auto"/>
        <w:rPr>
          <w:sz w:val="20"/>
          <w:szCs w:val="20"/>
          <w:color w:val="auto"/>
        </w:rPr>
      </w:pPr>
      <w:r>
        <w:rPr>
          <w:rFonts w:ascii="Times New Roman" w:cs="Times New Roman" w:eastAsia="Times New Roman" w:hAnsi="Times New Roman"/>
          <w:sz w:val="18"/>
          <w:szCs w:val="18"/>
          <w:color w:val="auto"/>
        </w:rPr>
        <w:t>Our cost of revenue primarily consist of content costs, traffic acquisition costs, bandwidth costs, depreciation costs, server custody fees, cost of goods sold and salaries and benefits for operation and service personnel.</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21"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Our selling, general and administrative expenses primarily consist of promotional and marketing expenses, salaries and benefits for our sales, marketing, general and administrative personnel, and expected credit losses.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primarily consist of salaries and benefits for research and development personnel, server depreciation expenses and server custody fees. We expense research and development costs as they are incurred, except for capitalized software development costs that fulfill the capitalization criteria.</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Impairment of long-lived assets consists of impairment losses attributable to the Core asset group.</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Cayman Islands</w:t>
      </w:r>
    </w:p>
    <w:p>
      <w:pPr>
        <w:spacing w:after="0" w:line="121"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Under the current laws of the Cayman Islands, we are not subject to tax on income or capital gains. Additionally, no Cayman Islands withholding tax will be imposed on dividend payments we make.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1140"/>
          </w:cols>
          <w:pgMar w:left="320" w:top="482" w:right="4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Hong Kong</w:t>
      </w:r>
    </w:p>
    <w:p>
      <w:pPr>
        <w:spacing w:after="0" w:line="121" w:lineRule="exact"/>
        <w:rPr>
          <w:sz w:val="20"/>
          <w:szCs w:val="20"/>
          <w:color w:val="auto"/>
        </w:rPr>
      </w:pPr>
    </w:p>
    <w:p>
      <w:pPr>
        <w:jc w:val="both"/>
        <w:ind w:left="120" w:firstLine="440"/>
        <w:spacing w:after="0" w:line="282" w:lineRule="auto"/>
        <w:rPr>
          <w:sz w:val="20"/>
          <w:szCs w:val="20"/>
          <w:color w:val="auto"/>
        </w:rPr>
      </w:pPr>
      <w:r>
        <w:rPr>
          <w:rFonts w:ascii="Times New Roman" w:cs="Times New Roman" w:eastAsia="Times New Roman" w:hAnsi="Times New Roman"/>
          <w:sz w:val="18"/>
          <w:szCs w:val="18"/>
          <w:color w:val="auto"/>
        </w:rPr>
        <w:t>Subsidiaries in Hong Kong are subject to Hong Kong profits tax rate of 16.5% and foreign-derived income is exempted from income tax. There is no withholding tax upon payment of dividends by the subsidiaries incorporated in Hong Kong to its shareholders.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Chinese Mainland Enterprise Income Tax</w:t>
      </w:r>
    </w:p>
    <w:p>
      <w:pPr>
        <w:spacing w:after="0" w:line="121"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Chinese mainland’s statutory enterprise income tax rate is 25%. An enterprise may benefit from a preferential tax rate of 15% under the EIT Law if it qualifies as a “High and New Technology Enterprise” strongly supported by the state. Pursuant to the Administrative Measures on the Recognition of High and New Technology Enterprises, as amended in January 2016, the provincial counterparts of the Ministry of Science and Technology, the Ministry of Finance and the State Administration of Taxation make a joint determination on whether an enterprise is qualified as a “High and New Technology Enterprise,” or HNTE, under the EIT Law. In making such determination, these government agencies consider, among other factors, ownership of core technology, whether the key technology supporting the core products or services falls within the scope of high and new technology strongly supported by the state as specified in the administrative measures, the ratios of research and development personnel to total personnel, the ratio of research and development expenditures to annual sales revenues, the ratio of revenues attributed to high and new technology products or services to revenue, and other measures set forth in the guidance. A “High and New Technology Enterprise” certificate is effective for a period of three years. Further, preferential enterprise income tax rates are available for qualified Software Enterprises whereby entities are entitled to full exemption from enterprise income tax for two years beginning from their first profitable calendar year and a 50% reduction for the subsequent three calendar years.</w:t>
      </w:r>
    </w:p>
    <w:p>
      <w:pPr>
        <w:spacing w:after="0" w:line="192"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Certain PRC subsidiaries and VIEs, including Baidu Online, Baidu China, Baidu International and Baidu Netcom, etc. are qualified HNTEs and enjoy a reduced tax rate of 15% for the years presented, which will expire from 2026 to 2028. An entity could re-apply for the HNTE certificate when the prior certificate expires. Historically, all of the Company’s subsidiaries and VIEs have successfully renewed their certificates when the prior ones expired. Certain subsidiaries enjoyed a reduced tax rate as qualified Software Enterprise for the years presented, which will expire from 2026 to 2028.</w:t>
      </w:r>
    </w:p>
    <w:p>
      <w:pPr>
        <w:spacing w:after="0" w:line="180"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If our Chinese mainland subsidiaries or the variable interest entities that have enjoyed preferential tax treatment no longer qualify for the preferential treatment, we will consider available options under applicable law that would enable us to qualify for alternative preferential tax treatment. To the extent we are unable to offset the impact of the expiration of existing preferential tax treatment with new tax exemptions, tax incentives or other tax benefits, the expiration of existing preferential tax treatment may cause our effective tax rate to increase. The amount of income tax payable by our Chinese mainland subsidiaries and the variable interest entities in the future will depend on various factors, including, among other things, the results of operations and taxable income of, and the statutory tax rate applicable to, each of the entities. Our effective tax rate depends partially on the extent of the relative contribution of each of our subsidiaries and the variable interest entities to our consolidated taxable income.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Withholding Tax</w:t>
      </w:r>
    </w:p>
    <w:p>
      <w:pPr>
        <w:spacing w:after="0" w:line="121"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Under the EIT Law and its implementation rules, dividends, interests, rent or royalties payable by a foreign-invested enterprise, such as our Chinese mainland subsidiaries, to any of its non-resident enterprise investors, and proceeds from any such non-resident enterprise investor’s disposition of assets (after deducting the net value of such assets) are subject to enterprise income tax at the rate of 10%, namely withholding tax, unless the non-resident enterprise investor’s jurisdiction of incorporation has a tax treaty or arrangement with Chinese mainland that provides for a reduced withholding tax rate or an exemption from withholding tax. The Notice on Several Preferential Policies regarding Enterprise Income Tax Law jointly promulgated by the Ministry of Finance and State Administration of Taxation in February 2008, clarifies that undistributed profits earned by foreign-invested enterprises prior to January 1, 2008 will be exempted from any withholding tax.</w:t>
      </w:r>
    </w:p>
    <w:p>
      <w:pPr>
        <w:spacing w:after="0" w:line="189"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British Virgin Islands, where Baidu Holdings Limited, the sole shareholder of certain of our mainland subsidiaries such as Baidu Online, is incorporated, does not have such a tax treaty with Chinese mainland.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1140"/>
          </w:cols>
          <w:pgMar w:left="320" w:top="482" w:right="4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both"/>
        <w:ind w:left="120" w:firstLine="440"/>
        <w:spacing w:after="0" w:line="252" w:lineRule="auto"/>
        <w:rPr>
          <w:sz w:val="20"/>
          <w:szCs w:val="20"/>
          <w:color w:val="auto"/>
        </w:rPr>
      </w:pPr>
      <w:r>
        <w:rPr>
          <w:rFonts w:ascii="Times New Roman" w:cs="Times New Roman" w:eastAsia="Times New Roman" w:hAnsi="Times New Roman"/>
          <w:sz w:val="18"/>
          <w:szCs w:val="18"/>
          <w:color w:val="auto"/>
        </w:rPr>
        <w:t>Hong Kong, where Baidu (Hong Kong) Limited, our wholly owned subsidiary and the sole shareholder of certain of our Chinese mainland subsidiaries such as Baidu Times and Baidu China, is incorporated, has a tax arrangement with Chinese mainland that provides for a lower withholding tax rate of 5% on dividends subject to certain conditions and requirements, such as the requirement that the Hong Kong resident enterprise own at least 25% of the Chinese mainland enterprise distributing the dividend at all times within the 12-month period immediately preceding the distribution of dividends and be a “beneficial owner” of the dividends. However, pursuant to Circular on Issues Concerning Implementing Dividend Clauses of Tax Treaties issued by the State Administration of Taxation in February 2009, if the PRC tax authorities determine, in their discretion, that a company benefits from the reduced withholding tax rate on dividends due to a structure or arrangement designed for the primary purpose of obtaining favorable tax treatment, the PRC tax authorities may adjust the preferential tax treatment. Moreover, pursuant to Circular on Several Issues regarding the “Beneficial Owner” in Tax Treaties, issued by the State Administration of Taxation in February 2018, which became effective from April 1, 2018, a resident of a contracting state will not qualify for the benefits under the tax treaties or arrangements, if it is not the “beneficial owner” of the dividend, interest and royalty income. According to this circular, a “beneficial owner” is required to have ownership and the right to dispose of the income or the rights and properties giving rise to the income, and generally engage in substantive business activities. An agent or conduit company will not be regarded as a “beneficial owner” and, therefore, will not qualify for treaty benefits. A conduit company normally refers to a company that is set up primarily for the purpose of evading or reducing taxes or transferring or accumulating profits. In addition, pursuant to Bulletin on Administrative Measures on Treaties Benefit for Non-resident Taxpayers, issued by the State Administration of Taxation in October 2019, non-resident enterprises are not required to obtain pre-approval from the tax authority in order to enjoy the reduced withholding tax rate. Instead, non-resident enterprises may, if they determine by self-assessment that the prescribed criteria to enjoy the tax treaty benefits are met, directly apply for the reduced withholding tax rate, and file necessary forms and supporting documents when performing tax filings, which will be subject to post-filing examinations by the tax authorities.</w:t>
      </w:r>
    </w:p>
    <w:p>
      <w:pPr>
        <w:spacing w:after="0" w:line="192"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From 2023 to 2025, certain of our Chinese mainland subsidiaries have declared and distributed profits earned to Baidu (Hong Kong) Limited, the dividend payments are subject to withholding tax. In addition, in 2024 and 2025, Baidu, Inc. received RMB15.2 billion and RMB6.5 billion (US$933 million) as cash distributions from one of its subsidiaries. We have made tax provisions based on the corresponding tax rate. If our Chinese mainland subsidiaries further declare and distribute profits earned after January 1, 2008 to us in the future, the dividend payments will be subject to withholding tax, which will increase our tax liability and reduce the amount of cash available to our company. For the potential distributable profits to be distributed to our qualified Hong Kong incorporated subsidiary, the deferred tax liabilities are accrued at a 5% withholding tax rate or the statutory withholding tax rate. For more information on related risks, please see “Item 3.D. Key Information—Risk Factors—Risks Related to Doing Business in China—If our Chinese mainland subsidiaries declare and distribute dividends to their respective offshore parent companies, we will be required to pay more taxes, which could have a material and adverse effect on our result of operations.”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Tax Residence</w:t>
      </w:r>
    </w:p>
    <w:p>
      <w:pPr>
        <w:spacing w:after="0" w:line="121" w:lineRule="exact"/>
        <w:rPr>
          <w:sz w:val="20"/>
          <w:szCs w:val="20"/>
          <w:color w:val="auto"/>
        </w:rPr>
      </w:pPr>
    </w:p>
    <w:p>
      <w:pPr>
        <w:jc w:val="both"/>
        <w:ind w:left="120" w:firstLine="440"/>
        <w:spacing w:after="0" w:line="252" w:lineRule="auto"/>
        <w:rPr>
          <w:sz w:val="20"/>
          <w:szCs w:val="20"/>
          <w:color w:val="auto"/>
        </w:rPr>
      </w:pPr>
      <w:r>
        <w:rPr>
          <w:rFonts w:ascii="Times New Roman" w:cs="Times New Roman" w:eastAsia="Times New Roman" w:hAnsi="Times New Roman"/>
          <w:sz w:val="18"/>
          <w:szCs w:val="18"/>
          <w:color w:val="auto"/>
        </w:rPr>
        <w:t>Under the EIT Law and its implementation rules, an enterprise established outside of Chinese mainland with “de facto management body” within Chinese mainland is considered a resident enterprise and will be subject to enterprise income tax at the rate of 25% on its worldwide income. The term “de facto management body” refers to “the establishment that exercises substantial and overall management and control over the production, business, personnel, accounts and properties of an enterprise.” Pursuant to SAT Circular 82, issued by the State Administration of Taxation in April 2009, an overseas registered enterprise controlled by a Chinese mainland company or a Chinese mainland company group will be classified as a “resident enterprise” with its “de facto management body” located within Chinese mainland if the following requirements are satisfied: (i) the senior management and core management departments in charge of its daily operations are mainly located in Chinese mainland; (ii) its financial and human resources decisions are subject to determination or approval by persons or bodies located in Chinese mainland; (iii) its major assets, accounting books, company seals, and minutes and files of its board and shareholders’ meetings are located or kept in Chinese mainland; and (iv) no less than half of the enterprise’s directors or senior management with voting rights reside in Chinese mainland. The State Administration of Taxation issued additional rules to provide more guidance on the implementation of SAT Circular 82 in July 2011, and issued an amendment to SAT Circular 82 delegating the authority to its provincial branches to determine whether a Chinese-controlled overseas-incorporated enterprise should be considered a Chinese mainland resident enterprise, in January 2014. Although the SAT Circular 82, the additional guidance and its amendment only apply to overseas registered enterprises controlled by Chinese mainland enterprises and not those controlled by Chinese mainland individuals or foreigners, the determining criteria set forth in the circular may reflect the State Administration of Taxation’s general position on how the “de facto management body” test should be applied in determining the tax resident status of offshore enterprises, regardless of whether they are controlled by Chinese mainland enterprises, individuals or foreigners.</w:t>
      </w:r>
    </w:p>
    <w:p>
      <w:pPr>
        <w:spacing w:after="0" w:line="1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1140"/>
          </w:cols>
          <w:pgMar w:left="320" w:top="482" w:right="4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If our offshore entities are deemed Chinese mainland resident enterprises, these entities may be subject to enterprise income tax at the rate of 25% on their global incomes, except that the dividends distributed by our Chinese mainland subsidiaries may be exempt from enterprise income tax to the extent such dividends are deemed “dividends among qualified resident enterprises.” For more information on related risks, please see “Item 3.D. Key Information—Risk Factors—Risks Related to Doing Business in China—We may be deemed a Chinese mainland resident enterprise under the EIT Law, which could subject us to Chinese mainland’s taxation on our global income, and which may have a material and adverse effect on our results of operations.”</w:t>
      </w:r>
    </w:p>
    <w:p>
      <w:pPr>
        <w:spacing w:after="0" w:line="187"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Should our offshore entities be deemed as Chinese mainland resident enterprises, such changes could significantly increase our tax burden and materially and adversely affect our cash flow and profitability.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Chinese Mainland Urban Maintenance and Construction Tax and Education Surcharge</w:t>
      </w:r>
    </w:p>
    <w:p>
      <w:pPr>
        <w:spacing w:after="0" w:line="121"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Any entity, foreign-invested or purely domestic, or individual that is subject to consumption tax and value-added tax is also required to pay Chinese mainland urban maintenance and construction tax. The rates of urban maintenance and construction tax are 7%, 5% or 1% of the amount of consumption tax and value-added tax actually paid depending on where the taxpayer is located. All entities and individuals who pay consumption tax and value-added tax are also required to pay education surcharges at a rate of 3%, and local education surcharges at a rate of 2%, of the amount of value-added tax and consumption tax actually paid.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summary of our consolidated results of operations for the periods indicated. The period-to-period comparisons of results of operations should not be relied upon as indicative of future performance.</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4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84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6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40" w:type="dxa"/>
            <w:vAlign w:val="bottom"/>
          </w:tcPr>
          <w:p>
            <w:pPr>
              <w:spacing w:after="0"/>
              <w:rPr>
                <w:sz w:val="12"/>
                <w:szCs w:val="12"/>
                <w:color w:val="auto"/>
              </w:rPr>
            </w:pPr>
          </w:p>
        </w:tc>
        <w:tc>
          <w:tcPr>
            <w:tcW w:w="780" w:type="dxa"/>
            <w:vAlign w:val="bottom"/>
            <w:gridSpan w:val="2"/>
          </w:tcPr>
          <w:p>
            <w:pPr>
              <w:jc w:val="center"/>
              <w:ind w:left="3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86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4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Borders>
              <w:bottom w:val="single" w:sz="8" w:color="auto"/>
            </w:tcBorders>
          </w:tcPr>
          <w:p>
            <w:pPr>
              <w:spacing w:after="0"/>
              <w:rPr>
                <w:sz w:val="12"/>
                <w:szCs w:val="12"/>
                <w:color w:val="auto"/>
              </w:rPr>
            </w:pPr>
          </w:p>
        </w:tc>
        <w:tc>
          <w:tcPr>
            <w:tcW w:w="860" w:type="dxa"/>
            <w:vAlign w:val="bottom"/>
            <w:tcBorders>
              <w:top w:val="single" w:sz="8" w:color="auto"/>
              <w:bottom w:val="single" w:sz="8" w:color="auto"/>
            </w:tcBorders>
            <w:gridSpan w:val="2"/>
          </w:tcPr>
          <w:p>
            <w:pPr>
              <w:jc w:val="right"/>
              <w:ind w:right="38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560" w:type="dxa"/>
            <w:vAlign w:val="bottom"/>
            <w:tcBorders>
              <w:top w:val="single" w:sz="8" w:color="auto"/>
              <w:bottom w:val="single" w:sz="8" w:color="auto"/>
            </w:tcBorders>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4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4"/>
          </w:tcPr>
          <w:p>
            <w:pPr>
              <w:jc w:val="center"/>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Data</w:t>
            </w:r>
          </w:p>
        </w:tc>
        <w:tc>
          <w:tcPr>
            <w:tcW w:w="29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w:t>
            </w:r>
          </w:p>
        </w:tc>
        <w:tc>
          <w:tcPr>
            <w:tcW w:w="36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134,598</w:t>
            </w: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133,125</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129,079</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18,458</w:t>
            </w: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292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2"/>
          </w:tcPr>
          <w:p>
            <w:pPr>
              <w:ind w:left="360"/>
              <w:spacing w:after="0" w:line="216" w:lineRule="exact"/>
              <w:rPr>
                <w:sz w:val="20"/>
                <w:szCs w:val="20"/>
                <w:color w:val="auto"/>
              </w:rPr>
            </w:pPr>
            <w:r>
              <w:rPr>
                <w:rFonts w:ascii="Times New Roman" w:cs="Times New Roman" w:eastAsia="Times New Roman" w:hAnsi="Times New Roman"/>
                <w:sz w:val="17"/>
                <w:szCs w:val="17"/>
                <w:color w:val="auto"/>
              </w:rPr>
              <w:t>Cost of revenue</w:t>
            </w:r>
            <w:r>
              <w:rPr>
                <w:rFonts w:ascii="Times New Roman" w:cs="Times New Roman" w:eastAsia="Times New Roman" w:hAnsi="Times New Roman"/>
                <w:sz w:val="25"/>
                <w:szCs w:val="25"/>
                <w:color w:val="auto"/>
                <w:vertAlign w:val="superscript"/>
              </w:rPr>
              <w:t>(1)</w:t>
            </w:r>
          </w:p>
        </w:tc>
        <w:tc>
          <w:tcPr>
            <w:tcW w:w="36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65,031</w:t>
            </w: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66,102</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72,436</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10,358</w:t>
            </w: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Selling, general and administrative</w:t>
            </w:r>
            <w:r>
              <w:rPr>
                <w:rFonts w:ascii="Times New Roman" w:cs="Times New Roman" w:eastAsia="Times New Roman" w:hAnsi="Times New Roman"/>
                <w:sz w:val="25"/>
                <w:szCs w:val="25"/>
                <w:color w:val="auto"/>
                <w:vertAlign w:val="superscript"/>
              </w:rPr>
              <w:t>(1)</w:t>
            </w:r>
          </w:p>
        </w:tc>
        <w:tc>
          <w:tcPr>
            <w:tcW w:w="36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23,519</w:t>
            </w:r>
          </w:p>
        </w:tc>
        <w:tc>
          <w:tcPr>
            <w:tcW w:w="9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23,620</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25,843</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3,696</w:t>
            </w:r>
          </w:p>
        </w:tc>
        <w:tc>
          <w:tcPr>
            <w:tcW w:w="0" w:type="dxa"/>
            <w:vAlign w:val="bottom"/>
          </w:tcPr>
          <w:p>
            <w:pPr>
              <w:spacing w:after="0"/>
              <w:rPr>
                <w:sz w:val="1"/>
                <w:szCs w:val="1"/>
                <w:color w:val="auto"/>
              </w:rPr>
            </w:pPr>
          </w:p>
        </w:tc>
      </w:tr>
      <w:tr>
        <w:trPr>
          <w:trHeight w:val="216"/>
        </w:trPr>
        <w:tc>
          <w:tcPr>
            <w:tcW w:w="4940" w:type="dxa"/>
            <w:vAlign w:val="bottom"/>
            <w:gridSpan w:val="2"/>
          </w:tcPr>
          <w:p>
            <w:pPr>
              <w:ind w:left="360"/>
              <w:spacing w:after="0" w:line="216" w:lineRule="exact"/>
              <w:rPr>
                <w:sz w:val="20"/>
                <w:szCs w:val="20"/>
                <w:color w:val="auto"/>
              </w:rPr>
            </w:pPr>
            <w:r>
              <w:rPr>
                <w:rFonts w:ascii="Times New Roman" w:cs="Times New Roman" w:eastAsia="Times New Roman" w:hAnsi="Times New Roman"/>
                <w:sz w:val="17"/>
                <w:szCs w:val="17"/>
                <w:color w:val="auto"/>
              </w:rPr>
              <w:t>Research and development</w:t>
            </w:r>
            <w:r>
              <w:rPr>
                <w:rFonts w:ascii="Times New Roman" w:cs="Times New Roman" w:eastAsia="Times New Roman" w:hAnsi="Times New Roman"/>
                <w:sz w:val="25"/>
                <w:szCs w:val="25"/>
                <w:color w:val="auto"/>
                <w:vertAlign w:val="superscript"/>
              </w:rPr>
              <w:t>(1)</w:t>
            </w:r>
          </w:p>
        </w:tc>
        <w:tc>
          <w:tcPr>
            <w:tcW w:w="36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24,192</w:t>
            </w: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22,133</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20,433</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2,922</w:t>
            </w: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2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16,190</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2,315</w:t>
            </w:r>
          </w:p>
        </w:tc>
        <w:tc>
          <w:tcPr>
            <w:tcW w:w="0" w:type="dxa"/>
            <w:vAlign w:val="bottom"/>
          </w:tcPr>
          <w:p>
            <w:pPr>
              <w:spacing w:after="0"/>
              <w:rPr>
                <w:sz w:val="1"/>
                <w:szCs w:val="1"/>
                <w:color w:val="auto"/>
              </w:rPr>
            </w:pPr>
          </w:p>
        </w:tc>
      </w:tr>
      <w:tr>
        <w:trPr>
          <w:trHeight w:val="230"/>
        </w:trPr>
        <w:tc>
          <w:tcPr>
            <w:tcW w:w="49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92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112,742</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111,855</w:t>
            </w:r>
          </w:p>
        </w:tc>
        <w:tc>
          <w:tcPr>
            <w:tcW w:w="16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134,902</w:t>
            </w:r>
          </w:p>
        </w:tc>
        <w:tc>
          <w:tcPr>
            <w:tcW w:w="22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19,291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36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21,856</w:t>
            </w:r>
          </w:p>
        </w:tc>
        <w:tc>
          <w:tcPr>
            <w:tcW w:w="9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21,270</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(5,823)</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(833)</w:t>
            </w:r>
          </w:p>
        </w:tc>
        <w:tc>
          <w:tcPr>
            <w:tcW w:w="0" w:type="dxa"/>
            <w:vAlign w:val="bottom"/>
          </w:tcPr>
          <w:p>
            <w:pPr>
              <w:spacing w:after="0"/>
              <w:rPr>
                <w:sz w:val="1"/>
                <w:szCs w:val="1"/>
                <w:color w:val="auto"/>
              </w:rPr>
            </w:pPr>
          </w:p>
        </w:tc>
      </w:tr>
      <w:tr>
        <w:trPr>
          <w:trHeight w:val="230"/>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other income, net</w:t>
            </w:r>
          </w:p>
        </w:tc>
        <w:tc>
          <w:tcPr>
            <w:tcW w:w="292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3,342</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7,352</w:t>
            </w:r>
          </w:p>
        </w:tc>
        <w:tc>
          <w:tcPr>
            <w:tcW w:w="16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12,539</w:t>
            </w:r>
          </w:p>
        </w:tc>
        <w:tc>
          <w:tcPr>
            <w:tcW w:w="22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6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25,198</w:t>
            </w:r>
          </w:p>
        </w:tc>
        <w:tc>
          <w:tcPr>
            <w:tcW w:w="9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28,622</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6,716</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960</w:t>
            </w:r>
          </w:p>
        </w:tc>
        <w:tc>
          <w:tcPr>
            <w:tcW w:w="0" w:type="dxa"/>
            <w:vAlign w:val="bottom"/>
          </w:tcPr>
          <w:p>
            <w:pPr>
              <w:spacing w:after="0"/>
              <w:rPr>
                <w:sz w:val="1"/>
                <w:szCs w:val="1"/>
                <w:color w:val="auto"/>
              </w:rPr>
            </w:pPr>
          </w:p>
        </w:tc>
      </w:tr>
      <w:tr>
        <w:trPr>
          <w:trHeight w:val="230"/>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92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3,649</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4,447</w:t>
            </w:r>
          </w:p>
        </w:tc>
        <w:tc>
          <w:tcPr>
            <w:tcW w:w="16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22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36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21,549</w:t>
            </w:r>
          </w:p>
        </w:tc>
        <w:tc>
          <w:tcPr>
            <w:tcW w:w="9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24,175</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5,457</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780</w:t>
            </w:r>
          </w:p>
        </w:tc>
        <w:tc>
          <w:tcPr>
            <w:tcW w:w="0" w:type="dxa"/>
            <w:vAlign w:val="bottom"/>
          </w:tcPr>
          <w:p>
            <w:pPr>
              <w:spacing w:after="0"/>
              <w:rPr>
                <w:sz w:val="1"/>
                <w:szCs w:val="1"/>
                <w:color w:val="auto"/>
              </w:rPr>
            </w:pPr>
          </w:p>
        </w:tc>
      </w:tr>
      <w:tr>
        <w:trPr>
          <w:trHeight w:val="230"/>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292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6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2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Baidu, Inc.</w:t>
            </w:r>
          </w:p>
        </w:tc>
        <w:tc>
          <w:tcPr>
            <w:tcW w:w="2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20,315</w:t>
            </w:r>
          </w:p>
        </w:tc>
        <w:tc>
          <w:tcPr>
            <w:tcW w:w="9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23,760</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5,589</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799</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40" w:type="dxa"/>
            <w:vAlign w:val="bottom"/>
            <w:tcBorders>
              <w:bottom w:val="single" w:sz="8" w:color="auto"/>
            </w:tcBorders>
          </w:tcPr>
          <w:p>
            <w:pPr>
              <w:spacing w:after="0"/>
              <w:rPr>
                <w:sz w:val="11"/>
                <w:szCs w:val="11"/>
                <w:color w:val="auto"/>
              </w:rPr>
            </w:pPr>
          </w:p>
        </w:tc>
        <w:tc>
          <w:tcPr>
            <w:tcW w:w="410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0" w:type="dxa"/>
            <w:vAlign w:val="bottom"/>
            <w:gridSpan w:val="5"/>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84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5"/>
            <w:vMerge w:val="continue"/>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84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6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40" w:type="dxa"/>
            <w:vAlign w:val="bottom"/>
          </w:tcPr>
          <w:p>
            <w:pPr>
              <w:spacing w:after="0"/>
              <w:rPr>
                <w:sz w:val="12"/>
                <w:szCs w:val="12"/>
                <w:color w:val="auto"/>
              </w:rPr>
            </w:pPr>
          </w:p>
        </w:tc>
        <w:tc>
          <w:tcPr>
            <w:tcW w:w="780" w:type="dxa"/>
            <w:vAlign w:val="bottom"/>
            <w:gridSpan w:val="2"/>
          </w:tcPr>
          <w:p>
            <w:pPr>
              <w:jc w:val="center"/>
              <w:ind w:left="3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86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4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Borders>
              <w:bottom w:val="single" w:sz="8" w:color="auto"/>
            </w:tcBorders>
          </w:tcPr>
          <w:p>
            <w:pPr>
              <w:spacing w:after="0"/>
              <w:rPr>
                <w:sz w:val="12"/>
                <w:szCs w:val="12"/>
                <w:color w:val="auto"/>
              </w:rPr>
            </w:pPr>
          </w:p>
        </w:tc>
        <w:tc>
          <w:tcPr>
            <w:tcW w:w="860" w:type="dxa"/>
            <w:vAlign w:val="bottom"/>
            <w:tcBorders>
              <w:top w:val="single" w:sz="8" w:color="auto"/>
              <w:bottom w:val="single" w:sz="8" w:color="auto"/>
            </w:tcBorders>
            <w:gridSpan w:val="2"/>
          </w:tcPr>
          <w:p>
            <w:pPr>
              <w:jc w:val="right"/>
              <w:ind w:right="38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560" w:type="dxa"/>
            <w:vAlign w:val="bottom"/>
            <w:tcBorders>
              <w:top w:val="single" w:sz="8" w:color="auto"/>
              <w:bottom w:val="single" w:sz="8" w:color="auto"/>
            </w:tcBorders>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4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4"/>
          </w:tcPr>
          <w:p>
            <w:pPr>
              <w:jc w:val="center"/>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(1)    Includes share-based compensation expenses as follows:</w:t>
            </w:r>
          </w:p>
        </w:tc>
        <w:tc>
          <w:tcPr>
            <w:tcW w:w="29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09"/>
        </w:trPr>
        <w:tc>
          <w:tcPr>
            <w:tcW w:w="840" w:type="dxa"/>
            <w:vAlign w:val="bottom"/>
            <w:shd w:val="clear" w:color="auto" w:fill="CCEEFF"/>
          </w:tcPr>
          <w:p>
            <w:pPr>
              <w:spacing w:after="0"/>
              <w:rPr>
                <w:sz w:val="9"/>
                <w:szCs w:val="9"/>
                <w:color w:val="auto"/>
              </w:rPr>
            </w:pPr>
          </w:p>
        </w:tc>
        <w:tc>
          <w:tcPr>
            <w:tcW w:w="4100" w:type="dxa"/>
            <w:vAlign w:val="bottom"/>
            <w:shd w:val="clear" w:color="auto" w:fill="CCEEFF"/>
          </w:tcPr>
          <w:p>
            <w:pPr>
              <w:spacing w:after="0"/>
              <w:rPr>
                <w:sz w:val="9"/>
                <w:szCs w:val="9"/>
                <w:color w:val="auto"/>
              </w:rPr>
            </w:pPr>
          </w:p>
        </w:tc>
        <w:tc>
          <w:tcPr>
            <w:tcW w:w="29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94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color w:val="auto"/>
              </w:rPr>
              <w:t>Cost of revenue</w:t>
            </w:r>
          </w:p>
        </w:tc>
        <w:tc>
          <w:tcPr>
            <w:tcW w:w="360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590</w:t>
            </w:r>
          </w:p>
        </w:tc>
        <w:tc>
          <w:tcPr>
            <w:tcW w:w="940" w:type="dxa"/>
            <w:vAlign w:val="bottom"/>
            <w:gridSpan w:val="3"/>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461</w:t>
            </w:r>
          </w:p>
        </w:tc>
        <w:tc>
          <w:tcPr>
            <w:tcW w:w="8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389</w:t>
            </w:r>
          </w:p>
        </w:tc>
        <w:tc>
          <w:tcPr>
            <w:tcW w:w="6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56</w:t>
            </w:r>
          </w:p>
        </w:tc>
        <w:tc>
          <w:tcPr>
            <w:tcW w:w="0" w:type="dxa"/>
            <w:vAlign w:val="bottom"/>
          </w:tcPr>
          <w:p>
            <w:pPr>
              <w:spacing w:after="0"/>
              <w:rPr>
                <w:sz w:val="1"/>
                <w:szCs w:val="1"/>
                <w:color w:val="auto"/>
              </w:rPr>
            </w:pPr>
          </w:p>
        </w:tc>
      </w:tr>
      <w:tr>
        <w:trPr>
          <w:trHeight w:val="148"/>
        </w:trPr>
        <w:tc>
          <w:tcPr>
            <w:tcW w:w="4940" w:type="dxa"/>
            <w:vAlign w:val="bottom"/>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Selling, general and administrative</w:t>
            </w:r>
          </w:p>
        </w:tc>
        <w:tc>
          <w:tcPr>
            <w:tcW w:w="3600" w:type="dxa"/>
            <w:vAlign w:val="bottom"/>
            <w:gridSpan w:val="3"/>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1,678</w:t>
            </w:r>
          </w:p>
        </w:tc>
        <w:tc>
          <w:tcPr>
            <w:tcW w:w="940" w:type="dxa"/>
            <w:vAlign w:val="bottom"/>
            <w:gridSpan w:val="3"/>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1,427</w:t>
            </w:r>
          </w:p>
        </w:tc>
        <w:tc>
          <w:tcPr>
            <w:tcW w:w="8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1,181</w:t>
            </w:r>
          </w:p>
        </w:tc>
        <w:tc>
          <w:tcPr>
            <w:tcW w:w="6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169</w:t>
            </w:r>
          </w:p>
        </w:tc>
        <w:tc>
          <w:tcPr>
            <w:tcW w:w="0" w:type="dxa"/>
            <w:vAlign w:val="bottom"/>
          </w:tcPr>
          <w:p>
            <w:pPr>
              <w:spacing w:after="0"/>
              <w:rPr>
                <w:sz w:val="1"/>
                <w:szCs w:val="1"/>
                <w:color w:val="auto"/>
              </w:rPr>
            </w:pPr>
          </w:p>
        </w:tc>
      </w:tr>
      <w:tr>
        <w:trPr>
          <w:trHeight w:val="149"/>
        </w:trPr>
        <w:tc>
          <w:tcPr>
            <w:tcW w:w="494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color w:val="auto"/>
              </w:rPr>
              <w:t>Research and development</w:t>
            </w:r>
          </w:p>
        </w:tc>
        <w:tc>
          <w:tcPr>
            <w:tcW w:w="292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4,077</w:t>
            </w:r>
          </w:p>
        </w:tc>
        <w:tc>
          <w:tcPr>
            <w:tcW w:w="940" w:type="dxa"/>
            <w:vAlign w:val="bottom"/>
            <w:gridSpan w:val="3"/>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2,896</w:t>
            </w:r>
          </w:p>
        </w:tc>
        <w:tc>
          <w:tcPr>
            <w:tcW w:w="8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2,035</w:t>
            </w:r>
          </w:p>
        </w:tc>
        <w:tc>
          <w:tcPr>
            <w:tcW w:w="6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292</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4100" w:type="dxa"/>
            <w:vAlign w:val="bottom"/>
          </w:tcPr>
          <w:p>
            <w:pPr>
              <w:spacing w:after="0"/>
              <w:rPr>
                <w:sz w:val="2"/>
                <w:szCs w:val="2"/>
                <w:color w:val="auto"/>
              </w:rPr>
            </w:pPr>
          </w:p>
        </w:tc>
        <w:tc>
          <w:tcPr>
            <w:tcW w:w="29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940" w:type="dxa"/>
            <w:vAlign w:val="bottom"/>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Total</w:t>
            </w:r>
          </w:p>
        </w:tc>
        <w:tc>
          <w:tcPr>
            <w:tcW w:w="29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6,345</w:t>
            </w:r>
          </w:p>
        </w:tc>
        <w:tc>
          <w:tcPr>
            <w:tcW w:w="940" w:type="dxa"/>
            <w:vAlign w:val="bottom"/>
            <w:gridSpan w:val="3"/>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4,784</w:t>
            </w:r>
          </w:p>
        </w:tc>
        <w:tc>
          <w:tcPr>
            <w:tcW w:w="8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3,605</w:t>
            </w:r>
          </w:p>
        </w:tc>
        <w:tc>
          <w:tcPr>
            <w:tcW w:w="6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517</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920" w:type="dxa"/>
            <w:vAlign w:val="bottom"/>
            <w:vMerge w:val="restart"/>
          </w:tcPr>
          <w:p>
            <w:pPr>
              <w:jc w:val="right"/>
              <w:ind w:right="2134"/>
              <w:spacing w:after="0"/>
              <w:rPr>
                <w:sz w:val="20"/>
                <w:szCs w:val="20"/>
                <w:color w:val="auto"/>
              </w:rPr>
            </w:pPr>
            <w:r>
              <w:rPr>
                <w:rFonts w:ascii="Times New Roman" w:cs="Times New Roman" w:eastAsia="Times New Roman" w:hAnsi="Times New Roman"/>
                <w:sz w:val="18"/>
                <w:szCs w:val="18"/>
                <w:color w:val="auto"/>
              </w:rPr>
              <w:t>147</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4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292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2025 Compared to Year Ended December 31, 2024</w:t>
      </w:r>
    </w:p>
    <w:p>
      <w:pPr>
        <w:spacing w:after="0" w:line="117" w:lineRule="exact"/>
        <w:rPr>
          <w:sz w:val="20"/>
          <w:szCs w:val="20"/>
          <w:color w:val="auto"/>
        </w:rPr>
      </w:pPr>
    </w:p>
    <w:p>
      <w:pPr>
        <w:jc w:val="both"/>
        <w:ind w:left="120" w:right="2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Consolidated revenue</w:t>
      </w:r>
      <w:r>
        <w:rPr>
          <w:rFonts w:ascii="Times New Roman" w:cs="Times New Roman" w:eastAsia="Times New Roman" w:hAnsi="Times New Roman"/>
          <w:sz w:val="18"/>
          <w:szCs w:val="18"/>
          <w:color w:val="auto"/>
        </w:rPr>
        <w:t>. Our total revenue in 2025 were RMB129.1 billion (US$18.5 billion), decreasing by 3% from 2024, primarily due to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decrease in online marketing revenue, partially offset by an increase in revenue from cloud services.</w:t>
      </w:r>
    </w:p>
    <w:p>
      <w:pPr>
        <w:spacing w:after="0" w:line="155" w:lineRule="exact"/>
        <w:rPr>
          <w:sz w:val="20"/>
          <w:szCs w:val="20"/>
          <w:color w:val="auto"/>
        </w:rPr>
      </w:pPr>
    </w:p>
    <w:p>
      <w:pPr>
        <w:jc w:val="both"/>
        <w:ind w:left="120" w:right="2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Consolidated costs and expenses</w:t>
      </w:r>
      <w:r>
        <w:rPr>
          <w:rFonts w:ascii="Times New Roman" w:cs="Times New Roman" w:eastAsia="Times New Roman" w:hAnsi="Times New Roman"/>
          <w:sz w:val="18"/>
          <w:szCs w:val="18"/>
          <w:color w:val="auto"/>
        </w:rPr>
        <w:t>. Our total costs and expenses increased by RMB23.0 billion, or 21%, from RMB111.9 billion in 2024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RMB134.9 billion (US$19.3 billion) in 2025.</w:t>
      </w:r>
    </w:p>
    <w:p>
      <w:pPr>
        <w:spacing w:after="0" w:line="157" w:lineRule="exact"/>
        <w:rPr>
          <w:sz w:val="20"/>
          <w:szCs w:val="20"/>
          <w:color w:val="auto"/>
        </w:rPr>
      </w:pPr>
    </w:p>
    <w:p>
      <w:pPr>
        <w:jc w:val="both"/>
        <w:ind w:left="120" w:right="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Cost of Revenue. </w:t>
      </w:r>
      <w:r>
        <w:rPr>
          <w:rFonts w:ascii="Times New Roman" w:cs="Times New Roman" w:eastAsia="Times New Roman" w:hAnsi="Times New Roman"/>
          <w:sz w:val="18"/>
          <w:szCs w:val="18"/>
          <w:color w:val="auto"/>
        </w:rPr>
        <w:t>Our cost of revenue increased by RMB6.3 billion, or 10%, from RMB66.1 billion in 2024 to RMB72.4 billion (US$10.4 billion)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2025, primarily due to an increase in bandwidth costs, depreciation costs and server custody fees, mainly related to development of cloud services.</w:t>
      </w:r>
    </w:p>
    <w:p>
      <w:pPr>
        <w:spacing w:after="0" w:line="158" w:lineRule="exact"/>
        <w:rPr>
          <w:sz w:val="20"/>
          <w:szCs w:val="20"/>
          <w:color w:val="auto"/>
        </w:rPr>
      </w:pPr>
    </w:p>
    <w:p>
      <w:pPr>
        <w:jc w:val="both"/>
        <w:ind w:left="120" w:right="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Selling, General and Administrative Expenses</w:t>
      </w:r>
      <w:r>
        <w:rPr>
          <w:rFonts w:ascii="Times New Roman" w:cs="Times New Roman" w:eastAsia="Times New Roman" w:hAnsi="Times New Roman"/>
          <w:sz w:val="18"/>
          <w:szCs w:val="18"/>
          <w:color w:val="auto"/>
        </w:rPr>
        <w:t>. Our selling, general and administrative expenses increased by RMB2.2 billion, or 9%,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RMB23.6 billion in 2024 to RMB25.8 billion (US$3.7 billion) in 2025, primarily due to an increase in channel spending expenses and expected credit losses.</w:t>
      </w:r>
    </w:p>
    <w:p>
      <w:pPr>
        <w:spacing w:after="0" w:line="173" w:lineRule="exact"/>
        <w:rPr>
          <w:sz w:val="20"/>
          <w:szCs w:val="20"/>
          <w:color w:val="auto"/>
        </w:rPr>
      </w:pPr>
    </w:p>
    <w:p>
      <w:pPr>
        <w:ind w:left="120" w:right="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Research and Development Expenses</w:t>
      </w:r>
      <w:r>
        <w:rPr>
          <w:rFonts w:ascii="Times New Roman" w:cs="Times New Roman" w:eastAsia="Times New Roman" w:hAnsi="Times New Roman"/>
          <w:sz w:val="18"/>
          <w:szCs w:val="18"/>
          <w:color w:val="auto"/>
        </w:rPr>
        <w:t>. Our research and development expenses decreased by RMB1.7 billion, or 8%, from RMB22.1 billion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to RMB20.4 billion (US$2.9 billion) in 2025, primarily due to a decrease in personnel-related expenses.</w:t>
      </w:r>
    </w:p>
    <w:p>
      <w:pPr>
        <w:spacing w:after="0" w:line="158" w:lineRule="exact"/>
        <w:rPr>
          <w:sz w:val="20"/>
          <w:szCs w:val="20"/>
          <w:color w:val="auto"/>
        </w:rPr>
      </w:pPr>
    </w:p>
    <w:p>
      <w:pPr>
        <w:jc w:val="both"/>
        <w:ind w:left="120" w:right="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Impairment of long-lived assets. </w:t>
      </w:r>
      <w:r>
        <w:rPr>
          <w:rFonts w:ascii="Times New Roman" w:cs="Times New Roman" w:eastAsia="Times New Roman" w:hAnsi="Times New Roman"/>
          <w:sz w:val="18"/>
          <w:szCs w:val="18"/>
          <w:color w:val="auto"/>
        </w:rPr>
        <w:t>Impairment of long-lived assets was RMB16.2 billion (US$2.3 billion) in 2025, attributable to an impairment loss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Core asset group.</w:t>
      </w:r>
    </w:p>
    <w:p>
      <w:pPr>
        <w:spacing w:after="0" w:line="15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Operating loss</w:t>
      </w:r>
      <w:r>
        <w:rPr>
          <w:rFonts w:ascii="Times New Roman" w:cs="Times New Roman" w:eastAsia="Times New Roman" w:hAnsi="Times New Roman"/>
          <w:sz w:val="18"/>
          <w:szCs w:val="18"/>
          <w:color w:val="auto"/>
        </w:rPr>
        <w:t>. As a result of the foregoing, we generated an operating loss of RMB5.8 billion (US$833 million) in 2025.</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Excluding the impact of impairment of long-lived assets, operating income was RMB10.4 billion (US$1.5 billion) in 2025.</w:t>
      </w:r>
    </w:p>
    <w:p>
      <w:pPr>
        <w:spacing w:after="0" w:line="2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Total other income, net</w:t>
      </w:r>
      <w:r>
        <w:rPr>
          <w:rFonts w:ascii="Times New Roman" w:cs="Times New Roman" w:eastAsia="Times New Roman" w:hAnsi="Times New Roman"/>
          <w:sz w:val="18"/>
          <w:szCs w:val="18"/>
          <w:color w:val="auto"/>
        </w:rPr>
        <w:t>. Our total other income, net was RMB12.5 billion (US$1.8 billion) in 2025, compared to RMB7.4 billion in 2024.</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r>
        <w:rPr>
          <w:rFonts w:ascii="Times New Roman" w:cs="Times New Roman" w:eastAsia="Times New Roman" w:hAnsi="Times New Roman"/>
          <w:sz w:val="18"/>
          <w:szCs w:val="18"/>
          <w:color w:val="auto"/>
        </w:rPr>
        <w:t>. Our income tax expense was RMB1.3 billion (US$180 million) in 2025, compared to RMB4.4 billion in 2024.</w:t>
      </w:r>
    </w:p>
    <w:p>
      <w:pPr>
        <w:spacing w:after="0" w:line="225" w:lineRule="exact"/>
        <w:rPr>
          <w:sz w:val="20"/>
          <w:szCs w:val="20"/>
          <w:color w:val="auto"/>
        </w:rPr>
      </w:pPr>
    </w:p>
    <w:p>
      <w:pPr>
        <w:ind w:left="120" w:right="2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Net income attributable to Baidu, Inc</w:t>
      </w:r>
      <w:r>
        <w:rPr>
          <w:rFonts w:ascii="Times New Roman" w:cs="Times New Roman" w:eastAsia="Times New Roman" w:hAnsi="Times New Roman"/>
          <w:sz w:val="18"/>
          <w:szCs w:val="18"/>
          <w:color w:val="auto"/>
        </w:rPr>
        <w:t>. As a result of the foregoing, net income attributable to Baidu, Inc. decreased from RMB23.8 billion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2024 to RMB5.6 billion (US$799 million) in 2025.</w:t>
      </w:r>
    </w:p>
    <w:p>
      <w:pPr>
        <w:spacing w:after="0" w:line="15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Excluding the impact of impairment of long-lived assets, net income attributable to Baidu, Inc. was RMB19.4 billion (US$2.8 billion) in 2025.</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2024 Compared to Year Ended December 31, 2023</w:t>
      </w:r>
    </w:p>
    <w:p>
      <w:pPr>
        <w:spacing w:after="0" w:line="117" w:lineRule="exact"/>
        <w:rPr>
          <w:sz w:val="20"/>
          <w:szCs w:val="20"/>
          <w:color w:val="auto"/>
        </w:rPr>
      </w:pPr>
    </w:p>
    <w:p>
      <w:pPr>
        <w:jc w:val="both"/>
        <w:ind w:left="120" w:right="2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Consolidated revenue</w:t>
      </w:r>
      <w:r>
        <w:rPr>
          <w:rFonts w:ascii="Times New Roman" w:cs="Times New Roman" w:eastAsia="Times New Roman" w:hAnsi="Times New Roman"/>
          <w:sz w:val="18"/>
          <w:szCs w:val="18"/>
          <w:color w:val="auto"/>
        </w:rPr>
        <w:t>. Our total revenue in 2024 were RMB133.1 billion, decreasing by 1% from 2023, primarily due to a decrease in online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marketing revenue, partially offset by an increase in revenue from cloud services.</w:t>
      </w:r>
    </w:p>
    <w:p>
      <w:pPr>
        <w:spacing w:after="0" w:line="155" w:lineRule="exact"/>
        <w:rPr>
          <w:sz w:val="20"/>
          <w:szCs w:val="20"/>
          <w:color w:val="auto"/>
        </w:rPr>
      </w:pPr>
    </w:p>
    <w:p>
      <w:pPr>
        <w:jc w:val="both"/>
        <w:ind w:left="12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Consolidated costs and expenses</w:t>
      </w:r>
      <w:r>
        <w:rPr>
          <w:rFonts w:ascii="Times New Roman" w:cs="Times New Roman" w:eastAsia="Times New Roman" w:hAnsi="Times New Roman"/>
          <w:sz w:val="18"/>
          <w:szCs w:val="18"/>
          <w:color w:val="auto"/>
        </w:rPr>
        <w:t>. Our total costs and expenses decreased by RMB887 million, or 1%, from RMB112.7 billion in 2023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RMB111.9 billion in 2024.</w:t>
      </w:r>
    </w:p>
    <w:p>
      <w:pPr>
        <w:spacing w:after="0" w:line="157" w:lineRule="exact"/>
        <w:rPr>
          <w:sz w:val="20"/>
          <w:szCs w:val="20"/>
          <w:color w:val="auto"/>
        </w:rPr>
      </w:pPr>
    </w:p>
    <w:p>
      <w:pPr>
        <w:jc w:val="both"/>
        <w:ind w:left="120" w:right="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Cost of Revenue</w:t>
      </w:r>
      <w:r>
        <w:rPr>
          <w:rFonts w:ascii="Times New Roman" w:cs="Times New Roman" w:eastAsia="Times New Roman" w:hAnsi="Times New Roman"/>
          <w:sz w:val="18"/>
          <w:szCs w:val="18"/>
          <w:color w:val="auto"/>
        </w:rPr>
        <w:t>. Our cost of revenue increased by RMB1.1 billion, or 2%, from RMB65.0 billion in 2023 to RMB66.1 billion in 2024,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due to an increase in traffic acquisition costs arose from increasing union revenues, an increase in bandwidth costs and server custody fees mainly related to development of cloud services, and partially offset by a decrease in content costs mainly due to iQIYI’s lighter content slate.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11140"/>
          </w:cols>
          <w:pgMar w:left="320" w:top="482" w:right="4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2" w:lineRule="exact"/>
        <w:rPr>
          <w:sz w:val="20"/>
          <w:szCs w:val="20"/>
          <w:color w:val="auto"/>
        </w:rPr>
      </w:pPr>
    </w:p>
    <w:p>
      <w:pPr>
        <w:jc w:val="both"/>
        <w:ind w:left="120" w:right="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Selling, General and Administrative Expenses</w:t>
      </w:r>
      <w:r>
        <w:rPr>
          <w:rFonts w:ascii="Times New Roman" w:cs="Times New Roman" w:eastAsia="Times New Roman" w:hAnsi="Times New Roman"/>
          <w:sz w:val="18"/>
          <w:szCs w:val="18"/>
          <w:color w:val="auto"/>
        </w:rPr>
        <w:t>. Our selling, general and administrative expenses were RMB23.6 billion in 2024, which remained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generally flat from RMB23.5 billion in 2023.</w:t>
      </w:r>
    </w:p>
    <w:p>
      <w:pPr>
        <w:spacing w:after="0" w:line="158" w:lineRule="exact"/>
        <w:rPr>
          <w:sz w:val="20"/>
          <w:szCs w:val="20"/>
          <w:color w:val="auto"/>
        </w:rPr>
      </w:pPr>
    </w:p>
    <w:p>
      <w:pPr>
        <w:ind w:left="120" w:right="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Research and Development Expenses</w:t>
      </w:r>
      <w:r>
        <w:rPr>
          <w:rFonts w:ascii="Times New Roman" w:cs="Times New Roman" w:eastAsia="Times New Roman" w:hAnsi="Times New Roman"/>
          <w:sz w:val="18"/>
          <w:szCs w:val="18"/>
          <w:color w:val="auto"/>
        </w:rPr>
        <w:t>. Our research and development expenses decreased by RMB2.1 billion, or 9%, from RMB24.2 billion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to RMB22.1 billion in 2024, primarily due to a decrease in personnel-related expenses.</w:t>
      </w:r>
    </w:p>
    <w:p>
      <w:pPr>
        <w:spacing w:after="0" w:line="156" w:lineRule="exact"/>
        <w:rPr>
          <w:sz w:val="20"/>
          <w:szCs w:val="20"/>
          <w:color w:val="auto"/>
        </w:rPr>
      </w:pPr>
    </w:p>
    <w:p>
      <w:pPr>
        <w:jc w:val="both"/>
        <w:ind w:left="120" w:right="2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Operating income</w:t>
      </w:r>
      <w:r>
        <w:rPr>
          <w:rFonts w:ascii="Times New Roman" w:cs="Times New Roman" w:eastAsia="Times New Roman" w:hAnsi="Times New Roman"/>
          <w:sz w:val="18"/>
          <w:szCs w:val="18"/>
          <w:color w:val="auto"/>
        </w:rPr>
        <w:t>. As a result of the foregoing, we generated operating income of RMB21.3 billion in 2024, a 3% decrease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RMB21.9 billion in 2023.</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Total other income, net</w:t>
      </w:r>
      <w:r>
        <w:rPr>
          <w:rFonts w:ascii="Times New Roman" w:cs="Times New Roman" w:eastAsia="Times New Roman" w:hAnsi="Times New Roman"/>
          <w:sz w:val="18"/>
          <w:szCs w:val="18"/>
          <w:color w:val="auto"/>
        </w:rPr>
        <w:t>. Our total other income, net was RMB7.4 billion in 2024, compared to RMB3.3 billion in 2023.</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r>
        <w:rPr>
          <w:rFonts w:ascii="Times New Roman" w:cs="Times New Roman" w:eastAsia="Times New Roman" w:hAnsi="Times New Roman"/>
          <w:sz w:val="18"/>
          <w:szCs w:val="18"/>
          <w:color w:val="auto"/>
        </w:rPr>
        <w:t>. Our income tax expense was RMB4.4 billion in 2024, compared to RMB3.6 billion in 2023.</w:t>
      </w:r>
    </w:p>
    <w:p>
      <w:pPr>
        <w:spacing w:after="0" w:line="225" w:lineRule="exact"/>
        <w:rPr>
          <w:sz w:val="20"/>
          <w:szCs w:val="20"/>
          <w:color w:val="auto"/>
        </w:rPr>
      </w:pPr>
    </w:p>
    <w:p>
      <w:pPr>
        <w:ind w:left="120" w:right="2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Net income attributable to Baidu, Inc</w:t>
      </w:r>
      <w:r>
        <w:rPr>
          <w:rFonts w:ascii="Times New Roman" w:cs="Times New Roman" w:eastAsia="Times New Roman" w:hAnsi="Times New Roman"/>
          <w:sz w:val="18"/>
          <w:szCs w:val="18"/>
          <w:color w:val="auto"/>
        </w:rPr>
        <w:t>. As a result of the foregoing, net income attributable to Baidu, Inc. increased from RMB20.3 billion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2023 to RMB23.8 billion in 2024.</w:t>
      </w:r>
    </w:p>
    <w:p>
      <w:pPr>
        <w:spacing w:after="0" w:line="2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Segment Revenue</w:t>
      </w:r>
    </w:p>
    <w:p>
      <w:pPr>
        <w:spacing w:after="0" w:line="121"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revenues by segment and the year-over-year change rate for the periods indicated, with each segment revenues including inter-segment revenues:</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670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4"/>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6700" w:type="dxa"/>
            <w:vAlign w:val="bottom"/>
          </w:tcPr>
          <w:p>
            <w:pPr>
              <w:spacing w:after="0"/>
              <w:rPr>
                <w:sz w:val="12"/>
                <w:szCs w:val="12"/>
                <w:color w:val="auto"/>
              </w:rPr>
            </w:pPr>
          </w:p>
        </w:tc>
        <w:tc>
          <w:tcPr>
            <w:tcW w:w="660" w:type="dxa"/>
            <w:vAlign w:val="bottom"/>
            <w:tcBorders>
              <w:bottom w:val="single" w:sz="8" w:color="auto"/>
            </w:tcBorders>
          </w:tcPr>
          <w:p>
            <w:pPr>
              <w:jc w:val="right"/>
              <w:ind w:right="9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2"/>
        </w:trPr>
        <w:tc>
          <w:tcPr>
            <w:tcW w:w="6700" w:type="dxa"/>
            <w:vAlign w:val="bottom"/>
          </w:tcPr>
          <w:p>
            <w:pPr>
              <w:spacing w:after="0"/>
              <w:rPr>
                <w:sz w:val="12"/>
                <w:szCs w:val="12"/>
                <w:color w:val="auto"/>
              </w:rPr>
            </w:pPr>
          </w:p>
        </w:tc>
        <w:tc>
          <w:tcPr>
            <w:tcW w:w="660" w:type="dxa"/>
            <w:vAlign w:val="bottom"/>
            <w:tcBorders>
              <w:bottom w:val="single" w:sz="8" w:color="auto"/>
            </w:tcBorders>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22"/>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40" w:type="dxa"/>
            <w:vAlign w:val="bottom"/>
            <w:tcBorders>
              <w:bottom w:val="single" w:sz="8" w:color="auto"/>
            </w:tcBorders>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w w:val="92"/>
              </w:rPr>
              <w:t>YoY%</w:t>
            </w: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56"/>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700" w:type="dxa"/>
            <w:vAlign w:val="bottom"/>
            <w:tcBorders>
              <w:bottom w:val="single" w:sz="8" w:color="auto"/>
            </w:tcBorders>
          </w:tcPr>
          <w:p>
            <w:pPr>
              <w:jc w:val="right"/>
              <w:ind w:right="139"/>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500" w:type="dxa"/>
            <w:vAlign w:val="bottom"/>
            <w:tcBorders>
              <w:bottom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w w:val="92"/>
              </w:rPr>
              <w:t>YoY%</w:t>
            </w:r>
          </w:p>
        </w:tc>
        <w:tc>
          <w:tcPr>
            <w:tcW w:w="120" w:type="dxa"/>
            <w:vAlign w:val="bottom"/>
          </w:tcPr>
          <w:p>
            <w:pPr>
              <w:spacing w:after="0"/>
              <w:rPr>
                <w:sz w:val="12"/>
                <w:szCs w:val="12"/>
                <w:color w:val="auto"/>
              </w:rPr>
            </w:pPr>
          </w:p>
        </w:tc>
      </w:tr>
      <w:tr>
        <w:trPr>
          <w:trHeight w:val="142"/>
        </w:trPr>
        <w:tc>
          <w:tcPr>
            <w:tcW w:w="6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80" w:type="dxa"/>
            <w:vAlign w:val="bottom"/>
            <w:gridSpan w:val="5"/>
          </w:tcPr>
          <w:p>
            <w:pPr>
              <w:jc w:val="right"/>
              <w:ind w:right="519"/>
              <w:spacing w:after="0" w:line="142" w:lineRule="exact"/>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Baidu General Business*</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103,465</w:t>
            </w:r>
          </w:p>
        </w:tc>
        <w:tc>
          <w:tcPr>
            <w:tcW w:w="780" w:type="dxa"/>
            <w:vAlign w:val="bottom"/>
          </w:tcPr>
          <w:p>
            <w:pPr>
              <w:jc w:val="right"/>
              <w:ind w:right="62"/>
              <w:spacing w:after="0"/>
              <w:rPr>
                <w:sz w:val="20"/>
                <w:szCs w:val="20"/>
                <w:color w:val="auto"/>
              </w:rPr>
            </w:pPr>
            <w:r>
              <w:rPr>
                <w:rFonts w:ascii="Times New Roman" w:cs="Times New Roman" w:eastAsia="Times New Roman" w:hAnsi="Times New Roman"/>
                <w:sz w:val="18"/>
                <w:szCs w:val="18"/>
                <w:color w:val="auto"/>
              </w:rPr>
              <w:t>104,712</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7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102,485</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14,655</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iQIYI</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31,873</w:t>
            </w:r>
          </w:p>
        </w:tc>
        <w:tc>
          <w:tcPr>
            <w:tcW w:w="78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8"/>
                <w:szCs w:val="18"/>
                <w:color w:val="auto"/>
              </w:rPr>
              <w:t>29,225</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w:t>
            </w:r>
          </w:p>
        </w:tc>
        <w:tc>
          <w:tcPr>
            <w:tcW w:w="7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27,290</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3,902</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r>
    </w:tbl>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Starting from the fourth quarter of 2025, we redefined Baidu Core as Baidu General Business.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Baidu General Businesses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2025 compared to 2024</w:t>
      </w:r>
    </w:p>
    <w:p>
      <w:pPr>
        <w:spacing w:after="0" w:line="121"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Baidu General Business revenue was RMB102.5 billion (US$14.7 billion) in 2025, decreasing by 2% compared to RMB104.7 billion in 2024. The decrease was primarily due to a decline in online marketing revenue, partially offset by growth in cloud services. The decline in online marketing revenue reflected the impact of our ongoing AI transformation on monetization, as well as unfavorable macroeconomic conditions that adversely affected customers’ advertising budgets and spending. The decline was partially offset by growth in cloud services, which was mainly driven by accelerating enterprise AI adoption and our full-stack end-to-end AI capabilities.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2024 compared to 2023</w:t>
      </w:r>
    </w:p>
    <w:p>
      <w:pPr>
        <w:spacing w:after="0" w:line="121"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Baidu General Business revenue was RMB104.7 billion in 2024, increasing by 1% compared to RMB103.5 billion in 2023. The increase was primarily driven by growth in cloud services, partially offset by a decline in online marketing revenue. Growth in cloud services revenue was mainly attributable to an increase in scale of cloud solution projects and standardizing cloud solutions and applications for scale, and an increase in subscription for personal cloud service, partially offset by a decrease in cloud solution revenue generated from the smart transportation industry. The decline in online marketing revenues was mainly attributable to weakness in certain offline sectors, such as healthcare, real estate and home furnishing, which were particularly impacted by persistent macroeconomic challenges. During 2024, we continued our AI-driven search renovation to improve monetization capabilities.</w:t>
      </w:r>
    </w:p>
    <w:p>
      <w:pPr>
        <w:spacing w:after="0" w:line="1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11140"/>
          </w:cols>
          <w:pgMar w:left="320" w:top="482" w:right="43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iQIYI</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2025 compared to 2024</w:t>
      </w:r>
    </w:p>
    <w:p>
      <w:pPr>
        <w:spacing w:after="0" w:line="121"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iQIYI revenue was RMB27.3 billion (US$3.9 billion) in 2025, decreasing by 7%, from RMB29.2 billion in 2024. The decrease was primarily due to declines in membership services revenue and online advertising revenue. The decline in membership services revenue was attributable to a lighter content slate and the competition among online entertainment video service providers. The decline in online advertising revenue was mainly due to some advertisers adjusting their advertising and promotion strategies in response to macro pressure.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2024 compared to 2023</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iQIYI revenue was RMB29.2 billion in 2024, decreasing by 8%, from RMB31.9 billion in 2023. The decrease was primarily due to declines in membership services revenue and online advertising revenue. The decline in membership services revenue was attributable to a lighter content slate. The decline in online advertising revenue mainly reflected a decrease in brand advertising, partially offset by growth in performance-based advertising.</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Segment Costs and Expenses</w:t>
      </w:r>
    </w:p>
    <w:p>
      <w:pPr>
        <w:spacing w:after="0" w:line="121"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costs and expenses by segment and the year-over-year change rate for the periods indicated, with each segment costs and expenses including inter-segment costs and expenses:</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690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6900" w:type="dxa"/>
            <w:vAlign w:val="bottom"/>
          </w:tcPr>
          <w:p>
            <w:pPr>
              <w:spacing w:after="0"/>
              <w:rPr>
                <w:sz w:val="12"/>
                <w:szCs w:val="12"/>
                <w:color w:val="auto"/>
              </w:rPr>
            </w:pPr>
          </w:p>
        </w:tc>
        <w:tc>
          <w:tcPr>
            <w:tcW w:w="540" w:type="dxa"/>
            <w:vAlign w:val="bottom"/>
            <w:tcBorders>
              <w:bottom w:val="single" w:sz="8" w:color="auto"/>
            </w:tcBorders>
          </w:tcPr>
          <w:p>
            <w:pPr>
              <w:jc w:val="right"/>
              <w:ind w:right="3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2"/>
        </w:trPr>
        <w:tc>
          <w:tcPr>
            <w:tcW w:w="6900" w:type="dxa"/>
            <w:vAlign w:val="bottom"/>
          </w:tcPr>
          <w:p>
            <w:pPr>
              <w:spacing w:after="0"/>
              <w:rPr>
                <w:sz w:val="12"/>
                <w:szCs w:val="12"/>
                <w:color w:val="auto"/>
              </w:rPr>
            </w:pPr>
          </w:p>
        </w:tc>
        <w:tc>
          <w:tcPr>
            <w:tcW w:w="54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82"/>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20" w:type="dxa"/>
            <w:vAlign w:val="bottom"/>
            <w:tcBorders>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2"/>
              </w:rPr>
              <w:t>YoY%</w:t>
            </w: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96"/>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660" w:type="dxa"/>
            <w:vAlign w:val="bottom"/>
            <w:tcBorders>
              <w:bottom w:val="single" w:sz="8" w:color="auto"/>
            </w:tcBorders>
          </w:tcPr>
          <w:p>
            <w:pPr>
              <w:jc w:val="right"/>
              <w:ind w:right="139"/>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500" w:type="dxa"/>
            <w:vAlign w:val="bottom"/>
            <w:tcBorders>
              <w:bottom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w w:val="92"/>
              </w:rPr>
              <w:t>YoY%</w:t>
            </w:r>
          </w:p>
        </w:tc>
        <w:tc>
          <w:tcPr>
            <w:tcW w:w="120" w:type="dxa"/>
            <w:vAlign w:val="bottom"/>
          </w:tcPr>
          <w:p>
            <w:pPr>
              <w:spacing w:after="0"/>
              <w:rPr>
                <w:sz w:val="12"/>
                <w:szCs w:val="12"/>
                <w:color w:val="auto"/>
              </w:rPr>
            </w:pPr>
          </w:p>
        </w:tc>
      </w:tr>
      <w:tr>
        <w:trPr>
          <w:trHeight w:val="142"/>
        </w:trPr>
        <w:tc>
          <w:tcPr>
            <w:tcW w:w="69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0" w:type="dxa"/>
            <w:vAlign w:val="bottom"/>
            <w:gridSpan w:val="5"/>
          </w:tcPr>
          <w:p>
            <w:pPr>
              <w:jc w:val="right"/>
              <w:ind w:right="439"/>
              <w:spacing w:after="0" w:line="142" w:lineRule="exact"/>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Baidu General Business</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84,640</w:t>
            </w:r>
          </w:p>
        </w:tc>
        <w:tc>
          <w:tcPr>
            <w:tcW w:w="720" w:type="dxa"/>
            <w:vAlign w:val="bottom"/>
          </w:tcPr>
          <w:p>
            <w:pPr>
              <w:jc w:val="right"/>
              <w:ind w:right="82"/>
              <w:spacing w:after="0"/>
              <w:rPr>
                <w:sz w:val="20"/>
                <w:szCs w:val="20"/>
                <w:color w:val="auto"/>
              </w:rPr>
            </w:pPr>
            <w:r>
              <w:rPr>
                <w:rFonts w:ascii="Times New Roman" w:cs="Times New Roman" w:eastAsia="Times New Roman" w:hAnsi="Times New Roman"/>
                <w:sz w:val="18"/>
                <w:szCs w:val="18"/>
                <w:color w:val="auto"/>
              </w:rPr>
              <w:t>85,234</w:t>
            </w: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78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108,529</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15,519</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6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iQIYI</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28,884</w:t>
            </w:r>
          </w:p>
        </w:tc>
        <w:tc>
          <w:tcPr>
            <w:tcW w:w="72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27,414</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c>
          <w:tcPr>
            <w:tcW w:w="78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27,061</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3,870</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r>
    </w:tbl>
    <w:p>
      <w:pPr>
        <w:spacing w:after="0" w:line="194" w:lineRule="exact"/>
        <w:rPr>
          <w:sz w:val="20"/>
          <w:szCs w:val="20"/>
          <w:color w:val="auto"/>
        </w:rPr>
      </w:pPr>
    </w:p>
    <w:p>
      <w:pPr>
        <w:jc w:val="both"/>
        <w:ind w:left="120" w:right="2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Baidu General Business</w:t>
      </w:r>
      <w:r>
        <w:rPr>
          <w:rFonts w:ascii="Times New Roman" w:cs="Times New Roman" w:eastAsia="Times New Roman" w:hAnsi="Times New Roman"/>
          <w:sz w:val="18"/>
          <w:szCs w:val="18"/>
          <w:color w:val="auto"/>
        </w:rPr>
        <w:t>. Costs and expenses of Baidu General Business mainly consist of personnel-related costs and expenses, traffic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acquisition costs, marketing and promotion spending, depreciation costs and expenses, server custody fees, bandwidth costs, costs of goods sold, content costs, and impairment of long-lived assets.</w:t>
      </w:r>
    </w:p>
    <w:p>
      <w:pPr>
        <w:spacing w:after="0" w:line="175"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Cost of revenues. The cost of revenues of Baidu General Business increased by 15% from RMB44.8 billion in 2024 to RMB51.5 billion (US$7.4 billion) in 2025, primarily due to an increase in bandwidth costs, depreciation costs and server custody fees, mainly related to development of cloud services.</w:t>
      </w:r>
    </w:p>
    <w:p>
      <w:pPr>
        <w:spacing w:after="0" w:line="176"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The cost of revenue of Baidu General Business increased by 5% from RMB42.6 billion in 2023 to RMB44.8 billion in 2024, primarily due to an increase in traffic acquisition costs arose from increasing union revenues and an increase in bandwidth costs and server custody fees mainly related to development of cloud services.</w:t>
      </w:r>
    </w:p>
    <w:p>
      <w:pPr>
        <w:spacing w:after="0" w:line="174" w:lineRule="exact"/>
        <w:rPr>
          <w:sz w:val="20"/>
          <w:szCs w:val="20"/>
          <w:color w:val="auto"/>
        </w:rPr>
      </w:pPr>
    </w:p>
    <w:p>
      <w:pPr>
        <w:jc w:val="both"/>
        <w:ind w:left="120" w:right="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Selling, general and administrative expenses</w:t>
      </w:r>
      <w:r>
        <w:rPr>
          <w:rFonts w:ascii="Times New Roman" w:cs="Times New Roman" w:eastAsia="Times New Roman" w:hAnsi="Times New Roman"/>
          <w:sz w:val="18"/>
          <w:szCs w:val="18"/>
          <w:color w:val="auto"/>
        </w:rPr>
        <w:t>. The selling, general and administrative expenses of Baidu General Business increased by 10%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RMB20.0 billion in 2024 to RMB22.1 billion (US$3.2 billion) in 2025, primarily due to an increase in channel spending expenses and expected credit losses.</w:t>
      </w:r>
    </w:p>
    <w:p>
      <w:pPr>
        <w:spacing w:after="0" w:line="175"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selling, general and administrative expenses of Baidu General Business increased by 2% from RMB19.6 billion in 2023 to RMB20.0 billion in 2024, primarily due to an increase in channel spending and promotional marketing expenses.</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1140"/>
          </w:cols>
          <w:pgMar w:left="320" w:top="482" w:right="43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2" w:lineRule="exact"/>
        <w:rPr>
          <w:sz w:val="20"/>
          <w:szCs w:val="20"/>
          <w:color w:val="auto"/>
        </w:rPr>
      </w:pPr>
    </w:p>
    <w:p>
      <w:pPr>
        <w:jc w:val="both"/>
        <w:ind w:left="1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Research and development expenses</w:t>
      </w:r>
      <w:r>
        <w:rPr>
          <w:rFonts w:ascii="Times New Roman" w:cs="Times New Roman" w:eastAsia="Times New Roman" w:hAnsi="Times New Roman"/>
          <w:sz w:val="18"/>
          <w:szCs w:val="18"/>
          <w:color w:val="auto"/>
        </w:rPr>
        <w:t>. The research and development expenses of Baidu General Business decreased by 8% from RMB20.4 billion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2024 to RMB18.8 billion (US$2.7 billion) in 2025, primarily due to a decrease in personnel-related expenses.</w:t>
      </w:r>
    </w:p>
    <w:p>
      <w:pPr>
        <w:spacing w:after="0" w:line="160"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research and development expenses of Baidu General Business decreased by 9% from RMB22.4 billion in 2023 to RMB20.4 billion in 2024, primarily due to a decrease in personnel-related expenses.</w:t>
      </w:r>
    </w:p>
    <w:p>
      <w:pPr>
        <w:spacing w:after="0" w:line="160" w:lineRule="exact"/>
        <w:rPr>
          <w:sz w:val="20"/>
          <w:szCs w:val="20"/>
          <w:color w:val="auto"/>
        </w:rPr>
      </w:pPr>
    </w:p>
    <w:p>
      <w:pPr>
        <w:jc w:val="both"/>
        <w:ind w:left="1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Impairment of long-lived assets. </w:t>
      </w:r>
      <w:r>
        <w:rPr>
          <w:rFonts w:ascii="Times New Roman" w:cs="Times New Roman" w:eastAsia="Times New Roman" w:hAnsi="Times New Roman"/>
          <w:sz w:val="18"/>
          <w:szCs w:val="18"/>
          <w:color w:val="auto"/>
        </w:rPr>
        <w:t>Impairment of long-lived assets of Baidu General Business was RMB16.2 billion (US$2.3 billion) in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attributable to an impairment loss of Core asset group.</w:t>
      </w:r>
    </w:p>
    <w:p>
      <w:pPr>
        <w:spacing w:after="0" w:line="156" w:lineRule="exact"/>
        <w:rPr>
          <w:sz w:val="20"/>
          <w:szCs w:val="20"/>
          <w:color w:val="auto"/>
        </w:rPr>
      </w:pPr>
    </w:p>
    <w:p>
      <w:pPr>
        <w:jc w:val="both"/>
        <w:ind w:left="120" w:right="2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iQIYI</w:t>
      </w:r>
      <w:r>
        <w:rPr>
          <w:rFonts w:ascii="Times New Roman" w:cs="Times New Roman" w:eastAsia="Times New Roman" w:hAnsi="Times New Roman"/>
          <w:sz w:val="18"/>
          <w:szCs w:val="18"/>
          <w:color w:val="auto"/>
        </w:rPr>
        <w:t>. Costs and expenses of iQIYI mainly consist of content costs, personnel-related costs and expenses, traffic acquisition costs, marketing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promotion spending, payment platform charges, server custody fees and bandwidth costs.</w:t>
      </w:r>
    </w:p>
    <w:p>
      <w:pPr>
        <w:spacing w:after="0" w:line="157" w:lineRule="exact"/>
        <w:rPr>
          <w:sz w:val="20"/>
          <w:szCs w:val="20"/>
          <w:color w:val="auto"/>
        </w:rPr>
      </w:pPr>
    </w:p>
    <w:p>
      <w:pPr>
        <w:jc w:val="both"/>
        <w:ind w:left="120" w:right="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Cost of revenue</w:t>
      </w:r>
      <w:r>
        <w:rPr>
          <w:rFonts w:ascii="Times New Roman" w:cs="Times New Roman" w:eastAsia="Times New Roman" w:hAnsi="Times New Roman"/>
          <w:sz w:val="18"/>
          <w:szCs w:val="18"/>
          <w:color w:val="auto"/>
        </w:rPr>
        <w:t>. The cost of revenue of iQIYI decreased by 2% from RMB22.0 billion in 2024 to RMB21.5 billion (US$3.1 billion) in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due to a decrease in content cost, which was mainly due to iQIYI adopting a more curated content acquisition strategy centered on quality.</w:t>
      </w:r>
    </w:p>
    <w:p>
      <w:pPr>
        <w:spacing w:after="0" w:line="160"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cost of revenue of iQIYI decreased by 5% from RMB23.1 billion in 2023 to RMB22.0 billion in 2024, primarily due to a decrease in the content cost, which was mainly due to a lighter content slate.</w:t>
      </w:r>
    </w:p>
    <w:p>
      <w:pPr>
        <w:spacing w:after="0" w:line="160" w:lineRule="exact"/>
        <w:rPr>
          <w:sz w:val="20"/>
          <w:szCs w:val="20"/>
          <w:color w:val="auto"/>
        </w:rPr>
      </w:pPr>
    </w:p>
    <w:p>
      <w:pPr>
        <w:jc w:val="both"/>
        <w:ind w:left="1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Selling, general and administrative expenses</w:t>
      </w:r>
      <w:r>
        <w:rPr>
          <w:rFonts w:ascii="Times New Roman" w:cs="Times New Roman" w:eastAsia="Times New Roman" w:hAnsi="Times New Roman"/>
          <w:sz w:val="18"/>
          <w:szCs w:val="18"/>
          <w:color w:val="auto"/>
        </w:rPr>
        <w:t>. The selling, general and administrative expenses of iQIYI increased by 5% from RMB3.7 billion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to RMB3.9 billion (US$552 million) in 2025, primarily due to increased marketing and promotional expenses, which was primarily driven by higher marketing spending.</w:t>
      </w:r>
    </w:p>
    <w:p>
      <w:pPr>
        <w:spacing w:after="0" w:line="175" w:lineRule="exact"/>
        <w:rPr>
          <w:sz w:val="20"/>
          <w:szCs w:val="20"/>
          <w:color w:val="auto"/>
        </w:rPr>
      </w:pPr>
    </w:p>
    <w:p>
      <w:pPr>
        <w:jc w:val="both"/>
        <w:ind w:left="120" w:firstLine="440"/>
        <w:spacing w:after="0" w:line="282" w:lineRule="auto"/>
        <w:rPr>
          <w:sz w:val="20"/>
          <w:szCs w:val="20"/>
          <w:color w:val="auto"/>
        </w:rPr>
      </w:pPr>
      <w:r>
        <w:rPr>
          <w:rFonts w:ascii="Times New Roman" w:cs="Times New Roman" w:eastAsia="Times New Roman" w:hAnsi="Times New Roman"/>
          <w:sz w:val="18"/>
          <w:szCs w:val="18"/>
          <w:color w:val="auto"/>
        </w:rPr>
        <w:t>The selling, general and administrative expenses of iQIYI decreased by 8% from RMB4.0 billion in 2023 to RMB3.7 billion in 2024, primarily due to decreased marketing and promotional expenses, which was due to the less spending on user acquisition channels and content promotions.</w:t>
      </w:r>
    </w:p>
    <w:p>
      <w:pPr>
        <w:spacing w:after="0" w:line="160" w:lineRule="exact"/>
        <w:rPr>
          <w:sz w:val="20"/>
          <w:szCs w:val="20"/>
          <w:color w:val="auto"/>
        </w:rPr>
      </w:pPr>
    </w:p>
    <w:p>
      <w:pPr>
        <w:jc w:val="both"/>
        <w:ind w:left="120" w:right="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Research and development expenses</w:t>
      </w:r>
      <w:r>
        <w:rPr>
          <w:rFonts w:ascii="Times New Roman" w:cs="Times New Roman" w:eastAsia="Times New Roman" w:hAnsi="Times New Roman"/>
          <w:sz w:val="18"/>
          <w:szCs w:val="18"/>
          <w:color w:val="auto"/>
        </w:rPr>
        <w:t>. The research and development expenses of iQIYI decreased by 6% from RMB1.8 billion in 2024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RMB1.7 billion (US$238 million) in 2025, primarily attributable to the decrease in personnel-related expenses.</w:t>
      </w:r>
    </w:p>
    <w:p>
      <w:pPr>
        <w:spacing w:after="0" w:line="16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research and development expenses of iQIYI was RMB1.8 billion in 2024, which remained generally flat from RMB1.8 billion in 2023.</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We prepare financial statements in accordance with U.S. GAAP, which requires us to make judgments, estimates and assumptions that affect the reported amounts of our assets and liabilities, and the disclosure of our contingent assets and liabilities at the end of each fiscal period and the reported amounts of revenue and expenses during each fiscal period. We continually evaluate these judgments and estimates based on our own historical experience, knowledge and assessment of current business and other conditions, our expectations regarding the future based on available information and assumptions that we believe to be reasonable, which together form our basis for making judgments about matters that are not readily apparent from other sources. Since the use of estimates is an integral component of the financial reporting process, our actual results could differ from those estimates. Some of our accounting policies require a higher degree of judgment than others in their application.</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1140"/>
          </w:cols>
          <w:pgMar w:left="320" w:top="482" w:right="43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selection of critical accounting policies, the judgments and other uncertainties affecting application of those policies and the sensitivity of reported results to changes in conditions and assumptions are factors that should be considered when reviewing our financial statements. For further information on our critical accounting policies, see Note 2 to our consolidated financial statements. We believe the following accounting policies involve the most significant judgments and estimates used in the preparation of our financial statements.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 of Non-Marketable Equity Investments</w:t>
      </w:r>
    </w:p>
    <w:p>
      <w:pPr>
        <w:spacing w:after="0" w:line="121"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We measure certain financial instruments at fair value on a nonrecurring basis, consisting primarily of our non-marketable equity investments. These investments are accounted for under the measurement alternative and are measured at cost, less impairment, subject to upward and downward adjustments resulting from observable price changes in orderly transactions for identical or similar investments of the same issuer. These adjustments require quantitative assessments of the fair value of equity investments, primarily using a market approach, which requires the use of unobservable inputs, such as selection of comparable companies and multiples, expected volatility, discount for lack of marketability and probability of exit events as it relates to liquidation and redemption preferences when applicable. Non-marketable equity investments are also evaluated for impairment, based on qualitative factors including the companies’ financial and liquidity position and access to capital resources, among others. When indicators of impairment exist, we also prepare quantitative measurements of the fair value of our equity investments using market approach with unobservable inputs. Our estimates of these inputs require subjective management judgment and are inherently uncertain. The fair value information is sensitive to changes in the unobservable inputs used to determine fair value and such changes could result in the fair value at the reporting date to be different from the fair value presented. When our assessment indicates that an impairment exists, we write down the investment to its fair value.</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Amortization of Content Assets</w:t>
      </w:r>
    </w:p>
    <w:p>
      <w:pPr>
        <w:spacing w:after="0" w:line="121"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Based on factors including historical and estimated future viewership consumption patterns, our content assets (licensed copyrights and produced content) are amortized using an accelerated method over the shorter of each content’s contractual period or estimated useful lives, generally within ten years. We review the estimates of future viewership consumption patterns and estimated useful lives on a regular basis. Our estimates require complex and subjective management judgment and any changes in our estimates of future viewership consumption patterns and estimated useful lives may cause us to realize different amounts of amortization in future periods.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Consolidation of Variable Interest Entities</w:t>
      </w:r>
    </w:p>
    <w:p>
      <w:pPr>
        <w:spacing w:after="0" w:line="121"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In order to comply with the laws and regulations of Chinese mainland limiting foreign ownership of or imposing conditions on internet content services, value-added telecommunication-based services, internet map services, online audio and video services, and mobile application distribution businesses, we operate our websites and primarily provide the aforementioned services subject to such restriction through the variable interest entities in Chinese mainland by means of contractual arrangements. We have entered into certain exclusive agreements with the variable interest entities directly or through our subsidiaries, which obligate us to absorb losses of the variable interest entities’ that could potentially be significant to the variable interest entities or entitle us to receive economic benefits from the variable interest entities that could potentially be significant to the variable interest entities. In addition, we have entered into certain agreements with the variable interest entities and the nominee shareholders of variable interest entities directly or through our subsidiaries, which enable us to direct the activities that most significantly affect the economic performance of the variable interest entities. Based on these contractual arrangements, we consolidate the variable interest entities as required by ASC Topic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because we hold the variable interests of the variable interest entities directly or through the subsidiaries, which are the primary beneficiaries of the variable interest entities. We will reconsider the initial determination of whether a legal entity is a variable interest entity upon certain events listed in ASC 810-10-35-4 occurring. We will also continuously reconsider whether we are the primary beneficiaries of the variable interest entities as facts and circumstances change. See “Item 3.D. Key Information—Risk Factors—Risks Related to Our Corporate Structure.”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152</w:t>
      </w:r>
    </w:p>
    <w:p>
      <w:pPr>
        <w:sectPr>
          <w:pgSz w:w="11900" w:h="16838" w:orient="portrait"/>
          <w:cols w:equalWidth="0" w:num="1">
            <w:col w:w="11140"/>
          </w:cols>
          <w:pgMar w:left="320" w:top="482" w:right="43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As of December 31, 2023, 2024 and 2025, we had two reportable segments, Baidu General Business and iQIYI. Baidu General Business mainly provides online marketing services and others including cloud services. iQIYI produces, aggregates and distributes a wide variety of professionally produced content, as well as a broad spectrum of other video content, in a variety of formats.</w:t>
      </w:r>
    </w:p>
    <w:p>
      <w:pPr>
        <w:spacing w:after="0" w:line="176"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Our chief executive officer, who has been identified as the chief operating decision maker, reviews the operating results of Baidu General Business and iQIYI, to allocate resources and assess our performance. Accordingly, the financial statements include segment information which reflects the current composition of the reportable segments in accordance with ASC Topic 280,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Our revenue is derived principally from online marketing services and others. Revenue is recognized when control of promised goods or services is transferred to our customers in an amount of consideration to which an entity expects to be entitled to in exchange for those goods or services. Revenue is recorded net of value-added tax.</w:t>
      </w:r>
    </w:p>
    <w:p>
      <w:pPr>
        <w:spacing w:after="0" w:line="176"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For arrangements that include multiple promised goods or services, we would evaluate all of the performance obligations in the arrangement to determine whether each performance obligation is distinct. For arrangements with multiple distinct performance obligations, each distinct performance obligation is separately accounted for and the total consideration is allocated to each performance obligation based on their relative standalone selling price at contract inception. We generally determine standalone selling prices based on the prices charged to customers on a standalone basis or estimates it using an expected cost plus margin approach. For arrangement with multiple components that are not distinct within the context of the contract because they have significant integration and the customer can only benefit from these promised goods or services in conjunction with one another, we account for them as one performance obligation.</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revenue recognition policies by types are as follows:</w:t>
      </w:r>
    </w:p>
    <w:p>
      <w:pPr>
        <w:spacing w:after="0" w:line="370" w:lineRule="exact"/>
        <w:rPr>
          <w:sz w:val="20"/>
          <w:szCs w:val="20"/>
          <w:color w:val="auto"/>
        </w:rPr>
      </w:pPr>
    </w:p>
    <w:p>
      <w:pPr>
        <w:ind w:left="540" w:hanging="424"/>
        <w:spacing w:after="0"/>
        <w:tabs>
          <w:tab w:leader="none" w:pos="540" w:val="left"/>
        </w:tabs>
        <w:numPr>
          <w:ilvl w:val="0"/>
          <w:numId w:val="6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Online marketing services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Performance-based online marketing services</w:t>
      </w:r>
    </w:p>
    <w:p>
      <w:pPr>
        <w:spacing w:after="0" w:line="119"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Our P4P platform enables customers to bid for priority placement of paid sponsored links and reach users who search for information related to their products or services. P4P online marketing customers can choose from search-based and feed-based online marketing services, and select criteria for their purchase, such as daily spending limit and user profile targeted. Revenue is recognized when all of the revenue recognition criteria are met, which is generally when a user clicks on one of the customer-sponsored links or feed-based marketing.</w:t>
      </w:r>
    </w:p>
    <w:p>
      <w:pPr>
        <w:spacing w:after="0" w:line="180" w:lineRule="exact"/>
        <w:rPr>
          <w:sz w:val="20"/>
          <w:szCs w:val="20"/>
          <w:color w:val="auto"/>
        </w:rPr>
      </w:pPr>
    </w:p>
    <w:p>
      <w:pPr>
        <w:jc w:val="both"/>
        <w:ind w:left="120" w:firstLine="440"/>
        <w:spacing w:after="0" w:line="282" w:lineRule="auto"/>
        <w:rPr>
          <w:sz w:val="20"/>
          <w:szCs w:val="20"/>
          <w:color w:val="auto"/>
        </w:rPr>
      </w:pPr>
      <w:r>
        <w:rPr>
          <w:rFonts w:ascii="Times New Roman" w:cs="Times New Roman" w:eastAsia="Times New Roman" w:hAnsi="Times New Roman"/>
          <w:sz w:val="18"/>
          <w:szCs w:val="18"/>
          <w:color w:val="auto"/>
        </w:rPr>
        <w:t>To the extent we provide online marketing services based on performance criteria other than CPC, revenue is recognized when the specified performance criteria are met along with the satisfaction of other applicable revenue recognition criteria.</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Baidu Union online marketing services</w:t>
      </w:r>
    </w:p>
    <w:p>
      <w:pPr>
        <w:spacing w:after="0" w:line="119"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Baidu Union is a program through which we expand distribution of its customers’ sponsored links or advertisements by leveraging the traffic of Baidu Union partners’ online properties. We acquire traffic from Baidu Union partners and are responsible for service fulfillment and pricing. The services which we provided to customers through Baidu Union partners’ online properties include CPC, other performance-based online marketing services and online display advertising services. These services are provided in the same way to customers as those through Baidu’s own platforms or properties. As the principal, we recognize revenue from Baidu Union on a gross basis. Payments made to Baidu Union partners are recorded as traffic acquisition costs, which are included in “Cost of revenue” in the consolidated statements of comprehensive income.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153</w:t>
      </w:r>
    </w:p>
    <w:p>
      <w:pPr>
        <w:sectPr>
          <w:pgSz w:w="11900" w:h="16838" w:orient="portrait"/>
          <w:cols w:equalWidth="0" w:num="1">
            <w:col w:w="11140"/>
          </w:cols>
          <w:pgMar w:left="320" w:top="482" w:right="4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Sales incentives</w:t>
      </w:r>
    </w:p>
    <w:p>
      <w:pPr>
        <w:spacing w:after="0" w:line="119"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We provide major sales incentives to third-party agents, which are identified as customers, that entitle them to receive price reduction on the online marketing services by meeting certain cumulative consumption requirements. We account for these incentives granted to customers as variable consideration and net them against revenue. The amount of variable consideration is measured based on the expected value of incentives to be provided to customers.</w:t>
      </w:r>
    </w:p>
    <w:p>
      <w:pPr>
        <w:spacing w:after="0" w:line="324" w:lineRule="exact"/>
        <w:rPr>
          <w:sz w:val="20"/>
          <w:szCs w:val="20"/>
          <w:color w:val="auto"/>
        </w:rPr>
      </w:pPr>
    </w:p>
    <w:p>
      <w:pPr>
        <w:ind w:left="540" w:hanging="424"/>
        <w:spacing w:after="0"/>
        <w:tabs>
          <w:tab w:leader="none" w:pos="540" w:val="left"/>
        </w:tabs>
        <w:numPr>
          <w:ilvl w:val="0"/>
          <w:numId w:val="6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Others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Cloud services</w:t>
      </w:r>
    </w:p>
    <w:p>
      <w:pPr>
        <w:spacing w:after="0" w:line="119"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provide a wide range of cloud services, generally on either a subscription or consumption basis. Revenue related to cloud services provided on a subscription basis is recognized ratably over the contract period. Revenue related to cloud services provided on a consumption basis, such as the amount of storage used in a period, is recognized based on the customer’s utilization of such resources.</w:t>
      </w:r>
    </w:p>
    <w:p>
      <w:pPr>
        <w:spacing w:after="0" w:line="176"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We provide cloud solutions for our customers in various industries. Revenue related to cloud solutions, which mainly include significant integrated products and services, is recognized over time if one of the following criteria is met: (i) the customer simultaneously receives and consumes the benefits as we perform; (ii) our performance creates or enhances an asset that the customer controls as the asset is created or enhanced; or (iii) the asset delivered has no alternative use and we have an enforceable right to payment for performance completed to date. For performance obligations satisfied over time, we recognize revenue over time by measuring the progress toward complete satisfaction of a performance obligation. Otherwise, revenue is recognized at a point in time when a customer obtains control of a promised asset or service and we satisfy our performance obligation.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Video membership services</w:t>
      </w:r>
    </w:p>
    <w:p>
      <w:pPr>
        <w:spacing w:after="0" w:line="119"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We offer membership services through iQIYI to subscribing members with various privileges. When the receipt of membership fees is for services to be delivered over a period of time, the receipt is initially recorded as “Customer deposits and deferred revenue” and revenue is recognized ratably over the membership period as services are rendered. Membership services revenue also includes fees earned from subscribing members for on-demand content purchases and early access to premium content. We are the principal as we retain control over the service delivery to the subscribing members. For the sale of the right to other membership services through strategic cooperation with other parties, we recognize revenue on a net basis when we do not control the specified services before they are transferred to the customer.</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Contract assets and contract liabilities</w:t>
      </w:r>
    </w:p>
    <w:p>
      <w:pPr>
        <w:spacing w:after="0" w:line="119"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Payment terms and conditions vary by customer and are based on the billing schedule established in our contracts or purchase orders with customers, although terms generally include a requirement of payment within one year.</w:t>
      </w:r>
    </w:p>
    <w:p>
      <w:pPr>
        <w:spacing w:after="0" w:line="162"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Timing of revenue recognition may differ from the timing of invoicing to customers. For certain services, customers are required to pay before the services are delivered to the customer. When either party to a revenue contract has performed, we recognize a contract asset or a contract liability on the consolidated balance sheets, depending on the relationship between the entity’s performance and the customer’s payment.</w:t>
      </w:r>
    </w:p>
    <w:p>
      <w:pPr>
        <w:spacing w:after="0" w:line="176"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Contract liabilities are mainly related to fees for membership services to be provided over the membership period, which are included in “Customer deposits and deferred revenue” and “Deferred revenue” on the consolidated balance sheets.</w:t>
      </w:r>
    </w:p>
    <w:p>
      <w:pPr>
        <w:spacing w:after="0" w:line="162" w:lineRule="exact"/>
        <w:rPr>
          <w:sz w:val="20"/>
          <w:szCs w:val="20"/>
          <w:color w:val="auto"/>
        </w:rPr>
      </w:pPr>
    </w:p>
    <w:p>
      <w:pPr>
        <w:jc w:val="both"/>
        <w:ind w:left="120" w:firstLine="440"/>
        <w:spacing w:after="0" w:line="282" w:lineRule="auto"/>
        <w:rPr>
          <w:sz w:val="20"/>
          <w:szCs w:val="20"/>
          <w:color w:val="auto"/>
        </w:rPr>
      </w:pPr>
      <w:r>
        <w:rPr>
          <w:rFonts w:ascii="Times New Roman" w:cs="Times New Roman" w:eastAsia="Times New Roman" w:hAnsi="Times New Roman"/>
          <w:sz w:val="18"/>
          <w:szCs w:val="18"/>
          <w:color w:val="auto"/>
        </w:rPr>
        <w:t>Contract assets mainly represent unbilled amounts related to our rights to consideration from the customers and are included in “Other current assets, net” on the consolidated balance sheets.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119" w:lineRule="exact"/>
        <w:rPr>
          <w:sz w:val="20"/>
          <w:szCs w:val="20"/>
          <w:color w:val="auto"/>
        </w:rPr>
      </w:pPr>
    </w:p>
    <w:p>
      <w:pPr>
        <w:jc w:val="both"/>
        <w:ind w:left="120" w:right="20" w:firstLine="440"/>
        <w:spacing w:after="0" w:line="267" w:lineRule="auto"/>
        <w:rPr>
          <w:sz w:val="20"/>
          <w:szCs w:val="20"/>
          <w:color w:val="auto"/>
        </w:rPr>
      </w:pPr>
      <w:r>
        <w:rPr>
          <w:rFonts w:ascii="Times New Roman" w:cs="Times New Roman" w:eastAsia="Times New Roman" w:hAnsi="Times New Roman"/>
          <w:sz w:val="18"/>
          <w:szCs w:val="18"/>
          <w:color w:val="auto"/>
        </w:rPr>
        <w:t xml:space="preserve">We account for share-based compensation in accordance with ASC Topic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We have elected to recognize share-based compensation using the straight-line method for all share-based awards issued with no performance conditions. For awards with performance conditions, compensation cost is recognized on an accelerated basis if it is probable that the performance condition will be achieved.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154</w:t>
      </w:r>
    </w:p>
    <w:p>
      <w:pPr>
        <w:sectPr>
          <w:pgSz w:w="11900" w:h="16838" w:orient="portrait"/>
          <w:cols w:equalWidth="0" w:num="1">
            <w:col w:w="11140"/>
          </w:cols>
          <w:pgMar w:left="320" w:top="482" w:right="43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Forfeitures are estimated based on historical experience and are periodically reviewed. Cancellation of an award accompanied by the concurrent grant of a replacement award is accounted for as a modification of the terms of the cancelled award, or modified awards. The compensation costs associated with the modified awards are recognized if either the original vesting condition or the new vesting condition is achieved. Total recognized compensation cost for the awards is at least equal to the fair value of the awards at the grant date unless at the date of the modification the performance or service conditions of the original awards are not expected to be satisfied. The incremental compensation cost is measured as the excess of the fair value of the replacement award over the fair value of the cancelled award at the cancellation date. Therefore, in relation to the modified awards, we recognize share-based compensation over the vesting periods of the replacement award, which comprises (i) the amortization of the incremental portion of share-based compensation over the remaining vesting term, and (ii) any unrecognized compensation cost of the original award, using either the original term or the new term, whichever results in higher expenses for each reporting period.</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We recognize income taxes under the liability method. Deferred income taxes are recognized for differences between the financial reporting and tax bases of assets and liabilities at enacted tax rates in effect for the years in which the differences are expected to reverse. We record a valuation allowance against the amount of deferred tax assets that we determine is not more-likely-than-not to be realized. The effect on deferred taxes of a change in tax rates is recognized in earnings in the period that includes the enactment date.</w:t>
      </w:r>
    </w:p>
    <w:p>
      <w:pPr>
        <w:spacing w:after="0" w:line="180"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Deferred income taxes are recognized on the undistributed earnings of subsidiaries, which are presumed to be transferred to the parent company and are subject to withholding taxes, unless there is sufficient evidence to show that the subsidiary has invested or will invest the undistributed earnings indefinitely or that the earnings will be remitted in a tax-free liquidation.</w:t>
      </w:r>
    </w:p>
    <w:p>
      <w:pPr>
        <w:spacing w:after="0" w:line="174"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We apply the provisions of ASC Topic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740”) in accounting for uncertainty in income taxes. ASC 740 clarifies the accounting for uncertainty in income taxes by prescribing the recognition threshold a tax position is required to meet before being recognized in the financial statements. We have elected to classify interest and penalties related to an uncertain tax position (if and when required) as part of income tax expense in the consolidated statements of comprehensive income. We do not expect the amount of unrecognized tax benefits to increase significantly in the next 12 months. In general, the PRC tax authorities have up to five years to conduct examinations of the tax filings of our PRC subsidiaries. Accordingly, the PRC subsidiaries’ tax years of 2020–2025 remain open to examination by the respective tax authorities. We may also be subject to the examination of the tax filings in other jurisdictions, which are not material to the consolidated financial statements.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Long-term Investments</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Our long-term investments consist of equity method investments, equity investments with readily determinable fair value, equity investments without readily determinable fair value, equity investments in private equity funds, other investments accounted for at fair value and available-for-sale debt investments.</w:t>
      </w:r>
    </w:p>
    <w:p>
      <w:pPr>
        <w:spacing w:after="0" w:line="176" w:lineRule="exact"/>
        <w:rPr>
          <w:sz w:val="20"/>
          <w:szCs w:val="20"/>
          <w:color w:val="auto"/>
        </w:rPr>
      </w:pPr>
    </w:p>
    <w:p>
      <w:pPr>
        <w:jc w:val="both"/>
        <w:ind w:left="1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Investments in entities in which we can exercise significant influence but does not own a majority equity interest or control are accounted for using the equity method of accounting in accordance with ASC Topic 323, </w:t>
      </w:r>
      <w:r>
        <w:rPr>
          <w:rFonts w:ascii="Times New Roman" w:cs="Times New Roman" w:eastAsia="Times New Roman" w:hAnsi="Times New Roman"/>
          <w:sz w:val="18"/>
          <w:szCs w:val="18"/>
          <w:i w:val="1"/>
          <w:iCs w:val="1"/>
          <w:color w:val="auto"/>
        </w:rPr>
        <w:t>Investments-Equity Method and Joint Ventures</w:t>
      </w:r>
      <w:r>
        <w:rPr>
          <w:rFonts w:ascii="Times New Roman" w:cs="Times New Roman" w:eastAsia="Times New Roman" w:hAnsi="Times New Roman"/>
          <w:sz w:val="18"/>
          <w:szCs w:val="18"/>
          <w:color w:val="auto"/>
        </w:rPr>
        <w:t>. Under the equity method, we initially record its investment at cost and the difference between the cost of the equity investee and the amount of the underlying equity in the net assets of the equity investee is accounted for as if the investee was a consolidated subsidiary. We subsequently adjust the carrying amount of our investment to recognize our proportionate share of each equity investee’s net income or loss into earnings after the date of investment and its share of each equity investee’s movement in accumulated other comprehensive income or loss is recognized in other comprehensive income(loss). When calculating our proportionate share of each equity investee’s net income or loss, we adjust the net income or loss of equity investee to include accretion of preferred stock that is classified in temporary equity in the investee’s financial statements into earnings. We will discontinue applying the equity method if an investment (plus additional financial support provided to the investee, if any) has been reduced to zero. When we have other investments in the equity-method investee and we are not required to advance additional funds to the investee, we would continue to report its share of equity method losses in our statements of comprehensive income after our equity-method investment in ordinary shares has been reduced to zero, to the extent of and as an adjustment to the adjusted basis of our other investments in the investee. Such losses are first applied to those investments of a lower liquidation preference before being further applied to the investments of a higher liquidation preference. We adopted a one-quarter lag in reporting for our share of equity earnings (losses) to a majority of our equity method investees.</w:t>
      </w:r>
    </w:p>
    <w:p>
      <w:pPr>
        <w:spacing w:after="0" w:line="1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155</w:t>
      </w:r>
    </w:p>
    <w:p>
      <w:pPr>
        <w:sectPr>
          <w:pgSz w:w="11900" w:h="16838" w:orient="portrait"/>
          <w:cols w:equalWidth="0" w:num="1">
            <w:col w:w="11140"/>
          </w:cols>
          <w:pgMar w:left="320" w:top="482" w:right="4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evaluate the equity method investments for impairment at each reporting date, or more frequently if events or changes in circumstances indicate that the carrying amount of the investment might not be recoverable. Factors considered by us when determining whether an investment has been other-than-temporarily-impaired, include, but are not limited to, the length of the time and the extent to which the market value has been less than cost, the financial condition and near-term prospects of the investee, and our intent and ability to retain the investment until the recovery of its cost. An impairment loss on the equity method investments is recognized in earnings when the decline in value is determined to be other-than-temporary and is allocated to the individual net assets underlying equity method investments in the following order: 1) reduce any equity method goodwill to zero; 2) reduce the individual basis differences related to the investee’s long-lived assets pro rata based on their amounts relative to the overall basis difference at the impairment date and 3) reduce the individual basis difference of the investee’s remaining assets in a systematic and rational manner.</w:t>
      </w:r>
    </w:p>
    <w:p>
      <w:pPr>
        <w:spacing w:after="0" w:line="192"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For equity investments in private equity funds, over which we do not have the ability to exercise significant influence, we measure those investments using the net asset value per share based on the practical expedient in ASC Topic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xml:space="preserve"> (“ASC 820”), or NAV practical expedient.</w:t>
      </w:r>
    </w:p>
    <w:p>
      <w:pPr>
        <w:spacing w:after="0" w:line="176"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For equity investments without readily determinable fair value and do not qualify for the NAV practical expedient of the investment, we elected to use the measurement alternative to measure those investments at cost, less any impairment, plus or minus changes resulting from observable price changes in orderly transactions for identical or similar investments of the same issuer, if any. Significant judgments are required to determine (i) whether observable price changes are orderly transactions and identical or similar to an investment held by us, and (ii) the selection of appropriate valuation methodologies and underlying assumptions, including expected volatility and the probability of exit events as it relates to liquidation and redemption features used to measure the price adjustments for the difference in rights and obligations between instruments.</w:t>
      </w:r>
    </w:p>
    <w:p>
      <w:pPr>
        <w:spacing w:after="0" w:line="187"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For equity investments with readily determinable fair values representing investments in the equity securities of publicly listed companies, on which we do not have significant influence, we measure those investments at fair value, any changes in fair value are recognized in “Others, net” in the consolidated statements of comprehensive income.</w:t>
      </w:r>
    </w:p>
    <w:p>
      <w:pPr>
        <w:spacing w:after="0" w:line="176"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For equity investments measured at fair value with changes in fair value recorded in earnings, we do not assess whether those investments are impaired. For equity investments that we elect to use the measurement alternative, we perform impairment assessment considering impairment indicators to evaluate whether investments are impaired at each reporting date. Impairment indicators considered include, but are not limited to, a significant deterioration in the financial performance or business prospects of the investee, factors that raise significant concerns about the investee’s ability to continue as a going concern, a significant adverse change in the regulatory, economic, or technologic environment of the investee and a significant adverse change in the general market condition of either the geographical area or the industry in which the investee operates. If impairment assessment indicates that the investment is impaired, we estimate the investment’s fair value in accordance with the principles of ASC 820. If the fair value is less than the investment’s carrying value, we recognize an impairment loss in earnings equal to the difference between the carrying value and fair value.</w:t>
      </w:r>
    </w:p>
    <w:p>
      <w:pPr>
        <w:spacing w:after="0" w:line="186"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In accordance with ASC Subtopic 946-320, </w:t>
      </w:r>
      <w:r>
        <w:rPr>
          <w:rFonts w:ascii="Times New Roman" w:cs="Times New Roman" w:eastAsia="Times New Roman" w:hAnsi="Times New Roman"/>
          <w:sz w:val="18"/>
          <w:szCs w:val="18"/>
          <w:i w:val="1"/>
          <w:iCs w:val="1"/>
          <w:color w:val="auto"/>
        </w:rPr>
        <w:t>Financial Services—Investment Companies, Investments—Debt and Equity Securities</w:t>
      </w:r>
      <w:r>
        <w:rPr>
          <w:rFonts w:ascii="Times New Roman" w:cs="Times New Roman" w:eastAsia="Times New Roman" w:hAnsi="Times New Roman"/>
          <w:sz w:val="18"/>
          <w:szCs w:val="18"/>
          <w:color w:val="auto"/>
        </w:rPr>
        <w:t>, our consolidated investment company accounts for long-term equity investments in unlisted companies at fair value. These investments were initially recorded at their transaction price net of transaction costs, if any. Fair values of these investments are re-measured at each reporting date in accordance with ASC 820, and any changes in fair value are recognized in “Others, net” in the consolidated statements of comprehensive income.</w:t>
      </w:r>
    </w:p>
    <w:p>
      <w:pPr>
        <w:spacing w:after="0" w:line="182"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Available-for-sale debt investments are convertible debt instruments and investments in preferred shares that are currently redeemable at our option, which are measured at fair value. Interest income is recognized in earnings. All other changes in the carrying amount of these debt investments are recognized in other comprehensive income (loss).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156</w:t>
      </w:r>
    </w:p>
    <w:p>
      <w:pPr>
        <w:sectPr>
          <w:pgSz w:w="11900" w:h="16838" w:orient="portrait"/>
          <w:cols w:equalWidth="0" w:num="1">
            <w:col w:w="11140"/>
          </w:cols>
          <w:pgMar w:left="320" w:top="482" w:right="43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Long-term Time Deposits and Held-to-maturity Investments</w:t>
      </w:r>
    </w:p>
    <w:p>
      <w:pPr>
        <w:spacing w:after="0" w:line="121"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Long-term time deposits and held-to-maturity investments are mainly deposits in commercial banks and wealth management products issued by commercial banks and other financial institutions with maturities of greater than one year.</w:t>
      </w:r>
    </w:p>
    <w:p>
      <w:pPr>
        <w:spacing w:after="0" w:line="162"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Investments in debt securities with maturities of greater than one year that we have positive intent and ability to hold to maturity are classified as long-term held-to-maturity investments and stated at amortized cost less allowance for credit losses.</w:t>
      </w:r>
    </w:p>
    <w:p>
      <w:pPr>
        <w:spacing w:after="0" w:line="162"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allowance for credit losses of the held-to-maturity debt investments reflects our estimated expected losses over the contractual lives of the held-to-maturity debt investments and is charged to “Others, net” in the consolidated statements of comprehensive income.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Licensed Copyrights, net</w:t>
      </w:r>
    </w:p>
    <w:p>
      <w:pPr>
        <w:spacing w:after="0" w:line="121"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Licensed copyrights consist of professionally-produced content acquired from external parties, such as drama series, films, variety shows, children’s content, animations, and others, along with micro dramas. The license fees are capitalized and, unless prepaid, a corresponding liability is recorded when the cost of the content is known, the content is accepted by us in accordance with the conditions of the license agreement and the content is available for its first showing on our platforms. Licensed copyrights are presented on the consolidated balance sheets as current and non-current, based on estimated time of usage.</w:t>
      </w:r>
    </w:p>
    <w:p>
      <w:pPr>
        <w:spacing w:after="0" w:line="183"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Our licensed copyrights include the right to broadcast and, in some instances, the right to sublicense. When licensed copyrights include both broadcasting and sublicensing rights, the content costs are allocated to these two rights upon initial recognition.</w:t>
      </w:r>
    </w:p>
    <w:p>
      <w:pPr>
        <w:spacing w:after="0" w:line="162"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For the right to broadcast the contents on our own platforms, the content costs are amortized with an accelerated method considering historical and estimated future viewership consumption patterns over the shorter of each content’s contractual period or estimated useful lives within ten years. Estimates of future viewership consumption patterns and estimated useful lives are reviewed periodically, at least on an annual basis and revised, if necessary. Revisions to the amortization patterns are accounted for as a change in accounting estimate prospectively in accordance with ASC Topic 250, </w:t>
      </w:r>
      <w:r>
        <w:rPr>
          <w:rFonts w:ascii="Times New Roman" w:cs="Times New Roman" w:eastAsia="Times New Roman" w:hAnsi="Times New Roman"/>
          <w:sz w:val="18"/>
          <w:szCs w:val="18"/>
          <w:i w:val="1"/>
          <w:iCs w:val="1"/>
          <w:color w:val="auto"/>
        </w:rPr>
        <w:t>Accounting Changes and Error Corrections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left="120" w:firstLine="440"/>
        <w:spacing w:after="0" w:line="282" w:lineRule="auto"/>
        <w:rPr>
          <w:sz w:val="20"/>
          <w:szCs w:val="20"/>
          <w:color w:val="auto"/>
        </w:rPr>
      </w:pPr>
      <w:r>
        <w:rPr>
          <w:rFonts w:ascii="Times New Roman" w:cs="Times New Roman" w:eastAsia="Times New Roman" w:hAnsi="Times New Roman"/>
          <w:sz w:val="18"/>
          <w:szCs w:val="18"/>
          <w:color w:val="auto"/>
        </w:rPr>
        <w:t>For the right to sublicense the content to external parties, the content costs are amortized based on its estimated usage pattern and recorded as cost of revenue.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Produced Content, net</w:t>
      </w:r>
    </w:p>
    <w:p>
      <w:pPr>
        <w:spacing w:after="0" w:line="121"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We produce original content in-house and in collaboration with external parties. Produced content primarily consists of drama series, films, variety shows, children’s content, animations and others, along with micro dramas. The costs incurred in the physical production of original content include direct production costs, production overhead and acquisition costs. Produced content also includes cash expenditures made to acquire a proportionate share of certain rights to films including profit sharing, distribution and/or other rights. Exploitation costs are expensed as incurred. Participation costs are accrued using the individual-film-forecast-computation method, which recognizes the costs in the same ratio as the associated ultimate revenue. Production costs for original content that are predominantly monetized in a film group are capitalized. Production costs for original content predominantly monetized on its own are capitalized to the extent that they are recoverable from total revenue that are expected to be earned, or ultimate revenue; otherwise, they are expensed as cost of revenue.</w:t>
      </w:r>
    </w:p>
    <w:p>
      <w:pPr>
        <w:spacing w:after="0" w:line="192"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Ultimate revenue estimates include revenue expected to be earned from all sources during the estimated useful lives of produced content based on anticipated release patterns and historical results of similar produced content. The capitalized production costs are reported separately as “Produced content, net” on the consolidated balance sheets.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157</w:t>
      </w:r>
    </w:p>
    <w:p>
      <w:pPr>
        <w:sectPr>
          <w:pgSz w:w="11900" w:h="16838" w:orient="portrait"/>
          <w:cols w:equalWidth="0" w:num="1">
            <w:col w:w="11140"/>
          </w:cols>
          <w:pgMar w:left="320" w:top="482" w:right="43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amortize produced content using an accelerated method by considering historical and estimated usage patterns, generally within ten years.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Amortization costs are included in “Cost of revenue” in the consolidated statements of comprehensive income.</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Licensed Copyrights and Produced Content</w:t>
      </w:r>
    </w:p>
    <w:p>
      <w:pPr>
        <w:spacing w:after="0" w:line="121"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We evaluate our film groups and individual content for impairment when there are events or changes in circumstances that indicate the fair value of a film group or individual content may be less than its unamortized costs. When such events or changes in circumstances are identified, we assess whether the fair value of an individual content (or film group) is less than its unamortized film costs, determine the fair value of an individual content (or film group) and recognize an impairment charge for the amount by which the unamortized capitalized costs exceed the individual content’s (or film group’s) fair value. We mainly use a discounted cash flow approach to determine the fair value of an individual content or film group, of which the most significant inputs include the forecasted future revenue, costs and operating expenses attributable to an individual content or the film group and the discount rate. An impairment loss attributable to a film group is allocated to individual licensed copyright and produced content within the film group on a pro rata basis using the relative carrying values of those assets.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 Other Than Goodwill</w:t>
      </w:r>
    </w:p>
    <w:p>
      <w:pPr>
        <w:spacing w:after="0" w:line="121"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We evaluate our long-lived assets for impairment whenever events or changes in circumstances indicate that the carrying amount of long-lived assets in an asset group may not be fully recoverable. We evaluate the recoverability of our long-lived assets by comparing the carrying amount of our assets to the future undiscounted cash flows expected to result from the use of our assets and their eventual disposition. If the sum of the expected undiscounted cash flows is less than the carrying amount of our assets, we recognize an impairment loss based on the excess of the carrying amount of our assets over their fair value.</w:t>
      </w:r>
    </w:p>
    <w:p>
      <w:pPr>
        <w:spacing w:after="0" w:line="183" w:lineRule="exact"/>
        <w:rPr>
          <w:sz w:val="20"/>
          <w:szCs w:val="20"/>
          <w:color w:val="auto"/>
        </w:rPr>
      </w:pPr>
    </w:p>
    <w:p>
      <w:pPr>
        <w:jc w:val="both"/>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Due to fluctuations in the external environment, in particular the rapid iteration of AI technology, and changes in our internal operations, we performed a recoverability test of the Core asset group and the result indicated that long-lived assets were not recoverable as of September 30, 2025. As the estimated fair value of these assets was below their carrying value, we recognized RMB16.2 billion (US$2.3 billion) impairment losses. We determined the fair value of the Core asset group using the discounted cash flows method, a widely accepted valuation model, with the assistance of an independent third-party valuation firm. The significant assumptions used included revenue growth rates and the discount rate of approximately 13%. The compound annual revenue growth rates used in the quantitative impairment analysis were primarily derived from our projections of future growth activity of 8% to 18% as contemplated in its business plan and adjusted based on the anticipated future utility of the existing long-lived assets.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119"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We account for our business combinations using the acquisition method in accordance with ASC Topic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The acquisition method requires that the consideration transferred to be allocated to the assets, including separately identifiable assets and liabilities we acquired, based on their estimated fair values. The consideration transferred in an acquisition is measured as the aggregate of the fair values at the date of exchange of the assets given, liabilities incurred, and equity instruments issued as well as the contingent considerations as of the acquisition date. The costs directly attributable to the acquisition are expensed as incurred. Identifiable assets, liabilities and contingent liabilities acquired or assumed are measured separately at their fair value as of the acquisition date, irrespective of the extent of any noncontrolling interests. The excess of (i) the total of cost of acquisition, fair value of the noncontrolling interests and acquisition date fair value of any previously held equity interests in the acquiree over</w:t>
      </w:r>
    </w:p>
    <w:p>
      <w:pPr>
        <w:spacing w:after="0" w:line="5" w:lineRule="exact"/>
        <w:rPr>
          <w:sz w:val="20"/>
          <w:szCs w:val="20"/>
          <w:color w:val="auto"/>
        </w:rPr>
      </w:pPr>
    </w:p>
    <w:p>
      <w:pPr>
        <w:ind w:left="120" w:hanging="4"/>
        <w:spacing w:after="0" w:line="260" w:lineRule="auto"/>
        <w:tabs>
          <w:tab w:leader="none" w:pos="38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the identifiable net assets of the acquiree, is recorded as goodwill. If the cost of acquisition is less than the fair value of the net assets of the subsidiary acquired, the difference is recognized directly in earnings.</w:t>
      </w:r>
    </w:p>
    <w:p>
      <w:pPr>
        <w:spacing w:after="0" w:line="18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 a business combination achieved in stages, we re-measured our previously held equity interest in the acquiree immediately before obtaining control at its acquisition-date fair value and the re-measurement gain or loss, if any, is recognized in “Others, net” in the consolidated statements of comprehensive income.</w:t>
      </w:r>
    </w:p>
    <w:p>
      <w:pPr>
        <w:spacing w:after="0" w:line="176"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The determination and allocation of fair values to the identifiable assets acquired, liabilities assumed and noncontrolling interests are based on various assumptions and valuation methodologies requiring considerable judgment from management. The most significant variables in these valuations are discount rates, the number of years on which to base the cash flow projections, as well as the assumptions and estimates used to determine the cash inflows and outflows. We determine discount rates to be used based on the risk inherent in the related activity’s current business model and industry comparisons.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158</w:t>
      </w:r>
    </w:p>
    <w:p>
      <w:pPr>
        <w:sectPr>
          <w:pgSz w:w="11900" w:h="16838" w:orient="portrait"/>
          <w:cols w:equalWidth="0" w:num="1">
            <w:col w:w="11140"/>
          </w:cols>
          <w:pgMar w:left="320" w:top="482" w:right="43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660" w:hanging="544"/>
        <w:spacing w:after="0"/>
        <w:tabs>
          <w:tab w:leader="none" w:pos="66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121"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As of December 31, 2025, we had RMB115.5 billion (US$16.5 billion) in cash, cash equivalents, restricted cash and short-term investments, and the variable interest entities had RMB7.6 billion (US$1.1 billion) of cash, cash equivalents, restricted cash, and short-term investments. The cash and cash equivalents consist of cash on hand and investments in interest-bearing demand deposit accounts, time deposits, money market funds and other liquid investments which have original maturities of three months or less. The short-term investments primarily consist of fixed-rate and adjustable-rate debt investments with original maturity of less than one year.</w:t>
      </w:r>
    </w:p>
    <w:p>
      <w:pPr>
        <w:spacing w:after="0" w:line="183"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We believe that our current cash, cash equivalents, restricted cash and short-term investments and anticipated cash flow from operations will be sufficient to meet our anticipated cash needs, including our cash needs for working capital, capital expenditures and debt repayment, for at least the next 12 months. We may, however, require additional cash due to changing business conditions or other future developments, including any investments or acquisitions we may decide to pursue, and we may incur additional indebtedness (such as loans, convertible senior notes and notes) in the future.</w:t>
      </w:r>
    </w:p>
    <w:p>
      <w:pPr>
        <w:spacing w:after="0" w:line="180"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Furthermore, cash transfers from our Chinese mainland subsidiaries to their parent companies outside of Chinese mainland are subject to PRC government control of currency conversion. Shortages in the availability of foreign currency may restrict the ability of our Chinese mainland subsidiaries and the variable interest entities to remit sufficient foreign currency to pay dividends or other payments to their parent companies outside of Chinese mainland or our company, or otherwise satisfy their foreign currency denominated obligations. See “Item 3.D. Key Information—Risk Factors —Risks Related to Doing Business in China—Governmental control of currency conversion may affect the value of your investment.” As of December 31, 2025, our Chinese mainland subsidiaries and the variable interest entities held RMB67.9 billion (US$9.7 billion) of cash, cash equivalents, restricted cash, and short-term investments, RMB239 million (US$34 million) of which were in the form of foreign currencies. As of December 31, 2025, we have made long-term loans in an aggregate principal amount of RMB19.6 billion (US$2.8 billion) to the nominee shareholders of the variable interest entities. As of the date of this annual report, we do not have any repayment schedule with respect to such loans to the nominee shareholders of the variable interest entities.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Equity financing</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Baidu, Inc. raised approximately US$3.1 billion in net proceeds from its global offering in connection with the listing in Hong Kong in March</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2021 after deducting underwriting commissions, share issuance costs and the offering expenses.</w:t>
      </w:r>
    </w:p>
    <w:p>
      <w:pPr>
        <w:spacing w:after="0" w:line="207"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iQIYI raised an aggregate amount of US$285 million through private investments of ordinary shares in March 2022. iQIYI received net proceeds of US$500 million through a public offering of ordinary shares in the form of ADSs in January 2023.</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Short-term loans</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total outstanding balance of our short-term loans as of December 31, 2024 and 2025 was RMB10.7 billion and RMB7.6 billion (US$1.1 billion), respectively, which consisted of RMB denominated borrowings from financial institutions in Chinese mainland that were repayable within one year.</w:t>
      </w:r>
    </w:p>
    <w:p>
      <w:pPr>
        <w:spacing w:after="0" w:line="176"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As of December 31, 2024 and 2025, we factored certain notes receivables, which mainly comprised of intercompany notes, for cash proceeds. These notes receivables factoring transactions did not qualify as a sale of financial assets under ASC 860 as these notes receivables were transferred with recourse. The factoring transactions were accounted for as secured borrowings and were included in “Short-term loans.” The factored intercompany notes receivables were RMB6.7 billion and RMB5.0 billion (US$711 million) as of December 31, 2024 and 2025, respectively.</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159</w:t>
      </w:r>
    </w:p>
    <w:p>
      <w:pPr>
        <w:sectPr>
          <w:pgSz w:w="11900" w:h="16838" w:orient="portrait"/>
          <w:cols w:equalWidth="0" w:num="1">
            <w:col w:w="11140"/>
          </w:cols>
          <w:pgMar w:left="320" w:top="482" w:right="43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firstLine="440"/>
        <w:spacing w:after="0" w:line="282" w:lineRule="auto"/>
        <w:rPr>
          <w:sz w:val="20"/>
          <w:szCs w:val="20"/>
          <w:color w:val="auto"/>
        </w:rPr>
      </w:pPr>
      <w:r>
        <w:rPr>
          <w:rFonts w:ascii="Times New Roman" w:cs="Times New Roman" w:eastAsia="Times New Roman" w:hAnsi="Times New Roman"/>
          <w:sz w:val="18"/>
          <w:szCs w:val="18"/>
          <w:color w:val="auto"/>
        </w:rPr>
        <w:t>As of December 31, 2024 and 2025, the weighted average interest rates for the outstanding borrowings were 1.79% and 1.31%, respectively, and the aggregate amounts of unused lines of credit for short-term loans were RMB17.2 billion and RMB17.8 billion (US$2.2 billion), respectively.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Long-term loans</w:t>
      </w:r>
    </w:p>
    <w:p>
      <w:pPr>
        <w:spacing w:after="0" w:line="121" w:lineRule="exact"/>
        <w:rPr>
          <w:sz w:val="20"/>
          <w:szCs w:val="20"/>
          <w:color w:val="auto"/>
        </w:rPr>
      </w:pPr>
    </w:p>
    <w:p>
      <w:pPr>
        <w:jc w:val="both"/>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In April 2021, we entered into a five-year US$3.0 billion term and revolving facilities agreement with a group of 22 arrangers. The facilities consist of a US$1.5 billion five-year bullet maturity term loan and a US$1.5 billion five-year revolving facility. The facility was priced at 85 basis points over LIBOR and is intended for the general corporate purposes. In June 2021, we drew down US$1.5 billion term loan and US$500 million revolving loan under the facility commitment. In June 2023, the facilities were modified and priced at 93 basis points over SOFR (secured overnight financing rate). In connection with the drawdowns and the modification, we entered into and restructured the two interest rate swap agreements, pursuant to which each of the loans would be settled with a fixed annual interest rate of 1.71% during the respective term of the loans. In 2024, we canceled US$1.0 billion unused revolving loan lines under the facility commitment.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Debt securities issuances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have conducted the following rounds of debt securities issuances, which remain outstanding as of the date of this annual report:</w:t>
      </w:r>
    </w:p>
    <w:p>
      <w:pPr>
        <w:spacing w:after="0" w:line="131" w:lineRule="exact"/>
        <w:rPr>
          <w:sz w:val="20"/>
          <w:szCs w:val="20"/>
          <w:color w:val="auto"/>
        </w:rPr>
      </w:pPr>
    </w:p>
    <w:p>
      <w:pPr>
        <w:jc w:val="both"/>
        <w:ind w:left="1080" w:hanging="424"/>
        <w:spacing w:after="0" w:line="261" w:lineRule="auto"/>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2015, we issued an aggregate of US$500 million senior unsecured notes due in 2025, or the 2025 Ten-year Notes, with stated annual interest rate of 4.125%. The net proceeds from the sale of the notes were used for general corporate purposes. We are not subject to any financial covenants or other significant restrictions under the 2025 Ten-year Notes. In 2025, we paid an aggregate of US$10 million in interest payments related to the 2025 Ten-year Notes. In June 2025, the 2025 Ten-year Notes were fully repaid when they became due.</w:t>
      </w:r>
    </w:p>
    <w:p>
      <w:pPr>
        <w:spacing w:after="0" w:line="85" w:lineRule="exact"/>
        <w:rPr>
          <w:rFonts w:ascii="Times New Roman" w:cs="Times New Roman" w:eastAsia="Times New Roman" w:hAnsi="Times New Roman"/>
          <w:sz w:val="18"/>
          <w:szCs w:val="18"/>
          <w:color w:val="auto"/>
        </w:rPr>
      </w:pPr>
    </w:p>
    <w:p>
      <w:pPr>
        <w:jc w:val="both"/>
        <w:ind w:left="1080" w:right="20" w:hanging="424"/>
        <w:spacing w:after="0" w:line="256" w:lineRule="auto"/>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2017, we issued an aggregate of US$600 million senior unsecured notes due in 2027, or the 2027 Ten-year Notes, with stated annual interest rate of 3.625%. The net proceeds from the sale of the notes were used to repay existing indebtedness and for general corporate purposes. As of December 31, 2025, the total carrying value and estimated fair value were US$600 million and US$597 million, respectively, with respect to the 2027 Ten-year Notes. The estimated fair values were based on quoted prices for our publicly-traded debt securities as of December 31, 2025. We are not subject to any financial covenants or other significant restrictions under the notes. In 2025, we paid an aggregate of US$22 million in interest payments related to the 2027 Ten-year Notes.</w:t>
      </w:r>
    </w:p>
    <w:p>
      <w:pPr>
        <w:spacing w:after="0" w:line="92" w:lineRule="exact"/>
        <w:rPr>
          <w:rFonts w:ascii="Times New Roman" w:cs="Times New Roman" w:eastAsia="Times New Roman" w:hAnsi="Times New Roman"/>
          <w:sz w:val="18"/>
          <w:szCs w:val="18"/>
          <w:color w:val="auto"/>
        </w:rPr>
      </w:pPr>
    </w:p>
    <w:p>
      <w:pPr>
        <w:jc w:val="both"/>
        <w:ind w:left="1080" w:hanging="424"/>
        <w:spacing w:after="0" w:line="254" w:lineRule="auto"/>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2018, we issued an aggregate of US$1.0 billion senior unsecured notes due in 2023, or the 2023 Notes, with stated annual interest rate of 3.875%, and an aggregate of US$500 million senior unsecured notes due in 2028, or the 2028 March Notes, with stated annual interest rate of 4.375%. The net proceeds from the sale of the notes were used to repay existing indebtedness and for general corporate purposes. In September 2023, the 2023 Notes were fully repaid when they became due. As of December 31, 2025, the total carrying value and estimated fair value of the 2028 March Notes were US$500 million and US$504 million, respectively. The estimated fair values were based on quoted prices for our publicly-traded debt securities as of December 31, 2025. We are not subject to any financial covenants or other significant restrictions under the 2028 March Notes. In 2025, we paid an aggregate of US$22 million in interest payments related to the 2028 March Notes.</w:t>
      </w:r>
    </w:p>
    <w:p>
      <w:pPr>
        <w:spacing w:after="0" w:line="97" w:lineRule="exact"/>
        <w:rPr>
          <w:rFonts w:ascii="Times New Roman" w:cs="Times New Roman" w:eastAsia="Times New Roman" w:hAnsi="Times New Roman"/>
          <w:sz w:val="18"/>
          <w:szCs w:val="18"/>
          <w:color w:val="auto"/>
        </w:rPr>
      </w:pPr>
    </w:p>
    <w:p>
      <w:pPr>
        <w:jc w:val="both"/>
        <w:ind w:left="1080" w:hanging="424"/>
        <w:spacing w:after="0" w:line="253" w:lineRule="auto"/>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2018, we issued an aggregate of US$600 million senior unsecured notes due in 2024, or the 2024 November Notes, with stated annual interest rate of 4.375%, and an aggregate of US$400 million senior unsecured notes due in 2028, or the 2028 November Notes, with stated annual interest rate of 4.875%. In December 2018, we issued an aggregate of US$250 million senior unsecured notes due in 2024, or the 2024 December Notes, with stated annual interest rate of 4.375%, which constitute a further issuance of, and be fungible with and be consolidated and form a single series with the 2024 November Notes. The net proceeds from the sale of the notes were used to repay existing indebtedness and for general corporate purposes. In May 2024, the 2024 November Notes and the 2024 December Notes were fully repaid when they became due, respectively. As of December 31, 2025, the total carrying value and estimated fair value were US$400 million and US$409 million, respectively, with respect to the 2028 November Notes. The estimated fair values were based on quoted prices for our publicly-traded debt securities as of December 31, 2025. We are not subject to any financial covenants or other significant restrictions under the notes. In 2025, we paid an aggregate of US$20 million in interest payments related to these notes.</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160</w:t>
      </w:r>
    </w:p>
    <w:p>
      <w:pPr>
        <w:sectPr>
          <w:pgSz w:w="11900" w:h="16838" w:orient="portrait"/>
          <w:cols w:equalWidth="0" w:num="1">
            <w:col w:w="11140"/>
          </w:cols>
          <w:pgMar w:left="320" w:top="482" w:right="43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080" w:right="20" w:hanging="424"/>
        <w:spacing w:after="0" w:line="254" w:lineRule="auto"/>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2020, we issued an aggregate of US$600 million senior unsecured notes due in 2025, or the 2025 Five-year Notes, with stated annual interest rate of 3.075%, and an aggregate of US$400 million senior unsecured notes due in 2030, or the 2030 April Notes, with stated annual interest rate of 3.425%. The net proceeds from the sale of the notes were used to repay existing indebtedness and for general corporate purposes. In April 2025, the 2025 Five-year Notes were fully repaid when they became due. As of December 31, 2025, the total carrying value and estimated fair value were US$400 million and US$388 million, respectively, with respect to the 2030 April Notes. The estimated fair values were based on quoted prices for our publicly-traded debt securities as of December 31, 2025. We are not subject to any financial covenants or other significant restrictions under the notes. In 2025, we paid an aggregate of US$23 million in interest payments related to these notes.</w:t>
      </w:r>
    </w:p>
    <w:p>
      <w:pPr>
        <w:spacing w:after="0" w:line="97" w:lineRule="exact"/>
        <w:rPr>
          <w:rFonts w:ascii="Times New Roman" w:cs="Times New Roman" w:eastAsia="Times New Roman" w:hAnsi="Times New Roman"/>
          <w:sz w:val="18"/>
          <w:szCs w:val="18"/>
          <w:color w:val="auto"/>
        </w:rPr>
      </w:pPr>
    </w:p>
    <w:p>
      <w:pPr>
        <w:jc w:val="both"/>
        <w:ind w:left="1080" w:hanging="424"/>
        <w:spacing w:after="0" w:line="255" w:lineRule="auto"/>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2020, we issued an aggregate of US$650 million senior unsecured notes due in 2026, or the 2026 Notes, with stated annual interest rate of 1.720%, and an aggregate of US$300 million senior unsecured notes due in 2030, or the 2030 October Notes, with stated annual interest rate of 2.375%. The net proceeds from the sale of the notes are to be used to repay existing indebtedness. As of December 31, 2025, the total carrying value and estimated fair value were US$650 million and US$646 million, respectively, with respect to the 2026 Notes, and US$300 million and US$277 million, respectively, with respect to the 2030 October Notes. The estimated fair values were based on quoted prices for our publicly-traded debt securities as of December 31, 2025. We are not subject to any financial covenants or other significant restrictions under the notes. In 2025, we paid an aggregate of US$18 million in interest payments related to these notes.</w:t>
      </w:r>
    </w:p>
    <w:p>
      <w:pPr>
        <w:spacing w:after="0" w:line="310" w:lineRule="exact"/>
        <w:rPr>
          <w:rFonts w:ascii="Times New Roman" w:cs="Times New Roman" w:eastAsia="Times New Roman" w:hAnsi="Times New Roman"/>
          <w:sz w:val="18"/>
          <w:szCs w:val="18"/>
          <w:color w:val="auto"/>
        </w:rPr>
      </w:pPr>
    </w:p>
    <w:p>
      <w:pPr>
        <w:jc w:val="both"/>
        <w:ind w:left="1080" w:hanging="424"/>
        <w:spacing w:after="0" w:line="254" w:lineRule="auto"/>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2021, we issued an aggregate of US$300 million senior unsecured notes due in 2027, or the 2027 Five-year Notes, with stated annual interest rate of 1.625%, and an aggregate of US$700 million senior unsecured notes due in 2031, or the 2031 Notes, with stated annual interest rate of 2.375%. The net proceeds from the sale of the notes are to be used for general corporate purposes, including repayment of certain existing indebtedness. As of December 31, 2025, the total carrying value and estimated fair value were US$300 million and US$292 million, respectively, with respect to the 2027 Five-year Notes, and US$700 million and US$637 million, respectively, with respect to the 2031 Notes. The estimated fair values were based on quoted prices for our publicly-traded debt securities as of December 31, 2025. We are not subject to any financial covenants or other significant restrictions under the notes. In 2025, we paid an aggregate of US$22 million in interest payments related to these notes.</w:t>
      </w:r>
    </w:p>
    <w:p>
      <w:pPr>
        <w:spacing w:after="0" w:line="97" w:lineRule="exact"/>
        <w:rPr>
          <w:rFonts w:ascii="Times New Roman" w:cs="Times New Roman" w:eastAsia="Times New Roman" w:hAnsi="Times New Roman"/>
          <w:sz w:val="18"/>
          <w:szCs w:val="18"/>
          <w:color w:val="auto"/>
        </w:rPr>
      </w:pPr>
    </w:p>
    <w:p>
      <w:pPr>
        <w:jc w:val="both"/>
        <w:ind w:left="1080" w:hanging="424"/>
        <w:spacing w:after="0" w:line="254" w:lineRule="auto"/>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2025, we issued an aggregate of RMB7.5 billion senior unsecured notes due in 2030, or the 2030 Five-year Notes, with stated annual interest rate of 2.70%, and an aggregate of RMB2.5 billion senior unsecured notes due in 2035, or the 2035 Notes, with stated annual interest rate of 3.00%. The net proceeds from the sale of these notes are to be used for general corporate purposes, including repayment of certain existing indebtedness and payment of interest and general corporate purposes. As of December 31, 2025, the total carrying value and estimated fair value were RMB7.5 billion and RMB7.6 billion, respectively, with respect to the 2030 Five-year Notes, and RMB2.5 billion and RMB2.5 billion, respectively, with respect to the 2035 Notes. We are not subject to any financial covenants or other significant restrictions under these notes. In 2025, we paid an aggregate of RMB139 million in interest payments related to these notes.</w:t>
      </w:r>
    </w:p>
    <w:p>
      <w:pPr>
        <w:spacing w:after="0" w:line="97" w:lineRule="exact"/>
        <w:rPr>
          <w:rFonts w:ascii="Times New Roman" w:cs="Times New Roman" w:eastAsia="Times New Roman" w:hAnsi="Times New Roman"/>
          <w:sz w:val="18"/>
          <w:szCs w:val="18"/>
          <w:color w:val="auto"/>
        </w:rPr>
      </w:pPr>
    </w:p>
    <w:p>
      <w:pPr>
        <w:jc w:val="both"/>
        <w:ind w:left="1080" w:hanging="424"/>
        <w:spacing w:after="0" w:line="253" w:lineRule="auto"/>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2025, we issued an aggregate of US$2 billion exchangeable bonds due 2032, or the 2032 Exchangeable Bonds, which bear no regular interest. Holders of the 2032 Exchangeable Bonds may not exchange their bonds prior to the first anniversary of the issue date of the bonds. Between the first anniversary of the issue date and the date falling 6 months prior to the maturity date of the 2032 Bonds, holders of the bonds may exchange the bonds into cash only upon the satisfaction of certain contingencies. Thereafter and until the second scheduled trading day preceding the maturity date, holders may exchange the bonds into cash at any time. The 2032 Exchangeable Bonds reference ordinary shares of Trip.com Group Limited that are listed on the Hong Kong Stock Exchange, or the Trip.com Shares, and the initial exchange ratio of the 2032 Exchangeable Bonds is 1,107.0457 Trip.com Shares per US$100,000 principal amount of the 2032 Exchangeable Bonds. Subject to certain conditions, we may elect to deliver Trip.com Shares held by us in lieu of cash or a combination of cash and Trip.com Shares. The net proceeds from the sale of the 2032 Exchangeable Bonds are for repayment of certain existing indebtedness, payment of interest and general corporate purposes. As of December 31, 2025, the total carrying value and estimated fair value were US$2 billion and US$2 billion, respectively, with respect to the 2032 Exchangeable Bonds. We are not subject to any financial covenants or other significant restrictions under the notes.</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161</w:t>
      </w:r>
    </w:p>
    <w:p>
      <w:pPr>
        <w:sectPr>
          <w:pgSz w:w="11900" w:h="16838" w:orient="portrait"/>
          <w:cols w:equalWidth="0" w:num="1">
            <w:col w:w="11140"/>
          </w:cols>
          <w:pgMar w:left="320" w:top="482" w:right="43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080" w:hanging="424"/>
        <w:spacing w:after="0" w:line="256"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2025, we issued an aggregate of RMB4.4 billion senior unsecured notes due in 2029, or the 2029 Notes, with stated annual interest rate of 1.90%. The net proceeds from the sale of these notes are to be used for general corporate purposes, including repayment of certain existing indebtedness, payment of interest and general corporate purposes. We are not subject to any financial covenants or other significant restrictions under these notes. As of December 31, 2025, the total carrying value and estimated fair value were RMB4.4 billion and RMB4.3 billion, respectively, with respect to the 2029 Notes. We are not subject to any financial covenants or other significant restrictions under the 2029 Notes.</w:t>
      </w:r>
    </w:p>
    <w:p>
      <w:pPr>
        <w:spacing w:after="0" w:line="187"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Under the terms of the indentures governing the 2027 Ten-year Notes and the 2028 March Notes, events of default include, among others, there occurring with respect to any of our indebtedness or indebtedness of our principal controlled entities, an event of default resulting in accelerated maturity or a failure to pay principal, interest or premium when due, and that the outstanding principal amount under payment default or accelerated maturity equals or exceeds the greater of US$100 million and 2.5% of our total equity. Under such indentures, principal controlled entities refer to entities as to which one or more of the following conditions is/are satisfied: (i) its total revenue or consolidated total revenue attributable to our company is at least 5% of our consolidated total revenue, (ii) its net profit or consolidated net profit attributable to our company is at least 5% of our consolidated net profit; or (iii) its net assets or consolidated net assets attributable to our company are at least 10% of our consolidated net assets. For example, iQIYI constitutes a principal controlled entity under such indentures.</w:t>
      </w:r>
    </w:p>
    <w:p>
      <w:pPr>
        <w:spacing w:after="0" w:line="192"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Under the terms of the indentures governing the 2028 November Notes, the 2030 April Notes, the 2026 Notes, the 2030 October Notes, the 2027 Five-year Notes, the 2031 Notes, the 2030 Five-year Notes, the 2035 Notes and the 2029 Notes, events of default include, among others, there occurring with respect to any of our company’s indebtedness, an event of default resulting in accelerated maturity or a failure to pay principal, interest or premium when due, and that the outstanding principal amount under payment default or accelerated maturity equals or exceeds the greater of US$100 million and 2.5% of our total equity. Under the terms and conditions of the 2032 Exchangeable Bonds, events of default include, among others, a failure to perform obligations arising in respect of the exercise of exchange rights and a failure to give certain specified notices to the holder of the bonds.</w:t>
      </w:r>
    </w:p>
    <w:p>
      <w:pPr>
        <w:spacing w:after="0" w:line="187"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If any such event of default were to take place, the holders of those notes may declare the principal of notes to be due and payable prior to the stated maturity. Under the terms of the indentures governing the various notes, a declaration of acceleration of the relevant series of notes will be automatically annulled if such event of default is remedied or cured by our company or any of our company’s principal controlled entities, in the case of the 2027 Ten-year Notes and the 2028 March Notes, or our company, in the case of the 2028 November Notes, the 2030 April Notes, the 2026 Notes, the 2030 October Notes, the 2027 Five-year Notes, the 2031 Notes, the 2030 Five-year Notes, the 2035 Notes and the 2029 Notes, or waived by the holders of the relevant notes within 30 days after the declaration of acceleration with respect thereto and if the annulment of the acceleration of those notes would not conflict with any judgment or decree of a court of competent jurisdiction. As of December 31, 2025, there was no such event of default.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iQIYI convertible notes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iQIYI has conducted the following issuances of convertible notes, which remain outstanding as of the date of this annual report:</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162</w:t>
      </w:r>
    </w:p>
    <w:p>
      <w:pPr>
        <w:sectPr>
          <w:pgSz w:w="11900" w:h="16838" w:orient="portrait"/>
          <w:cols w:equalWidth="0" w:num="1">
            <w:col w:w="11140"/>
          </w:cols>
          <w:pgMar w:left="320" w:top="482" w:right="43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iQIYI 2026 Convertible Senior Notes</w:t>
      </w:r>
    </w:p>
    <w:p>
      <w:pPr>
        <w:spacing w:after="0" w:line="135" w:lineRule="exact"/>
        <w:rPr>
          <w:sz w:val="20"/>
          <w:szCs w:val="20"/>
          <w:color w:val="auto"/>
        </w:rPr>
      </w:pPr>
    </w:p>
    <w:p>
      <w:pPr>
        <w:jc w:val="both"/>
        <w:ind w:left="1080" w:right="20" w:hanging="424"/>
        <w:spacing w:after="0" w:line="256" w:lineRule="auto"/>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21, 2020, iQIYI issued US$800 million convertible senior notes and offered an additional US$100 million principal amount simultaneously, pursuant to the underwriters’ option to purchase additional notes. On January 8, 2021, the additional US$100 million principal amount was issued pursuant to the underwriters’ exercise of their option. The convertible senior notes issued on December 21, 2020 and January 8, 2021 (collectively referred to as the “iQIYI 2026 Convertible Notes”) are senior, unsecured obligations of iQIYI, and interest is payable semi-annually in cash at a rate of 4.00% per annum on June 15 and December 15 of each year, beginning on June 15, 2021. The iQIYI 2026 Convertible Notes will mature on December 15, 2026 unless redeemed, repurchased or converted prior to such date.</w:t>
      </w:r>
    </w:p>
    <w:p>
      <w:pPr>
        <w:spacing w:after="0" w:line="187" w:lineRule="exact"/>
        <w:rPr>
          <w:rFonts w:ascii="Times New Roman" w:cs="Times New Roman" w:eastAsia="Times New Roman" w:hAnsi="Times New Roman"/>
          <w:sz w:val="18"/>
          <w:szCs w:val="18"/>
          <w:color w:val="auto"/>
        </w:rPr>
      </w:pPr>
    </w:p>
    <w:p>
      <w:pPr>
        <w:jc w:val="both"/>
        <w:ind w:left="110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conversion rate of the iQIYI 2026 Convertible Notes is 44.8179 of iQIYI’s ADS per US$1,000 principal amount of the iQIYI 2026 Convertible Notes (which is equivalent to an initial conversion price of approximately US$22.31 per ADS). Prior to June 15, 2026, the iQIYI 2026 Convertible Notes will be convertible at the option of the holders only upon the following circumstances: (1) during any calendar quarter commencing after the calendar quarter ending on March 31, 2021, if the last reported sale price of ADSs for at least 20 trading days (whether or not consecutive) during a period of 30 consecutive trading days ending on, and including, the last trading day of the immediately preceding calendar quarter is greater than or equal to 130% of the conversion price; (2) during the five business day period after any ten consecutive trading day period in which the trading price per US$1,000 principal amount of notes was less than 98% of the product of the last reported sale price of the ADSs and the conversion rate on each such trading day; (3) if iQIYI calls the notes for a tax redemption; or (4) upon the occurrence of specified corporate events. Thereafter, the iQIYI 2026 Convertible Notes will be convertible at the option of the holders at any time until the close of business on the second scheduled trading day immediately preceding the maturity date. The conversion rate is subject to adjustment in some events but is not adjusted for any accrued and unpaid interest. In addition, following a make-whole fundamental change that occurs prior to the maturity date or following iQIYI’s delivery of a notice of a tax redemption, iQIYI will increase the conversion rate for a holder who elects to convert its notes in connection with such a corporate event or such tax redemption. Upon conversion, iQIYI will pay or deliver to such converting holders, as the case may be, cash, ADSs, or a combination of cash and ADSs, at its election.</w:t>
      </w:r>
    </w:p>
    <w:p>
      <w:pPr>
        <w:spacing w:after="0" w:line="195" w:lineRule="exact"/>
        <w:rPr>
          <w:rFonts w:ascii="Times New Roman" w:cs="Times New Roman" w:eastAsia="Times New Roman" w:hAnsi="Times New Roman"/>
          <w:sz w:val="18"/>
          <w:szCs w:val="18"/>
          <w:color w:val="auto"/>
        </w:rPr>
      </w:pPr>
    </w:p>
    <w:p>
      <w:pPr>
        <w:ind w:left="110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may require iQIYI to repurchase all or a portion of the iQIYI 2026 Convertible Notes for cash on August 1, 2024, or upon a fundamental change, at a repurchase price equal to 100% of the principal amount, plus accrued and unpaid interest.</w:t>
      </w:r>
    </w:p>
    <w:p>
      <w:pPr>
        <w:spacing w:after="0" w:line="161" w:lineRule="exact"/>
        <w:rPr>
          <w:rFonts w:ascii="Times New Roman" w:cs="Times New Roman" w:eastAsia="Times New Roman" w:hAnsi="Times New Roman"/>
          <w:sz w:val="18"/>
          <w:szCs w:val="18"/>
          <w:color w:val="auto"/>
        </w:rPr>
      </w:pPr>
    </w:p>
    <w:p>
      <w:pPr>
        <w:jc w:val="both"/>
        <w:ind w:left="1100" w:right="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2023, iQIYI repurchased the iQIYI 2026 Convertible Notes with the aggregate principal amount of US$504 million through separate and individually privately negotiated agreements with certain holders. In 2024, iQIYI repurchased the iQIYI 2026 Convertible Notes in an aggregate principal amount of US$396 million as requested by the holders. As of December 31, 2025, US$0.1 million principal amount of the iQIYI 2026 Convertible Notes remained outstanding.</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iQIYI PAG Convertible Senior Notes</w:t>
      </w:r>
    </w:p>
    <w:p>
      <w:pPr>
        <w:spacing w:after="0" w:line="135" w:lineRule="exact"/>
        <w:rPr>
          <w:sz w:val="20"/>
          <w:szCs w:val="20"/>
          <w:color w:val="auto"/>
        </w:rPr>
      </w:pPr>
    </w:p>
    <w:p>
      <w:pPr>
        <w:jc w:val="both"/>
        <w:ind w:left="1080" w:hanging="424"/>
        <w:spacing w:after="0" w:line="254" w:lineRule="auto"/>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30, 2022, iQIYI issued US$500 million convertible senior notes, pursuant to the definitive agreements entered into with PAGAC IV-1 (Cayman) Limited, PAG Pegasus Fund LP and/or their affiliates (collectively, the “Investors”) in August 2022. iQIYI also offered an additional US$50 million principal amount simultaneously, pursuant to the Investors’ option to purchase additional notes. On February 24, 2023, the additional US$50 million principal amount was issued pursuant to the Investors’ exercise of their option. The convertible senior notes issued on December 30, 2022 and February 24, 2023 (collectively referred to as the “iQIYI PAG Convertible Notes”) are senior, secured obligations of iQIYI by certain collateral arrangements, and interest is payable quarterly in cash at a rate of 6.00% per annum on January 1, April 1, July 1 and October 1 of each year, beginning on April 1, 2023. The iQIYI PAG Convertible Notes will mature on the fifth anniversary of the issuance date unless redeemed, repurchased or converted prior to such date.</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163</w:t>
      </w:r>
    </w:p>
    <w:p>
      <w:pPr>
        <w:sectPr>
          <w:pgSz w:w="11900" w:h="16838" w:orient="portrait"/>
          <w:cols w:equalWidth="0" w:num="1">
            <w:col w:w="11140"/>
          </w:cols>
          <w:pgMar w:left="320" w:top="482" w:right="43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100" w:right="20"/>
        <w:spacing w:after="0" w:line="256" w:lineRule="auto"/>
        <w:rPr>
          <w:sz w:val="20"/>
          <w:szCs w:val="20"/>
          <w:color w:val="auto"/>
        </w:rPr>
      </w:pPr>
      <w:r>
        <w:rPr>
          <w:rFonts w:ascii="Times New Roman" w:cs="Times New Roman" w:eastAsia="Times New Roman" w:hAnsi="Times New Roman"/>
          <w:sz w:val="18"/>
          <w:szCs w:val="18"/>
          <w:color w:val="auto"/>
        </w:rPr>
        <w:t>The iQIYI PAG Convertible Notes will be convertible at the holder’s option at any time prior to the close of business on the second scheduled trading day immediately preceding the maturity date and subject to the terms of the iQIYI PAG Convertible Notes, at an initial conversion rate of 216.9668 ADS per US$ 1,000 principal amount of the iQIYI PAG Convertible Notes (which is equivalent to an initial conversion price of approximately US$4.61 per ADS). Following a make-whole fundamental change that occurs prior to the maturity date, iQIYI will increase the conversion rate for a holder who elects to convert its notes in connection with such make-whole fundamental change.</w:t>
      </w:r>
    </w:p>
    <w:p>
      <w:pPr>
        <w:spacing w:after="0" w:line="187" w:lineRule="exact"/>
        <w:rPr>
          <w:sz w:val="20"/>
          <w:szCs w:val="20"/>
          <w:color w:val="auto"/>
        </w:rPr>
      </w:pPr>
    </w:p>
    <w:p>
      <w:pPr>
        <w:jc w:val="both"/>
        <w:ind w:left="1100" w:right="20"/>
        <w:spacing w:after="0" w:line="254" w:lineRule="auto"/>
        <w:rPr>
          <w:sz w:val="20"/>
          <w:szCs w:val="20"/>
          <w:color w:val="auto"/>
        </w:rPr>
      </w:pPr>
      <w:r>
        <w:rPr>
          <w:rFonts w:ascii="Times New Roman" w:cs="Times New Roman" w:eastAsia="Times New Roman" w:hAnsi="Times New Roman"/>
          <w:sz w:val="18"/>
          <w:szCs w:val="18"/>
          <w:color w:val="auto"/>
        </w:rPr>
        <w:t>Holders of the iQIYI PAG Convertible Notes have the right to require iQIYI to repurchase for cash all or part of their Notes, at a repurchase price equal to 120% and 130% of the principal amount of the iQIYI PAG Convertible Notes on or shortly after the third anniversary of the issuance date and the fifth anniversary of the issuance date, respectively. Upon the closing of the transaction, the Investors have appointed the executive chairman of PAG, as a member to the board of directors, a member of the compensation committee and a non-voting member of the audit committee of iQIYI pursuant to their rights in the definitive agreements. For the years ended December 31, 2023, 2024 and 2025, the amount of interest cost recognized of iQIYI PAG Convertible Notes was RMB473 million, RMB487 million and RMB439 million (US$63 million), respectively. The repayments of iQIYI PAG Convertible Notes are guaranteed by equity interests of certain subsidiaries of iQIYI and collateralized by partial cash consideration related to certain contracts for which nil cash consideration has been charged as of December 31, 2025 and recorded as long-term restricted cash.</w:t>
      </w:r>
    </w:p>
    <w:p>
      <w:pPr>
        <w:spacing w:after="0" w:line="188" w:lineRule="exact"/>
        <w:rPr>
          <w:sz w:val="20"/>
          <w:szCs w:val="20"/>
          <w:color w:val="auto"/>
        </w:rPr>
      </w:pPr>
    </w:p>
    <w:p>
      <w:pPr>
        <w:jc w:val="both"/>
        <w:ind w:left="1100" w:right="20"/>
        <w:spacing w:after="0" w:line="266" w:lineRule="auto"/>
        <w:rPr>
          <w:sz w:val="20"/>
          <w:szCs w:val="20"/>
          <w:color w:val="auto"/>
        </w:rPr>
      </w:pPr>
      <w:r>
        <w:rPr>
          <w:rFonts w:ascii="Times New Roman" w:cs="Times New Roman" w:eastAsia="Times New Roman" w:hAnsi="Times New Roman"/>
          <w:sz w:val="18"/>
          <w:szCs w:val="18"/>
          <w:color w:val="auto"/>
        </w:rPr>
        <w:t>In 2025, iQIYI repurchased the iQIYI PAG Convertible Notes in an aggregate principal amount of US$28 million through separate and individually privately negotiated agreements with certain holders. As of December 31, 2025, US$523 million principal amount of the iQIYI PAG Convertible Notes remained outstanding.</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iQIYI 2028 Convertible Senior Notes</w:t>
      </w:r>
    </w:p>
    <w:p>
      <w:pPr>
        <w:spacing w:after="0" w:line="135" w:lineRule="exact"/>
        <w:rPr>
          <w:sz w:val="20"/>
          <w:szCs w:val="20"/>
          <w:color w:val="auto"/>
        </w:rPr>
      </w:pPr>
    </w:p>
    <w:p>
      <w:pPr>
        <w:jc w:val="both"/>
        <w:ind w:left="1080" w:right="20" w:hanging="424"/>
        <w:spacing w:after="0" w:line="261" w:lineRule="auto"/>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7, 2023, iQIYI issued US$600 million convertible senior notes (the “iQIYI 2028 Convertible Notes”). The iQIYI 2028 Convertible Notes are senior, unsecured obligations of iQIYI, and interest is payable quarterly in cash at a rate of 6.50% per annum on March 15, June 15 September 15 and December 15 of each year, beginning on June 15, 2023. The iQIYI 2028 Convertible Notes will mature on March 15, 2028 unless redeemed, repurchased or converted prior to such date.</w:t>
      </w:r>
    </w:p>
    <w:p>
      <w:pPr>
        <w:spacing w:after="0" w:line="179" w:lineRule="exact"/>
        <w:rPr>
          <w:rFonts w:ascii="Times New Roman" w:cs="Times New Roman" w:eastAsia="Times New Roman" w:hAnsi="Times New Roman"/>
          <w:sz w:val="18"/>
          <w:szCs w:val="18"/>
          <w:color w:val="auto"/>
        </w:rPr>
      </w:pPr>
    </w:p>
    <w:p>
      <w:pPr>
        <w:jc w:val="both"/>
        <w:ind w:left="110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conversion rate of the iQIYI 2028 Convertible Notes is 101.4636 of iQIYI’s ADS per US$1,000 principal amount of the iQIYI 2028 Convertible Notes (which is equivalent to an initial conversion price of approximately US$9.86 per ADS). Prior to September 15, 2027, the iQIYI 2028 Convertible Notes will be convertible at the option of the holders only upon the following circumstances: (1) during any calendar quarter commencing after the calendar quarter ending on June 30, 2023 (and only during such calendar quarter), if the last reported sale price of ADSs for at least 20 trading days (whether or not consecutive) during a period of 30 consecutive trading days ending on, and including, the last trading day of the immediately preceding calendar quarter is greater than or equal to 130% of the conversion price; (2) during the five business day period after any ten consecutive trading day period in which the trading price per US$1,000 principal amount of notes was less than 98% of the product of the last reported sale price of the ADSs and the conversion rate on each such trading day; (3) if iQIYI calls the notes for a tax redemption or an optional redemption; or (4) upon the occurrence of specified corporate events. Thereafter, the iQIYI 2028 Convertible Notes will be convertible at the option of the holders at any time until the close of business on the second scheduled trading day immediately preceding the maturity date. The conversion rate is subject to adjustment in some events but is not adjusted for any accrued and unpaid interest. In addition, following a make-whole fundamental change that occurs prior to the maturity date or following iQIYI’s delivery of a notice of a tax redemption, iQIYI will increase the conversion rate for a holder who elects to convert its notes in connection with such a corporate event or such tax redemption. Upon conversion, iQIYI will pay or deliver to such converting holders, as the case may be, cash, ADSs, or a combination of cash and ADSs, at its election.</w:t>
      </w:r>
    </w:p>
    <w:p>
      <w:pPr>
        <w:spacing w:after="0" w:line="12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164</w:t>
      </w:r>
    </w:p>
    <w:p>
      <w:pPr>
        <w:sectPr>
          <w:pgSz w:w="11900" w:h="16838" w:orient="portrait"/>
          <w:cols w:equalWidth="0" w:num="1">
            <w:col w:w="11140"/>
          </w:cols>
          <w:pgMar w:left="320" w:top="482" w:right="43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100"/>
        <w:spacing w:after="0" w:line="256" w:lineRule="auto"/>
        <w:rPr>
          <w:sz w:val="20"/>
          <w:szCs w:val="20"/>
          <w:color w:val="auto"/>
        </w:rPr>
      </w:pPr>
      <w:r>
        <w:rPr>
          <w:rFonts w:ascii="Times New Roman" w:cs="Times New Roman" w:eastAsia="Times New Roman" w:hAnsi="Times New Roman"/>
          <w:sz w:val="18"/>
          <w:szCs w:val="18"/>
          <w:color w:val="auto"/>
        </w:rPr>
        <w:t>The holders may require iQIYI to repurchase all or a portion of the iQIYI 2028 Convertible Notes for cash on March 16, 2026, or upon a fundamental change, at a repurchase price equal to 100% of the principal amount, plus accrued and unpaid interest. On or after March 20, 2026, iQIYI may redeem for cash all or part of the iQIYI 2028 Convertible Notes, at its option, if the last reported sale price of the ADSs has been at least 130% of the conversion price then in effect on (i) each of at least 20 trading days (whether or not consecutive) during the period of 30 consecutive trading days ending on, and including, the trading day immediately prior to the date iQIYI provides the optional redemption notice and (ii) the trading day immediately preceding the date iQIYI provides the optional redemption notice.</w:t>
      </w:r>
    </w:p>
    <w:p>
      <w:pPr>
        <w:spacing w:after="0" w:line="187" w:lineRule="exact"/>
        <w:rPr>
          <w:sz w:val="20"/>
          <w:szCs w:val="20"/>
          <w:color w:val="auto"/>
        </w:rPr>
      </w:pPr>
    </w:p>
    <w:p>
      <w:pPr>
        <w:jc w:val="both"/>
        <w:ind w:left="1100" w:right="20"/>
        <w:spacing w:after="0" w:line="266" w:lineRule="auto"/>
        <w:rPr>
          <w:sz w:val="20"/>
          <w:szCs w:val="20"/>
          <w:color w:val="auto"/>
        </w:rPr>
      </w:pPr>
      <w:r>
        <w:rPr>
          <w:rFonts w:ascii="Times New Roman" w:cs="Times New Roman" w:eastAsia="Times New Roman" w:hAnsi="Times New Roman"/>
          <w:sz w:val="18"/>
          <w:szCs w:val="18"/>
          <w:color w:val="auto"/>
        </w:rPr>
        <w:t>As of December 31, 2025, iQIYI had repurchased the iQIYI 2028 Convertible Notes in an aggregate principal amount of US$392 million through separate and individually privately negotiated agreements with certain holders. As of December 31, 2025, US$208 million principal amount of the iQIYI 2028 Convertible Notes remained outstanding.</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iQIYI 2030 Convertible Senior Notes</w:t>
      </w:r>
    </w:p>
    <w:p>
      <w:pPr>
        <w:spacing w:after="0" w:line="135" w:lineRule="exact"/>
        <w:rPr>
          <w:sz w:val="20"/>
          <w:szCs w:val="20"/>
          <w:color w:val="auto"/>
        </w:rPr>
      </w:pPr>
    </w:p>
    <w:p>
      <w:pPr>
        <w:jc w:val="both"/>
        <w:ind w:left="1080" w:right="20" w:hanging="424"/>
        <w:spacing w:after="0" w:line="261" w:lineRule="auto"/>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24, 2025, iQIYI issued US$350 million convertible senior notes (the “iQIYI 2030 Convertible Notes”). The iQIYI 2030 Convertible Notes are senior, unsecured obligations of iQIYI, and interest is payable quarterly in cash at a rate of 4.625% per annum on March 15, June 15 September 15 and December 15 of each year, beginning on June 15, 2025. The iQIYI 2030 Convertible Notes will mature on March 15, 2030 unless redeemed, repurchased or converted prior to such date.</w:t>
      </w:r>
    </w:p>
    <w:p>
      <w:pPr>
        <w:spacing w:after="0" w:line="179" w:lineRule="exact"/>
        <w:rPr>
          <w:rFonts w:ascii="Times New Roman" w:cs="Times New Roman" w:eastAsia="Times New Roman" w:hAnsi="Times New Roman"/>
          <w:sz w:val="18"/>
          <w:szCs w:val="18"/>
          <w:color w:val="auto"/>
        </w:rPr>
      </w:pPr>
    </w:p>
    <w:p>
      <w:pPr>
        <w:jc w:val="both"/>
        <w:ind w:left="110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conversion rate of the iQIYI 2030 Convertible Notes is 324.0966 of iQIYI’s ADS per US$1,000 principal amount of the iQIYI 2030 Convertible Notes (which is equivalent to an initial conversion price of approximately US$3.09 per ADS). Prior to September 15, 2029, the iQIYI 2030 Convertible Notes will be convertible at the option of the holders only upon the following circumstances: (1) during any calendar quarter commencing after the calendar quarter ending on June 30, 2025 (and only during such calendar quarter), if the last reported sale price of ADSs for at least 20 trading days (whether or not consecutive) during a period of 30 consecutive trading days ending on, and including, the last trading day of the immediately preceding calendar quarter is greater than or equal to 130% of the conversion price; (2) during the five business day period after any ten consecutive trading day period in which the trading price per US$1,000 principal amount of notes was less than 98% of the product of the last reported sale price of the ADSs and the conversion rate on each such trading day; (3) if iQIYI calls the notes for a tax redemption or an optional redemption; or (4) upon the occurrence of specified corporate events. Thereafter, the iQIYI 2030 Convertible Notes will be convertible at the option of the holders at any time until the close of business on the second scheduled trading day immediately preceding the maturity date. The conversion rate is subject to adjustment in some events but is not adjusted for any accrued and unpaid interest. In addition, following a make-whole fundamental change that occurs prior to the maturity date or following iQIYI’s delivery of a notice of a tax redemption, iQIYI will increase the conversion rate for a holder who elects to convert its notes in connection with such a corporate event or such tax redemption. Upon conversion, iQIYI will pay or deliver to such converting holders, as the case may be, cash, ADSs, or a combination of cash and ADSs, at its election.</w:t>
      </w:r>
    </w:p>
    <w:p>
      <w:pPr>
        <w:spacing w:after="0" w:line="195" w:lineRule="exact"/>
        <w:rPr>
          <w:rFonts w:ascii="Times New Roman" w:cs="Times New Roman" w:eastAsia="Times New Roman" w:hAnsi="Times New Roman"/>
          <w:sz w:val="18"/>
          <w:szCs w:val="18"/>
          <w:color w:val="auto"/>
        </w:rPr>
      </w:pPr>
    </w:p>
    <w:p>
      <w:pPr>
        <w:jc w:val="both"/>
        <w:ind w:left="110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may require iQIYI to repurchase all or a portion of the iQIYI 2030 Convertible Notes for cash on March 15, 2028, or upon a fundamental change, at a repurchase price equal to 100% of the principal amount, plus accrued and unpaid interest. On or after March 20, 2028, iQIYI may redeem for cash all or part of the iQIYI 2030 Convertible Notes, at its option, if the last reported sale price of the ADSs has been at least 130% of the conversion price then in effect on (i) each of at least 20 trading days (whether or not consecutive) during the period of 30 consecutive trading days ending on, and including, the trading day immediately prior to the date iQIYI provides the optional redemption notice and (ii) the trading day immediately preceding the date iQIYI provides the optional redemption notice.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165</w:t>
      </w:r>
    </w:p>
    <w:p>
      <w:pPr>
        <w:sectPr>
          <w:pgSz w:w="11900" w:h="16838" w:orient="portrait"/>
          <w:cols w:equalWidth="0" w:num="1">
            <w:col w:w="11140"/>
          </w:cols>
          <w:pgMar w:left="320" w:top="482" w:right="43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If any event of default are to take place, the trustee or the holders of at least 25% in aggregate principal amount may declare the whole principal of (or, in the case of the iQIYI PAG Convertible Notes, 120% or 130% of the principal amount for such notes, as the case may be, depending on the date of occurrence of the event of default), and accrued and unpaid interest on, all the outstanding convertible senior notes to be due and payable immediately, subject to certain exceptions and conditions under the respective indenture. iQIYI may also be required to pay additional interest. If any fundamental change are to take place, holders of the iQIYI Convertible Notes will have the right, at their option, to require iQIYI to repurchase all of their notes or any portion of the principal amount (or, in the case of the iQIYI PAG Convertible Notes, 120% or 130% of the principal amount for such notes, as the case may be, depending on the date of occurrence of the fundamental change), and accrued and unpaid interests. In the event of a fundamental change, iQIYI may also be required to issue additional ADSs upon conversion of its convertible notes. As of December 31, 2025, there was no such event of default or fundamental change.</w:t>
      </w:r>
    </w:p>
    <w:p>
      <w:pPr>
        <w:spacing w:after="0" w:line="188"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We may use the net proceeds from our issuance and sale of the notes to fund the operations of our Chinese mainland subsidiaries by making additional capital contributions to our existing Chinese mainland subsidiaries, injecting capital to establish new Chinese mainland subsidiaries and/or providing loans to our Chinese mainland subsidiaries. Such transfer of funds from Baidu, Inc. or any of our offshore subsidiaries to our Chinese mainland subsidiaries is subject to the PRC regulatory restrictions and procedures: (i) capital increase of the existing Chinese mainland subsidiaries and establishment of new Chinese mainland subsidiaries must be registered with the local branch of SAMR and reported to the Ministry of Commerce via the online enterprise registration system, and registered with local banks authorized by SAFE; and (ii) loans to any of our Chinese mainland subsidiaries must not exceed the statutory limit and must be filed with SAFE. See “Item 3.D. Key Information—Risk Factors—Risks Related to Doing Business in China—Chinese mainland’s regulation of loans to and direct investment in entities in Chinese mainland by offshore holding companies and governmental control of currency conversion may delay or prevent us from making loans to our Chinese mainland subsidiaries, the variable interest entities and certain related parties, or making additional capital contributions to our Chinese mainland subsidiaries, which could adversely affect our ability to fund and expand our business.”</w:t>
      </w:r>
    </w:p>
    <w:p>
      <w:pPr>
        <w:spacing w:after="0" w:line="192"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As of December 31, 2024 and 2025, we had RMB51.8 billion and RMB73.7 billion (US$10.5 billion) in long-term loans and notes payable (including current portion of RMB8.2 billion and RMB19.3 billion (US$2.8 billion)), RMB8.6 billion and RMB8.2 billion (USD1.2 billion) in long-term convertible notes (including current portion of RMB242 million and RMB1.5 billion (US$209 million)), RMB8.3 billion and RMB7.6 billion (US$1.1 billion) in lease liabilities (including current portion of RMB3.3 billion and RMB3.5 billion (US$494 million)) and had RMB10.7 billion and RMB7.6 billion (US$1.1 billion) in short-term loans, respectively.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Accounting for Convertible Senior Notes</w:t>
      </w:r>
    </w:p>
    <w:p>
      <w:pPr>
        <w:spacing w:after="0" w:line="121"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As the iQIYI 2026 Convertible Notes, the iQIYI 2028 Convertible Notes, the iQIYI 2030 Convertible Notes and the iQIYI PAG Convertible Notes (collectively as the “iQIYI Convertible Notes”) were not issued at a substantial premium, all of the proceeds received from the issuance of the iQIYI Convertible Notes are recorded as a liability on the consolidated balance sheet in accordance with ASC 470-20. That is, no portion of the proceeds from issuing the iQIYI Convertible Notes are attributed to the conversion option at inception. The difference between the principal amount of each of the iQIYI Convertible Notes and net proceeds from the issuance is considered debt discount and is amortized at their respective effective interest rates to accrete the carrying value of the iQIYI Convertible Notes to its face value (120% or 130% of the principal amount for iQIYI PAG Convertible Notes) on the respective put dates or maturity dates of the iQIYI Convertible Notes. For the year ended December 31, 2025, the effective interest rates of the iQIYI PAG Convertible Notes, the iQIYI 2028 Convertible Notes and the iQIYI 2030 Convertible Notes were 10.20%, 7.15% and 5.28%, respectively.</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166</w:t>
      </w:r>
    </w:p>
    <w:p>
      <w:pPr>
        <w:sectPr>
          <w:pgSz w:w="11900" w:h="16838" w:orient="portrait"/>
          <w:cols w:equalWidth="0" w:num="1">
            <w:col w:w="11140"/>
          </w:cols>
          <w:pgMar w:left="320" w:top="482" w:right="43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net proceeds from the issuance of the iQIYI 2028 Convertible Notes and the iQIYI 2030 Convertible Notes were US$590 million and US$344 million, net of issuance costs of US$10 million and US$6 million from the initial proceeds of US$600 million and US$350 million, respectively.</w:t>
      </w:r>
    </w:p>
    <w:p>
      <w:pPr>
        <w:spacing w:after="0" w:line="176"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In accordance with the facility agreements entered into in August 2024, upon the iQIYI PAG Convertible Notes total drawdown of US$400 million in August 2024, the iQIYI PAG Convertible Notes repurchase right for the US$523 million principal of the iQIYI PAG Convertible Notes on or shortly after the third anniversary of the issuance date was waived. It was accounted for as a debt modification pursuant to ASC 470-50, </w:t>
      </w:r>
      <w:r>
        <w:rPr>
          <w:rFonts w:ascii="Times New Roman" w:cs="Times New Roman" w:eastAsia="Times New Roman" w:hAnsi="Times New Roman"/>
          <w:sz w:val="18"/>
          <w:szCs w:val="18"/>
          <w:i w:val="1"/>
          <w:iCs w:val="1"/>
          <w:color w:val="auto"/>
        </w:rPr>
        <w:t>Debt—Modifications and Extinguishment</w:t>
      </w:r>
      <w:r>
        <w:rPr>
          <w:rFonts w:ascii="Times New Roman" w:cs="Times New Roman" w:eastAsia="Times New Roman" w:hAnsi="Times New Roman"/>
          <w:sz w:val="18"/>
          <w:szCs w:val="18"/>
          <w:color w:val="auto"/>
        </w:rPr>
        <w:t xml:space="preserve"> (“ASC 470-50”), resulting in the effective interest rates of the iQIYI PAG Convertible Notes held by PAG decreased from 12.05% to 10.20%.</w:t>
      </w:r>
    </w:p>
    <w:p>
      <w:pPr>
        <w:spacing w:after="0" w:line="183"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Following settlement of the repurchase, a difference between the net carrying amount of the repurchased iQIYI Convertible Notes and the repurchased price was recognized as extinguishment gain and reported in “Others, net” in the consolidated statements of comprehensive income.</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carrying amount of the iQIYI Convertible Notes as of December 31, 2024 and 2025 were as follows: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6740" w:type="dxa"/>
            <w:vAlign w:val="bottom"/>
          </w:tcPr>
          <w:p>
            <w:pPr>
              <w:spacing w:after="0"/>
              <w:rPr>
                <w:sz w:val="15"/>
                <w:szCs w:val="15"/>
                <w:color w:val="auto"/>
              </w:rPr>
            </w:pP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520" w:type="dxa"/>
            <w:vAlign w:val="bottom"/>
          </w:tcPr>
          <w:p>
            <w:pPr>
              <w:spacing w:after="0"/>
              <w:rPr>
                <w:sz w:val="15"/>
                <w:szCs w:val="15"/>
                <w:color w:val="auto"/>
              </w:rPr>
            </w:pPr>
          </w:p>
        </w:tc>
        <w:tc>
          <w:tcPr>
            <w:tcW w:w="2120" w:type="dxa"/>
            <w:vAlign w:val="bottom"/>
            <w:gridSpan w:val="11"/>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r>
      <w:tr>
        <w:trPr>
          <w:trHeight w:val="142"/>
        </w:trPr>
        <w:tc>
          <w:tcPr>
            <w:tcW w:w="6740" w:type="dxa"/>
            <w:vAlign w:val="bottom"/>
          </w:tcPr>
          <w:p>
            <w:pPr>
              <w:spacing w:after="0"/>
              <w:rPr>
                <w:sz w:val="12"/>
                <w:szCs w:val="12"/>
                <w:color w:val="auto"/>
              </w:rPr>
            </w:pPr>
          </w:p>
        </w:tc>
        <w:tc>
          <w:tcPr>
            <w:tcW w:w="1520" w:type="dxa"/>
            <w:vAlign w:val="bottom"/>
            <w:tcBorders>
              <w:top w:val="single" w:sz="8" w:color="auto"/>
              <w:bottom w:val="single" w:sz="8" w:color="auto"/>
            </w:tcBorders>
          </w:tcPr>
          <w:p>
            <w:pPr>
              <w:jc w:val="right"/>
              <w:ind w:right="517"/>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5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4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gridSpan w:val="2"/>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20" w:type="dxa"/>
            <w:vAlign w:val="bottom"/>
          </w:tcPr>
          <w:p>
            <w:pPr>
              <w:spacing w:after="0"/>
              <w:rPr>
                <w:sz w:val="12"/>
                <w:szCs w:val="12"/>
                <w:color w:val="auto"/>
              </w:rPr>
            </w:pPr>
          </w:p>
        </w:tc>
      </w:tr>
      <w:tr>
        <w:trPr>
          <w:trHeight w:val="142"/>
        </w:trPr>
        <w:tc>
          <w:tcPr>
            <w:tcW w:w="67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3"/>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w:t>
            </w:r>
          </w:p>
        </w:tc>
        <w:tc>
          <w:tcPr>
            <w:tcW w:w="1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8,161</w:t>
            </w:r>
          </w:p>
        </w:tc>
        <w:tc>
          <w:tcPr>
            <w:tcW w:w="1420" w:type="dxa"/>
            <w:vAlign w:val="bottom"/>
            <w:gridSpan w:val="5"/>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7,583</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120" w:type="dxa"/>
            <w:vAlign w:val="bottom"/>
            <w:tcBorders>
              <w:left w:val="single" w:sz="8" w:color="CCEEFF"/>
            </w:tcBorders>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Less: unamortized discount and debt issuance costs</w:t>
            </w:r>
          </w:p>
        </w:tc>
        <w:tc>
          <w:tcPr>
            <w:tcW w:w="1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(432)</w:t>
            </w:r>
          </w:p>
        </w:tc>
        <w:tc>
          <w:tcPr>
            <w:tcW w:w="1420" w:type="dxa"/>
            <w:vAlign w:val="bottom"/>
            <w:gridSpan w:val="5"/>
          </w:tcPr>
          <w:p>
            <w:pPr>
              <w:jc w:val="right"/>
              <w:ind w:right="200"/>
              <w:spacing w:after="0"/>
              <w:rPr>
                <w:sz w:val="20"/>
                <w:szCs w:val="20"/>
                <w:color w:val="auto"/>
              </w:rPr>
            </w:pPr>
            <w:r>
              <w:rPr>
                <w:rFonts w:ascii="Times New Roman" w:cs="Times New Roman" w:eastAsia="Times New Roman" w:hAnsi="Times New Roman"/>
                <w:sz w:val="18"/>
                <w:szCs w:val="18"/>
                <w:color w:val="auto"/>
              </w:rPr>
              <w:t>(588)</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(84)</w:t>
            </w:r>
          </w:p>
        </w:tc>
      </w:tr>
      <w:tr>
        <w:trPr>
          <w:trHeight w:val="27"/>
        </w:trPr>
        <w:tc>
          <w:tcPr>
            <w:tcW w:w="6740" w:type="dxa"/>
            <w:vAlign w:val="bottom"/>
          </w:tcPr>
          <w:p>
            <w:pPr>
              <w:spacing w:after="0"/>
              <w:rPr>
                <w:sz w:val="2"/>
                <w:szCs w:val="2"/>
                <w:color w:val="auto"/>
              </w:rPr>
            </w:pPr>
          </w:p>
        </w:tc>
        <w:tc>
          <w:tcPr>
            <w:tcW w:w="1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carrying amount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8,593</w:t>
            </w:r>
          </w:p>
        </w:tc>
        <w:tc>
          <w:tcPr>
            <w:tcW w:w="12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90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8,171</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120" w:type="dxa"/>
            <w:vAlign w:val="bottom"/>
            <w:tcBorders>
              <w:left w:val="single" w:sz="8" w:color="CCEEFF"/>
            </w:tcBorders>
            <w:shd w:val="clear" w:color="auto" w:fill="CCEEFF"/>
          </w:tcPr>
          <w:p>
            <w:pPr>
              <w:spacing w:after="0"/>
              <w:rPr>
                <w:sz w:val="18"/>
                <w:szCs w:val="18"/>
                <w:color w:val="auto"/>
              </w:rPr>
            </w:pPr>
          </w:p>
        </w:tc>
      </w:tr>
      <w:tr>
        <w:trPr>
          <w:trHeight w:val="20"/>
        </w:trPr>
        <w:tc>
          <w:tcPr>
            <w:tcW w:w="674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26"/>
        </w:trPr>
        <w:tc>
          <w:tcPr>
            <w:tcW w:w="940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For the years ended December 31, 2023, 2024 and 2025, the amounts of interest cost recognized were as follows:</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92"/>
        </w:trPr>
        <w:tc>
          <w:tcPr>
            <w:tcW w:w="67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120" w:type="dxa"/>
            <w:vAlign w:val="bottom"/>
            <w:gridSpan w:val="11"/>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r>
      <w:tr>
        <w:trPr>
          <w:trHeight w:val="142"/>
        </w:trPr>
        <w:tc>
          <w:tcPr>
            <w:tcW w:w="67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160" w:type="dxa"/>
            <w:vAlign w:val="bottom"/>
            <w:tcBorders>
              <w:top w:val="single" w:sz="8" w:color="auto"/>
            </w:tcBorders>
          </w:tcPr>
          <w:p>
            <w:pPr>
              <w:spacing w:after="0"/>
              <w:rPr>
                <w:sz w:val="12"/>
                <w:szCs w:val="12"/>
                <w:color w:val="auto"/>
              </w:rPr>
            </w:pPr>
          </w:p>
        </w:tc>
        <w:tc>
          <w:tcPr>
            <w:tcW w:w="400" w:type="dxa"/>
            <w:vAlign w:val="bottom"/>
            <w:tcBorders>
              <w:top w:val="single" w:sz="8" w:color="auto"/>
              <w:bottom w:val="single" w:sz="8" w:color="auto"/>
            </w:tcBorders>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tcBorders>
          </w:tcPr>
          <w:p>
            <w:pPr>
              <w:spacing w:after="0"/>
              <w:rPr>
                <w:sz w:val="12"/>
                <w:szCs w:val="12"/>
                <w:color w:val="auto"/>
              </w:rPr>
            </w:pPr>
          </w:p>
        </w:tc>
        <w:tc>
          <w:tcPr>
            <w:tcW w:w="940" w:type="dxa"/>
            <w:vAlign w:val="bottom"/>
            <w:tcBorders>
              <w:top w:val="single" w:sz="8" w:color="auto"/>
              <w:bottom w:val="single" w:sz="8" w:color="auto"/>
            </w:tcBorders>
            <w:gridSpan w:val="5"/>
          </w:tcPr>
          <w:p>
            <w:pPr>
              <w:jc w:val="right"/>
              <w:ind w:right="22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r>
      <w:tr>
        <w:trPr>
          <w:trHeight w:val="142"/>
        </w:trPr>
        <w:tc>
          <w:tcPr>
            <w:tcW w:w="67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1"/>
              </w:rPr>
              <w:t>RMB</w:t>
            </w:r>
          </w:p>
        </w:tc>
        <w:tc>
          <w:tcPr>
            <w:tcW w:w="1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1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gridSpan w:val="3"/>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20" w:type="dxa"/>
            <w:vAlign w:val="bottom"/>
          </w:tcPr>
          <w:p>
            <w:pPr>
              <w:spacing w:after="0"/>
              <w:rPr>
                <w:sz w:val="12"/>
                <w:szCs w:val="12"/>
                <w:color w:val="auto"/>
              </w:rPr>
            </w:pPr>
          </w:p>
        </w:tc>
      </w:tr>
      <w:tr>
        <w:trPr>
          <w:trHeight w:val="142"/>
        </w:trPr>
        <w:tc>
          <w:tcPr>
            <w:tcW w:w="67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6"/>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Contractual interest expense</w:t>
            </w: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644</w:t>
            </w:r>
          </w:p>
        </w:tc>
        <w:tc>
          <w:tcPr>
            <w:tcW w:w="5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571</w:t>
            </w:r>
          </w:p>
        </w:tc>
        <w:tc>
          <w:tcPr>
            <w:tcW w:w="4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462</w:t>
            </w:r>
          </w:p>
        </w:tc>
        <w:tc>
          <w:tcPr>
            <w:tcW w:w="6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the discount and issuance costs</w:t>
            </w: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292</w:t>
            </w:r>
          </w:p>
        </w:tc>
        <w:tc>
          <w:tcPr>
            <w:tcW w:w="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278</w:t>
            </w:r>
          </w:p>
        </w:tc>
        <w:tc>
          <w:tcPr>
            <w:tcW w:w="4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236</w:t>
            </w:r>
          </w:p>
        </w:tc>
        <w:tc>
          <w:tcPr>
            <w:tcW w:w="6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34</w:t>
            </w:r>
          </w:p>
        </w:tc>
      </w:tr>
      <w:tr>
        <w:trPr>
          <w:trHeight w:val="27"/>
        </w:trPr>
        <w:tc>
          <w:tcPr>
            <w:tcW w:w="67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right w:val="single" w:sz="8" w:color="auto"/>
            </w:tcBorders>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r>
      <w:tr>
        <w:trPr>
          <w:trHeight w:val="21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936</w:t>
            </w:r>
          </w:p>
        </w:tc>
        <w:tc>
          <w:tcPr>
            <w:tcW w:w="5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849</w:t>
            </w:r>
          </w:p>
        </w:tc>
        <w:tc>
          <w:tcPr>
            <w:tcW w:w="4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698</w:t>
            </w:r>
          </w:p>
        </w:tc>
        <w:tc>
          <w:tcPr>
            <w:tcW w:w="6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67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As of December 31, 2025, the iQIYI PAG Convertible Notes, the iQIYI 2028 Convertible Notes and the iQIYI 2030 Convertible Notes will be accreted up to the principal amount of US$679 million (130% of the principal amount of the iQIYI PAG Convertible Notes held by PAG), US$208 million and US$350 million over a remaining period of 2.00 years, 0.21 years and 2.21 years, respectively. The amount repayable within the next twelve months are classified as “Convertible senior notes, current portion” on the consolidated balance sheets.</w:t>
      </w:r>
    </w:p>
    <w:p>
      <w:pPr>
        <w:spacing w:after="0" w:line="180"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The aggregate amounts upon scheduled maturities of US$0.1 million, US$887 million and US$350 million of the iQIYI Convertible Notes will be repaid when they become due in 2026, 2028 and 2030, respectively, assuming there is no conversion of the iQIYI Convertible Notes, no redemption of the iQIYI Convertible Notes prior to their maturities, the convertible senior notes holders hold the iQIYI Convertible Notes until their maturities and iQIYI elects to fully settle the iQIYI Convertible Notes in cash.</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21"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As of December 31, 2024, and 2025, we had RMB237.7 billion and RMB239.4 billion (US$34.2 billion) in cash, cash equivalents, restricted cash, short-term investments and long-term time deposits and held-to-maturity investments. As of December 31, 2024, we had RMB60 million in long-term restricted cash, which was included in “Other non-current assets” in the consolidated balance sheet, and long-term restricted cash was immaterial as of December 31, 2025.</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167</w:t>
      </w:r>
    </w:p>
    <w:p>
      <w:pPr>
        <w:sectPr>
          <w:pgSz w:w="11900" w:h="16838" w:orient="portrait"/>
          <w:cols w:equalWidth="0" w:num="1">
            <w:col w:w="11140"/>
          </w:cols>
          <w:pgMar w:left="320" w:top="482" w:right="43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In 2021, we made payments of US$1.9 billion and deposited US$1.6 billion into escrow in connection with a proposed acquisition of YY Live at the time. As the original transaction did not close, these amounts were recorded as receivables related to the proposed acquisition and restricted cash, respectively, on the consolidated balance sheets. On February 25, 2025, Baidu (Hong Kong) Limited entered into new agreements with JOYY Inc and completed the acquisition of 100% equity interests in YY Live. The purchase consideration included the US$1.9 billion previously paid and an additional cash payment of approximately US$240 million. Upon closing, the US$1.6 billion held in escrow was fully released back to us. The results of</w:t>
      </w:r>
    </w:p>
    <w:p>
      <w:pPr>
        <w:spacing w:after="0" w:line="3" w:lineRule="exact"/>
        <w:rPr>
          <w:sz w:val="20"/>
          <w:szCs w:val="20"/>
          <w:color w:val="auto"/>
        </w:rPr>
      </w:pPr>
    </w:p>
    <w:p>
      <w:pPr>
        <w:jc w:val="both"/>
        <w:ind w:left="120" w:right="20" w:hanging="4"/>
        <w:spacing w:after="0" w:line="255" w:lineRule="auto"/>
        <w:tabs>
          <w:tab w:leader="none" w:pos="443"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Live’s operations have been included in our consolidated financial statements since the acquisition date. See “Item 3.D. Key Information—Risk Factors—Risks Related to Our Business and Industry—We may not be able to achieve the anticipated benefits of our acquisition of YY Live, and face other risks associated with the acquisition and the operation of YY Live.”</w:t>
      </w:r>
    </w:p>
    <w:p>
      <w:pPr>
        <w:spacing w:after="0" w:line="1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a summary of our cash flows for the years indicated:</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86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5"/>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7860" w:type="dxa"/>
            <w:vAlign w:val="bottom"/>
          </w:tcPr>
          <w:p>
            <w:pPr>
              <w:spacing w:after="0"/>
              <w:rPr>
                <w:sz w:val="12"/>
                <w:szCs w:val="12"/>
                <w:color w:val="auto"/>
              </w:rPr>
            </w:pPr>
          </w:p>
        </w:tc>
        <w:tc>
          <w:tcPr>
            <w:tcW w:w="620" w:type="dxa"/>
            <w:vAlign w:val="bottom"/>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740" w:type="dxa"/>
            <w:vAlign w:val="bottom"/>
            <w:gridSpan w:val="2"/>
          </w:tcPr>
          <w:p>
            <w:pPr>
              <w:jc w:val="right"/>
              <w:ind w:right="8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84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2"/>
        </w:trPr>
        <w:tc>
          <w:tcPr>
            <w:tcW w:w="7860" w:type="dxa"/>
            <w:vAlign w:val="bottom"/>
          </w:tcPr>
          <w:p>
            <w:pPr>
              <w:spacing w:after="0"/>
              <w:rPr>
                <w:sz w:val="12"/>
                <w:szCs w:val="12"/>
                <w:color w:val="auto"/>
              </w:rPr>
            </w:pPr>
          </w:p>
        </w:tc>
        <w:tc>
          <w:tcPr>
            <w:tcW w:w="620" w:type="dxa"/>
            <w:vAlign w:val="bottom"/>
            <w:tcBorders>
              <w:top w:val="single" w:sz="8" w:color="auto"/>
              <w:bottom w:val="single" w:sz="8" w:color="auto"/>
            </w:tcBorders>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62"/>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Borders>
              <w:bottom w:val="single" w:sz="8" w:color="auto"/>
            </w:tcBorders>
          </w:tcPr>
          <w:p>
            <w:pPr>
              <w:spacing w:after="0"/>
              <w:rPr>
                <w:sz w:val="12"/>
                <w:szCs w:val="12"/>
                <w:color w:val="auto"/>
              </w:rPr>
            </w:pPr>
          </w:p>
        </w:tc>
        <w:tc>
          <w:tcPr>
            <w:tcW w:w="840" w:type="dxa"/>
            <w:vAlign w:val="bottom"/>
            <w:tcBorders>
              <w:top w:val="single" w:sz="8" w:color="auto"/>
              <w:bottom w:val="single" w:sz="8" w:color="auto"/>
            </w:tcBorders>
            <w:gridSpan w:val="2"/>
          </w:tcPr>
          <w:p>
            <w:pPr>
              <w:jc w:val="right"/>
              <w:ind w:right="36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520" w:type="dxa"/>
            <w:vAlign w:val="bottom"/>
            <w:tcBorders>
              <w:top w:val="single" w:sz="8" w:color="auto"/>
              <w:bottom w:val="single" w:sz="8" w:color="auto"/>
            </w:tcBorders>
          </w:tcPr>
          <w:p>
            <w:pPr>
              <w:jc w:val="right"/>
              <w:ind w:right="53"/>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20" w:type="dxa"/>
            <w:vAlign w:val="bottom"/>
          </w:tcPr>
          <w:p>
            <w:pPr>
              <w:spacing w:after="0"/>
              <w:rPr>
                <w:sz w:val="12"/>
                <w:szCs w:val="12"/>
                <w:color w:val="auto"/>
              </w:rPr>
            </w:pPr>
          </w:p>
        </w:tc>
      </w:tr>
      <w:tr>
        <w:trPr>
          <w:trHeight w:val="142"/>
        </w:trPr>
        <w:tc>
          <w:tcPr>
            <w:tcW w:w="78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4"/>
          </w:tcPr>
          <w:p>
            <w:pPr>
              <w:jc w:val="right"/>
              <w:ind w:right="62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by/(used in) operating activities</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36,615</w:t>
            </w:r>
          </w:p>
        </w:tc>
        <w:tc>
          <w:tcPr>
            <w:tcW w:w="9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21,234</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(3,013)</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(431)</w:t>
            </w: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(50,397)</w:t>
            </w:r>
          </w:p>
        </w:tc>
        <w:tc>
          <w:tcPr>
            <w:tcW w:w="9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(8,555)</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(25,136)</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(3,594)</w:t>
            </w:r>
          </w:p>
        </w:tc>
      </w:tr>
      <w:tr>
        <w:trPr>
          <w:trHeight w:val="216"/>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by/(used in) financing activities</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(14,162)</w:t>
            </w:r>
          </w:p>
        </w:tc>
        <w:tc>
          <w:tcPr>
            <w:tcW w:w="9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(13,759)</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17,142</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2,451</w:t>
            </w: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282</w:t>
            </w:r>
          </w:p>
        </w:tc>
        <w:tc>
          <w:tcPr>
            <w:tcW w:w="9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95</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(751)</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(107)</w:t>
            </w:r>
          </w:p>
        </w:tc>
      </w:tr>
      <w:tr>
        <w:trPr>
          <w:trHeight w:val="27"/>
        </w:trPr>
        <w:tc>
          <w:tcPr>
            <w:tcW w:w="78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(27,662)</w:t>
            </w:r>
          </w:p>
        </w:tc>
        <w:tc>
          <w:tcPr>
            <w:tcW w:w="2440" w:type="dxa"/>
            <w:vAlign w:val="bottom"/>
            <w:gridSpan w:val="7"/>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(985)   (11,758)   (1,681)</w:t>
            </w:r>
          </w:p>
        </w:tc>
      </w:tr>
      <w:tr>
        <w:trPr>
          <w:trHeight w:val="223"/>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the year</w:t>
            </w:r>
          </w:p>
        </w:tc>
        <w:tc>
          <w:tcPr>
            <w:tcW w:w="62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w w:val="92"/>
              </w:rPr>
              <w:t>65,236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37,574</w:t>
            </w:r>
          </w:p>
        </w:tc>
        <w:tc>
          <w:tcPr>
            <w:tcW w:w="22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36,589</w:t>
            </w:r>
          </w:p>
        </w:tc>
        <w:tc>
          <w:tcPr>
            <w:tcW w:w="220" w:type="dxa"/>
            <w:vAlign w:val="bottom"/>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5,232</w:t>
            </w:r>
          </w:p>
        </w:tc>
        <w:tc>
          <w:tcPr>
            <w:tcW w:w="120" w:type="dxa"/>
            <w:vAlign w:val="bottom"/>
          </w:tcPr>
          <w:p>
            <w:pPr>
              <w:spacing w:after="0"/>
              <w:rPr>
                <w:sz w:val="19"/>
                <w:szCs w:val="19"/>
                <w:color w:val="auto"/>
              </w:rPr>
            </w:pPr>
          </w:p>
        </w:tc>
      </w:tr>
      <w:tr>
        <w:trPr>
          <w:trHeight w:val="216"/>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the year</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37,574</w:t>
            </w:r>
          </w:p>
        </w:tc>
        <w:tc>
          <w:tcPr>
            <w:tcW w:w="9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36,589</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24,831</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3,551</w:t>
            </w: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Net cash used in operating activities was RMB3.0 billion (US$431 million) in 2025, compared to net cash provided by operating activities of RMB21.2 billion in 2024. This change was primarily due to a net decrease of RMB14.5 billion (US$2.1 billion) in changes in working capital.</w:t>
      </w:r>
    </w:p>
    <w:p>
      <w:pPr>
        <w:spacing w:after="0" w:line="162"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Net cash provided by operating activities decreased to RMB21.2 billion in 2024 from RMB36.6 billion in 2023. This decrease was primarily due to a net decrease of RMB14.4 billion in changes in working capital.</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RMB25.1 billion (US$3.6 billion) in 2025, consisting primarily of RMB13.0 billion (US$1.9 billion) in net purchase of wealth management products and deposits and RMB12.1 billion (US$1.7 billion) in acquisition of fixed assets, partially offset by RMB3.9 billion (US$563 million) in proceeds from disposal of equity investments.</w:t>
      </w:r>
    </w:p>
    <w:p>
      <w:pPr>
        <w:spacing w:after="0" w:line="176"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RMB8.6 billion in 2024, consisting primarily of RMB6.3 billion in net purchase of wealth management products and deposits, RMB8.1 billion in acquisition of fixed assets, RMB2.4 billion in loans provided to third parties, RMB6.7 billion in proceeds from disposal of equity investments, and RMB2.5 billion in distribution from equity method investees.</w:t>
      </w:r>
    </w:p>
    <w:p>
      <w:pPr>
        <w:spacing w:after="0" w:line="176"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Net cash used in investing activities was RMB50.4 billion in 2023, consisting primarily of RMB198.7 billion in purchase of held-to-maturity investments, RMB11.2 billion in acquisition of fixed assets, RMB3.3 billion in purchase of available-for-sale investments, RMB1.5 billion in purchase of equity investments, RMB152.9 billion in maturities of held-to-maturity investments, RMB6.9 billion in proceeds from disposal of equity investments, RMB3.9 billion in repayments of loans provided to related parties and RMB2.2 billion in sales and maturities of available-for-sale investments.</w:t>
      </w:r>
    </w:p>
    <w:p>
      <w:pPr>
        <w:spacing w:after="0" w:line="1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168</w:t>
      </w:r>
    </w:p>
    <w:p>
      <w:pPr>
        <w:sectPr>
          <w:pgSz w:w="11900" w:h="16838" w:orient="portrait"/>
          <w:cols w:equalWidth="0" w:num="1">
            <w:col w:w="11140"/>
          </w:cols>
          <w:pgMar w:left="320" w:top="482" w:right="43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was RMB17.1 billion (US$2.5 billion) in 2025, consisting primarily of net proceeds of RMB20.8 billion (US$3.0 billion) from long-term notes and proceeds of RMB2.4 billion (US$339 million) from issuance of redeemable noncontrolling interests, partially offset by RMB5.5 billion (US$792 million) used to repurchase of our shares.</w:t>
      </w:r>
    </w:p>
    <w:p>
      <w:pPr>
        <w:spacing w:after="0" w:line="176"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was RMB13.8 billion in 2024, consisting primarily of net repayment of RMB4.6 billion for short-term and long-term loans, RMB6.3 billion used to repurchase of our shares, and repayment of RMB2.9 billion for convertible senior notes by iQIYI.</w:t>
      </w:r>
    </w:p>
    <w:p>
      <w:pPr>
        <w:spacing w:after="0" w:line="162"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Net cash used in financing activities was RMB14.2 billion in 2023, consisting primarily of repayment of RMB11.7 billion for convertible senior notes by iQIYI, repayment of RMB11.0 billion for short-term loans, repayment of RMB7.3 billion for long-term loans and RMB4.8 billion used to repurchase our shares, offset by RMB15.9 billion proceeds from short-term loans, RMB4.4 billion net proceeds from the issuance of convertible notes by iQIYI and RMB3.5 billion proceeds from issuance of shares of our subsidiaries.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p>
      <w:pPr>
        <w:spacing w:after="0" w:line="121"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made capital expenditures of RMB11.2 billion, RMB8.1 billion and RMB12.1 billion (US$1.7 billion) in 2023, 2024 and 2025, representing 8%, 6% and 9% of our revenue, respectively. In the years of 2023, 2024 and 2025, our capital expenditures were primarily attributable to the purchase of servers, network equipment and other computer hardware to increase our network infrastructure capacity and support Gen-AI research and development inputs.</w:t>
      </w:r>
    </w:p>
    <w:p>
      <w:pPr>
        <w:spacing w:after="0" w:line="180"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Our capital expenditures may increase in the future as our business continues to grow, in connection with the expansion and improvement of our network infrastructure and the construction of cloud-computing based data centers. We currently plan to fund these expenditures with our current cash, cash equivalents, restricted cash, short-term investments, loans and anticipated cash flow generated from our operating activities.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Material Cash Requirements</w:t>
      </w:r>
    </w:p>
    <w:p>
      <w:pPr>
        <w:spacing w:after="0" w:line="121" w:lineRule="exact"/>
        <w:rPr>
          <w:sz w:val="20"/>
          <w:szCs w:val="20"/>
          <w:color w:val="auto"/>
        </w:rPr>
      </w:pPr>
    </w:p>
    <w:p>
      <w:pPr>
        <w:jc w:val="both"/>
        <w:ind w:left="120" w:firstLine="440"/>
        <w:spacing w:after="0" w:line="282" w:lineRule="auto"/>
        <w:rPr>
          <w:sz w:val="20"/>
          <w:szCs w:val="20"/>
          <w:color w:val="auto"/>
        </w:rPr>
      </w:pPr>
      <w:r>
        <w:rPr>
          <w:rFonts w:ascii="Times New Roman" w:cs="Times New Roman" w:eastAsia="Times New Roman" w:hAnsi="Times New Roman"/>
          <w:sz w:val="18"/>
          <w:szCs w:val="18"/>
          <w:color w:val="auto"/>
        </w:rPr>
        <w:t>Our material cash requirements as of December 31, 2025 and any subsequent interim period primarily include payments due for our debt obligations, purchase obligations, lease obligations and investment commitment obligations.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debt obligations primarily consist of short-term loans, long-term loans, notes payable and convertible notes and estimated interest payments.</w:t>
      </w:r>
    </w:p>
    <w:p>
      <w:pPr>
        <w:spacing w:after="0" w:line="225"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Our purchase obligations include purchase obligations for fixed assets, purchase obligations for bandwidth and property management fees, and purchase obligations for content assets.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lease obligations primarily represent our obligations for leasing internet data center facilities and office premises.</w:t>
      </w:r>
    </w:p>
    <w:p>
      <w:pPr>
        <w:spacing w:after="0" w:line="225"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Our investment commitment obligations primarily relate to capital contribution obligations under certain arrangements which do not have contractual maturity date.</w:t>
      </w:r>
    </w:p>
    <w:p>
      <w:pPr>
        <w:spacing w:after="0" w:line="162"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intend to fund our existing and future material cash requirements primarily with anticipated cash flows from operations, our existing cash balance and other financing alternatives. We will continue to make cash commitments, including capital expenditures, to support the growth of our business.</w:t>
      </w:r>
    </w:p>
    <w:p>
      <w:pPr>
        <w:spacing w:after="0" w:line="176"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We have not entered into any financial guarantees or other commitments to guarantee the payment obligations of any third parties. We have not entered into any off-balance sheet derivative instruments. Furthermore, we do not have any retained or contingent interest in assets transferred to an unconsolidated entity that serves as credit, liquidity or market risk support to such entity. We do not have any variable interest in any unconsolidated entity that provides financing, liquidity, market risk or credit support to us or engages in leasing, hedging or research and development services with us.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169</w:t>
      </w:r>
    </w:p>
    <w:p>
      <w:pPr>
        <w:sectPr>
          <w:pgSz w:w="11900" w:h="16838" w:orient="portrait"/>
          <w:cols w:equalWidth="0" w:num="1">
            <w:col w:w="11140"/>
          </w:cols>
          <w:pgMar w:left="320" w:top="482" w:right="43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our contractual obligations by specified categories as of December 31, 2025:</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680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6"/>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Payment Due by Period</w:t>
            </w:r>
          </w:p>
        </w:tc>
        <w:tc>
          <w:tcPr>
            <w:tcW w:w="6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800" w:type="dxa"/>
            <w:vAlign w:val="bottom"/>
          </w:tcPr>
          <w:p>
            <w:pPr>
              <w:spacing w:after="0"/>
              <w:rPr>
                <w:sz w:val="10"/>
                <w:szCs w:val="10"/>
                <w:color w:val="auto"/>
              </w:rPr>
            </w:pPr>
          </w:p>
        </w:tc>
        <w:tc>
          <w:tcPr>
            <w:tcW w:w="92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00" w:type="dxa"/>
            <w:vAlign w:val="bottom"/>
            <w:gridSpan w:val="2"/>
          </w:tcPr>
          <w:p>
            <w:pPr>
              <w:jc w:val="right"/>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Less Than</w:t>
            </w:r>
          </w:p>
        </w:tc>
        <w:tc>
          <w:tcPr>
            <w:tcW w:w="8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w w:val="94"/>
              </w:rPr>
              <w:t>1-3 Years</w:t>
            </w:r>
          </w:p>
        </w:tc>
        <w:tc>
          <w:tcPr>
            <w:tcW w:w="8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w w:val="94"/>
              </w:rPr>
              <w:t>3-5 Years</w:t>
            </w:r>
          </w:p>
        </w:tc>
        <w:tc>
          <w:tcPr>
            <w:tcW w:w="66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More than</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80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840" w:type="dxa"/>
            <w:vAlign w:val="bottom"/>
            <w:gridSpan w:val="2"/>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7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142"/>
        </w:trPr>
        <w:tc>
          <w:tcPr>
            <w:tcW w:w="680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740" w:type="dxa"/>
            <w:vAlign w:val="bottom"/>
            <w:tcBorders>
              <w:top w:val="single" w:sz="8" w:color="auto"/>
            </w:tcBorders>
            <w:gridSpan w:val="4"/>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(In RMB millions)</w:t>
            </w:r>
          </w:p>
        </w:tc>
        <w:tc>
          <w:tcPr>
            <w:tcW w:w="5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obligations</w:t>
            </w: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95,740</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28,704</w:t>
            </w: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24,710</w:t>
            </w: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20,381</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21,945</w:t>
            </w: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Purchase obligations</w:t>
            </w: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27,875</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16,791</w:t>
            </w: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9,077</w:t>
            </w: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1,959</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obligations</w:t>
            </w: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8,908</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3,519</w:t>
            </w: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3,871</w:t>
            </w: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885</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633</w:t>
            </w: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Investment commitment obligations</w:t>
            </w: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1,289</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N/A</w:t>
            </w: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N/A</w:t>
            </w: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N/A</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7"/>
        </w:trPr>
        <w:tc>
          <w:tcPr>
            <w:tcW w:w="68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133,812</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49,014</w:t>
            </w: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37,658</w:t>
            </w: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23,225</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22,626</w:t>
            </w: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Other than as discussed above, we did not have any significant capital and other commitments, long-term obligations or guarantees as of December 31, 2025.</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Holding Company Structure</w:t>
      </w:r>
    </w:p>
    <w:p>
      <w:pPr>
        <w:spacing w:after="0" w:line="121"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Baidu, Inc. is a holding company with no operations of its own. We conduct our operations in Chinese mainland primarily through our subsidiaries and the variable interest entities in Chinese mainland. As a result, although other means are available for us to obtain financing at the holding company level, Baidu, Inc.’s ability to pay dividends to the shareholders and to service any debt it may incur may depend upon dividends paid by our Chinese mainland subsidiaries and license and service fees paid by the variable interest entities in Chinese mainland. If any of our subsidiaries incurs debt on its own behalf in the future, the instruments governing such debt may restrict its ability to pay dividends to Baidu, Inc. In addition, our Chinese mainland subsidiaries and the variable interest entities are required to make appropriations to certain statutory reserve funds, which are not distributable as cash dividends except in the event of a solvent liquidation of the companies.</w:t>
      </w:r>
    </w:p>
    <w:p>
      <w:pPr>
        <w:spacing w:after="0" w:line="189"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Our Chinese mainland subsidiaries, being foreign-invested enterprises established in Chinese mainland, and the variable interest entities, must make appropriations from their after-tax profits as reported in their PRC statutory accounts to non-distributable reserve funds, namely a statutory surplus fund and a discretionary surplus fund. Each of our Chinese mainland subsidiaries and the variable interest entities is required to allocate at least 10% of its after-tax profits to the statutory surplus fund until such fund has reached 50% of its respective registered capital. Appropriations to the discretionary surplus fund are at the discretion of our Chinese mainland subsidiaries and the variable interest entities.</w:t>
      </w:r>
    </w:p>
    <w:p>
      <w:pPr>
        <w:spacing w:after="0" w:line="183"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Under the laws and regulations of Chinese mainland, our Chinese mainland subsidiaries and the variable interest entities are subject to certain restrictions with respect to paying dividends or otherwise transferring any of their net assets to us. The amounts restricted include the paid-up capital and the statutory reserve funds of our Chinese mainland subsidiaries and the net assets of the variable interest entities in which we have no legal ownership.</w:t>
      </w:r>
    </w:p>
    <w:p>
      <w:pPr>
        <w:spacing w:after="0" w:line="320" w:lineRule="exact"/>
        <w:rPr>
          <w:sz w:val="20"/>
          <w:szCs w:val="20"/>
          <w:color w:val="auto"/>
        </w:rPr>
      </w:pPr>
    </w:p>
    <w:p>
      <w:pPr>
        <w:ind w:left="540" w:hanging="424"/>
        <w:spacing w:after="0"/>
        <w:tabs>
          <w:tab w:leader="none" w:pos="54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Research and Development</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We have a team of experienced engineers who are based mostly in Beijing, Shanghai and Shenzhen, China. We also have development centers in Sunnyvale, California. We compete aggressively for engineering and recruit most of our engineers locally and have established various recruiting and training programs with leading universities in China. We have also recruited experienced engineers globally.</w:t>
      </w:r>
    </w:p>
    <w:p>
      <w:pPr>
        <w:spacing w:after="0" w:line="176"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In the years ended December 31, 2023, 2024 and 2025, our research and development expenditures were RMB24.2 billion, RMB22.1 billion and RMB20.4 billion (US$2.9 billion), representing 18%, 17% and 16% of our total revenue, respectively. Our research and development expenses primarily consist of salaries and benefits for research and development personnel, server depreciation expenses and server custody fees. We expense research and development expenditures as they are incurred, except for capitalized software development costs that fulfill the capitalization criteria.</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170</w:t>
      </w:r>
    </w:p>
    <w:p>
      <w:pPr>
        <w:sectPr>
          <w:pgSz w:w="11900" w:h="16838" w:orient="portrait"/>
          <w:cols w:equalWidth="0" w:num="1">
            <w:col w:w="11140"/>
          </w:cols>
          <w:pgMar w:left="320" w:top="482" w:right="43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540" w:hanging="424"/>
        <w:spacing w:after="0"/>
        <w:tabs>
          <w:tab w:leader="none" w:pos="540"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Trend Information</w:t>
      </w:r>
    </w:p>
    <w:p>
      <w:pPr>
        <w:spacing w:after="0" w:line="121"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Other than as disclosed elsewhere in this annual report, we are not aware of any trends, uncertainties, demands, commitments or events for the year ended December 31, 2025 that are reasonably likely to have a material and adverse effect on our total revenue, income, profitability, liquidity or capital resources, or that would cause the disclosed financial information to be not necessarily indicative of future results of operations or financial conditions.</w:t>
      </w:r>
    </w:p>
    <w:p>
      <w:pPr>
        <w:spacing w:after="0" w:line="257" w:lineRule="exact"/>
        <w:rPr>
          <w:sz w:val="20"/>
          <w:szCs w:val="20"/>
          <w:color w:val="auto"/>
        </w:rPr>
      </w:pPr>
    </w:p>
    <w:p>
      <w:pPr>
        <w:ind w:left="540" w:hanging="424"/>
        <w:spacing w:after="0"/>
        <w:tabs>
          <w:tab w:leader="none" w:pos="540"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Critical Accounting Estimates</w:t>
      </w:r>
    </w:p>
    <w:p>
      <w:pPr>
        <w:spacing w:after="0" w:line="119" w:lineRule="exact"/>
        <w:rPr>
          <w:sz w:val="20"/>
          <w:szCs w:val="20"/>
          <w:color w:val="auto"/>
        </w:rPr>
      </w:pPr>
    </w:p>
    <w:p>
      <w:pPr>
        <w:ind w:left="120" w:right="20" w:firstLine="440"/>
        <w:spacing w:after="0" w:line="284" w:lineRule="auto"/>
        <w:rPr>
          <w:sz w:val="20"/>
          <w:szCs w:val="20"/>
          <w:color w:val="auto"/>
        </w:rPr>
      </w:pPr>
      <w:r>
        <w:rPr>
          <w:rFonts w:ascii="Times New Roman" w:cs="Times New Roman" w:eastAsia="Times New Roman" w:hAnsi="Times New Roman"/>
          <w:sz w:val="18"/>
          <w:szCs w:val="18"/>
          <w:color w:val="auto"/>
        </w:rPr>
        <w:t>For our critical accounting estimates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see “Item 5. Operating and Financial Review and Prospects—A. Operating Results—Critical Accounting Policies and Estimates.”</w:t>
      </w:r>
    </w:p>
    <w:p>
      <w:pPr>
        <w:spacing w:after="0" w:line="237"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DIRECTORS, SENIOR MANAGEMENT AND EMPLOYEES</w:t>
      </w:r>
    </w:p>
    <w:p>
      <w:pPr>
        <w:spacing w:after="0" w:line="131" w:lineRule="exact"/>
        <w:rPr>
          <w:sz w:val="20"/>
          <w:szCs w:val="20"/>
          <w:color w:val="auto"/>
        </w:rPr>
      </w:pPr>
    </w:p>
    <w:p>
      <w:pPr>
        <w:ind w:left="540" w:hanging="424"/>
        <w:spacing w:after="0"/>
        <w:tabs>
          <w:tab w:leader="none" w:pos="540"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Directors and Senior Management</w:t>
      </w:r>
    </w:p>
    <w:p>
      <w:pPr>
        <w:spacing w:after="0" w:line="14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information regarding our directors and executive officers as of the date of this annual report.</w:t>
      </w:r>
    </w:p>
    <w:p>
      <w:pPr>
        <w:spacing w:after="0" w:line="151" w:lineRule="exact"/>
        <w:rPr>
          <w:sz w:val="20"/>
          <w:szCs w:val="20"/>
          <w:color w:val="auto"/>
        </w:rPr>
      </w:pPr>
    </w:p>
    <w:tbl>
      <w:tblPr>
        <w:tblLayout w:type="fixed"/>
        <w:tblInd w:w="120" w:type="dxa"/>
        <w:tblCellMar>
          <w:top w:w="0" w:type="dxa"/>
          <w:left w:w="0" w:type="dxa"/>
          <w:bottom w:w="0" w:type="dxa"/>
          <w:right w:w="0" w:type="dxa"/>
        </w:tblCellMar>
      </w:tblPr>
      <w:tr>
        <w:trPr>
          <w:trHeight w:val="193"/>
        </w:trPr>
        <w:tc>
          <w:tcPr>
            <w:tcW w:w="2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Directors and Executive Officers</w:t>
            </w:r>
          </w:p>
        </w:tc>
        <w:tc>
          <w:tcPr>
            <w:tcW w:w="960" w:type="dxa"/>
            <w:vAlign w:val="bottom"/>
          </w:tcPr>
          <w:p>
            <w:pPr>
              <w:spacing w:after="0"/>
              <w:rPr>
                <w:sz w:val="16"/>
                <w:szCs w:val="16"/>
                <w:color w:val="auto"/>
              </w:rPr>
            </w:pPr>
          </w:p>
        </w:tc>
        <w:tc>
          <w:tcPr>
            <w:tcW w:w="7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Age</w:t>
            </w:r>
          </w:p>
        </w:tc>
        <w:tc>
          <w:tcPr>
            <w:tcW w:w="7280" w:type="dxa"/>
            <w:vAlign w:val="bottom"/>
          </w:tcPr>
          <w:p>
            <w:pPr>
              <w:ind w:left="3240"/>
              <w:spacing w:after="0"/>
              <w:rPr>
                <w:sz w:val="20"/>
                <w:szCs w:val="20"/>
                <w:color w:val="auto"/>
              </w:rPr>
            </w:pPr>
            <w:r>
              <w:rPr>
                <w:rFonts w:ascii="Times New Roman" w:cs="Times New Roman" w:eastAsia="Times New Roman" w:hAnsi="Times New Roman"/>
                <w:sz w:val="14"/>
                <w:szCs w:val="14"/>
                <w:b w:val="1"/>
                <w:bCs w:val="1"/>
                <w:color w:val="auto"/>
              </w:rPr>
              <w:t>Position/Title</w:t>
            </w:r>
          </w:p>
        </w:tc>
      </w:tr>
      <w:tr>
        <w:trPr>
          <w:trHeight w:val="203"/>
        </w:trPr>
        <w:tc>
          <w:tcPr>
            <w:tcW w:w="200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Robin Yanhong Li</w:t>
            </w:r>
          </w:p>
        </w:tc>
        <w:tc>
          <w:tcPr>
            <w:tcW w:w="9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57</w:t>
            </w:r>
          </w:p>
        </w:tc>
        <w:tc>
          <w:tcPr>
            <w:tcW w:w="320" w:type="dxa"/>
            <w:vAlign w:val="bottom"/>
            <w:tcBorders>
              <w:top w:val="single" w:sz="8" w:color="CCEEFF"/>
            </w:tcBorders>
            <w:shd w:val="clear" w:color="auto" w:fill="CCEEFF"/>
          </w:tcPr>
          <w:p>
            <w:pPr>
              <w:spacing w:after="0"/>
              <w:rPr>
                <w:sz w:val="17"/>
                <w:szCs w:val="17"/>
                <w:color w:val="auto"/>
              </w:rPr>
            </w:pPr>
          </w:p>
        </w:tc>
        <w:tc>
          <w:tcPr>
            <w:tcW w:w="728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Chairman of the Board of Directors and Chief Executive Officer</w:t>
            </w:r>
          </w:p>
        </w:tc>
      </w:tr>
      <w:tr>
        <w:trPr>
          <w:trHeight w:val="216"/>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Yuanqing Yang</w:t>
            </w:r>
          </w:p>
        </w:tc>
        <w:tc>
          <w:tcPr>
            <w:tcW w:w="17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61</w:t>
            </w:r>
          </w:p>
        </w:tc>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16"/>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Jixun Foo</w:t>
            </w:r>
          </w:p>
        </w:tc>
        <w:tc>
          <w:tcPr>
            <w:tcW w:w="17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57</w:t>
            </w:r>
          </w:p>
        </w:tc>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16"/>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Sandy Ran Xu</w:t>
            </w:r>
          </w:p>
        </w:tc>
        <w:tc>
          <w:tcPr>
            <w:tcW w:w="17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49</w:t>
            </w:r>
          </w:p>
        </w:tc>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16"/>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Xiaodan Liu</w:t>
            </w:r>
          </w:p>
        </w:tc>
        <w:tc>
          <w:tcPr>
            <w:tcW w:w="17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53</w:t>
            </w:r>
          </w:p>
        </w:tc>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34"/>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Haijian He</w:t>
            </w:r>
          </w:p>
        </w:tc>
        <w:tc>
          <w:tcPr>
            <w:tcW w:w="17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44</w:t>
            </w:r>
          </w:p>
        </w:tc>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10" w:lineRule="exact"/>
        <w:rPr>
          <w:sz w:val="20"/>
          <w:szCs w:val="20"/>
          <w:color w:val="auto"/>
        </w:rPr>
      </w:pPr>
    </w:p>
    <w:p>
      <w:pPr>
        <w:jc w:val="both"/>
        <w:ind w:left="120" w:right="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Robin Yanhong Li </w:t>
      </w:r>
      <w:r>
        <w:rPr>
          <w:rFonts w:ascii="Times New Roman" w:cs="Times New Roman" w:eastAsia="Times New Roman" w:hAnsi="Times New Roman"/>
          <w:sz w:val="18"/>
          <w:szCs w:val="18"/>
          <w:color w:val="auto"/>
        </w:rPr>
        <w:t>is our co-founder, chief executive officer and chairman of our board of directors, overseeing our overall strategy and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operations. Mr. Li has been serving as the chairman since our inception in January 2000 and as our chief executive officer since February 2004. Mr. Li served as our president from February 2000 to December 2003. Prior to founding our company, Mr. Li worked as an engineer for Infoseek, a pioneer in the search industry, and as a senior consultant for IDD Information Services. Mr. Li currently serves on the board of New Oriental Education &amp; Technology Group Inc., a private educational services provider in China (NYSE: EDU; SEHK: 9901). Mr. Li received a bachelor’s degree in information science from Peking University and a master’s degree in computer science from the State University of New York at Buffalo.</w:t>
      </w:r>
    </w:p>
    <w:p>
      <w:pPr>
        <w:spacing w:after="0" w:line="115" w:lineRule="exact"/>
        <w:rPr>
          <w:sz w:val="20"/>
          <w:szCs w:val="20"/>
          <w:color w:val="auto"/>
        </w:rPr>
      </w:pPr>
    </w:p>
    <w:p>
      <w:pPr>
        <w:jc w:val="both"/>
        <w:ind w:left="1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Yuanqing Yang </w:t>
      </w:r>
      <w:r>
        <w:rPr>
          <w:rFonts w:ascii="Times New Roman" w:cs="Times New Roman" w:eastAsia="Times New Roman" w:hAnsi="Times New Roman"/>
          <w:sz w:val="18"/>
          <w:szCs w:val="18"/>
          <w:color w:val="auto"/>
        </w:rPr>
        <w:t>has served as our independent director since October 2015. Mr. Yang is also a member of our compensation committee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corporate governance and nominating committee. Mr. Yang is currently the chairman and chief executive officer of Lenovo Group Limited (SEHK: 992), a director of Sureinvest Holdings Limited. Mr. Yang has more than 30 years of experience in information and communications technology industry. Mr. Yang joined Lenovo in 1989 and Lenovo has transformed from a device provider to a solution and service provider under his leadership. Mr. Yang holds a master’s degree in computer science from the University of Science and Technology of China and a bachelor’s degree in computer science and engineering from Shanghai Jiao Tong University.</w:t>
      </w:r>
    </w:p>
    <w:p>
      <w:pPr>
        <w:spacing w:after="0" w:line="101" w:lineRule="exact"/>
        <w:rPr>
          <w:sz w:val="20"/>
          <w:szCs w:val="20"/>
          <w:color w:val="auto"/>
        </w:rPr>
      </w:pPr>
    </w:p>
    <w:p>
      <w:pPr>
        <w:jc w:val="both"/>
        <w:ind w:left="120" w:right="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Jixun Foo </w:t>
      </w:r>
      <w:r>
        <w:rPr>
          <w:rFonts w:ascii="Times New Roman" w:cs="Times New Roman" w:eastAsia="Times New Roman" w:hAnsi="Times New Roman"/>
          <w:sz w:val="18"/>
          <w:szCs w:val="18"/>
          <w:color w:val="auto"/>
        </w:rPr>
        <w:t>has served as our independent director since July 2019. Mr. Foo is also a member of our audit committee and the chairperson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Corporate Governance and Nominating Committee and the chairperson of the Compensation Committee. Mr. Foo currently serves as a Senior Managing Partner at Granite Asia (formerly known as GGV Capital) and leads the firm’s overall investment strategy and portfolio management. Mr. Foo joined Granite Asia in 2006 and has spent the last 20 years working with entrepreneurs in the mobility, transportation and enterprise services sectors in Asia. Prior to joining Granite Asia, Mr. Foo was a director at Draper Fisher Jurvetson ePlanet Ventures, where he led investments in Asia. Mr. Foo also previously led investments under the finance and investment division of the National Science and Technology Board of Singapore and served as an R&amp;D project group leader at Hewlett Packard. Mr. Foo currently serves on the boards of XPeng Inc. (NYSE: XPEV) and a number of private companies, including Hello. Mr. Foo graduated from the National University of Singapore with a First-Class Honors degree in Engineering, and received an M.Sc. in Management of Technology from the National University of Singapore’s Graduate School of Business.</w:t>
      </w:r>
    </w:p>
    <w:p>
      <w:pPr>
        <w:spacing w:after="0" w:line="12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171</w:t>
      </w:r>
    </w:p>
    <w:p>
      <w:pPr>
        <w:sectPr>
          <w:pgSz w:w="11900" w:h="16838" w:orient="portrait"/>
          <w:cols w:equalWidth="0" w:num="1">
            <w:col w:w="11140"/>
          </w:cols>
          <w:pgMar w:left="320" w:top="482" w:right="43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2"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Sandy Ran Xu </w:t>
      </w:r>
      <w:r>
        <w:rPr>
          <w:rFonts w:ascii="Times New Roman" w:cs="Times New Roman" w:eastAsia="Times New Roman" w:hAnsi="Times New Roman"/>
          <w:sz w:val="18"/>
          <w:szCs w:val="18"/>
          <w:color w:val="auto"/>
        </w:rPr>
        <w:t>has served as our independent director since January 2024. Ms. Xu has served as chief executive officer and executive director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JD.com since May 2023. Prior to her current role, Ms. Xu served as chief financial officer of JD.com from June 2020 to May 2023. Prior to joining JD.com, Ms. Xu was an audit partner and spent nearly 20 years with PricewaterhouseCoopers Zhong Tian LLP, Beijing office and PricewaterhouseCoopers, San Jose office. Ms. Xu was a Certified Public Accountant in both China and the United States. Ms. Xu received her bachelor’s degree with a double major in information science and economics from Peking University.</w:t>
      </w:r>
    </w:p>
    <w:p>
      <w:pPr>
        <w:spacing w:after="0" w:line="183"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Xiaodan Liu </w:t>
      </w:r>
      <w:r>
        <w:rPr>
          <w:rFonts w:ascii="Times New Roman" w:cs="Times New Roman" w:eastAsia="Times New Roman" w:hAnsi="Times New Roman"/>
          <w:sz w:val="18"/>
          <w:szCs w:val="18"/>
          <w:color w:val="auto"/>
        </w:rPr>
        <w:t>has served as our independent director and chair of the audit committee of the Board since February 2025. Ms. Liu currently serves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the Managing Partner of FirstLight Capital, a leading private equity firm in China. Prior to founding FirstLight Capital, Ms. Liu has over two decades of experiences in financial markets and was the CEO and Chairperson of Huatai United Securities from July 2012 to January 2017 and from January 2017 to September 2019 respectively, where she led the firm to become a top investment bank in China. Additionally, she served as Chairperson of the Board of AssetMark Financial Holdings, Inc. (NYSE: AMK) from 2016 to 2020, and served as an independent director of the Board for China Pacific Insurance (Group) Co., Ltd. (SSE: 601601, HKEX: 02601) from January 2021 to April 2025. In addition, Ms. Liu actively participate in advising on capital markets policymaking and served as a member of the M&amp;A and Restructuring Committee of the China Securities Regulatory Commission (CSRC) from June 2012 to June 2016. Ms. Liu holds a bachelor’s degree in political science and a master’s degree in law from Peking University.</w:t>
      </w:r>
    </w:p>
    <w:p>
      <w:pPr>
        <w:spacing w:after="0" w:line="185" w:lineRule="exact"/>
        <w:rPr>
          <w:sz w:val="20"/>
          <w:szCs w:val="20"/>
          <w:color w:val="auto"/>
        </w:rPr>
      </w:pPr>
    </w:p>
    <w:p>
      <w:pPr>
        <w:jc w:val="both"/>
        <w:ind w:left="120" w:right="2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Haijian He </w:t>
      </w:r>
      <w:r>
        <w:rPr>
          <w:rFonts w:ascii="Times New Roman" w:cs="Times New Roman" w:eastAsia="Times New Roman" w:hAnsi="Times New Roman"/>
          <w:sz w:val="18"/>
          <w:szCs w:val="18"/>
          <w:color w:val="auto"/>
        </w:rPr>
        <w:t>has served as our chief financial officer since July 2025. Mr. He joined Baidu from Kingsoft Cloud Holdings Limited, where he served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executive director and chief financial officer since January 2020. Prior to joining Kingsoft Cloud, Mr. He served as an executive director of the TMT (telecommunications, media and technology) group and the mergers and acquisitions group sequentially at Goldman Sachs (Asia) L.L.C. from September 2015 to January 2020. Prior to that, Mr. He worked at Bank of America Merrill Lynch and Citigroup Global Markets Inc. successively from 2010 to 2015. Mr. He currently serves as the chairman of the board of directors of iQIYI, Inc. and an independent non-executive director of Sipai Health Technology Co., Ltd. and Sunwoda EVB Co., Ltd. Mr. He received his bachelor’s degree and master’s degree in electronic engineering from Southeast University and an MBA from University of Chicago, and completed Advanced Management Program (AMP) at Harvard Business School. Mr. He is also a Chartered Financial Analyst charter holder.</w:t>
      </w:r>
    </w:p>
    <w:p>
      <w:pPr>
        <w:spacing w:after="0" w:line="331" w:lineRule="exact"/>
        <w:rPr>
          <w:sz w:val="20"/>
          <w:szCs w:val="20"/>
          <w:color w:val="auto"/>
        </w:rPr>
      </w:pPr>
    </w:p>
    <w:p>
      <w:pPr>
        <w:ind w:left="540" w:hanging="424"/>
        <w:spacing w:after="0"/>
        <w:tabs>
          <w:tab w:leader="none" w:pos="540"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Compensation</w:t>
      </w:r>
    </w:p>
    <w:p>
      <w:pPr>
        <w:spacing w:after="0" w:line="121"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In 2025, we paid an aggregate of RMB12 million (US$2 million) in cash compensation and granted 3,216,344 restricted Class A ordinary shares to our executive officers that are in office as of the date of this annual report as a group. During the same period, we also paid an aggregate of approximately RMB1.5 million (US$213 thousand) in cash compensation and granted 27,224 restricted Class A ordinary shares to our non-executive directors as a group. Our Chinese mainland subsidiaries and the variable interest entities are required by law to make contributions equal to certain percentages of each employee’s salary for his or her pension insurance, medical insurance, housing fund, unemployment insurance and other statutory benefits. Other than the above-mentioned statutory contributions mandated by applicable laws of Chinese mainland, we have not set aside or accrued any amount to provide pension, retirement or other similar benefits to our executive officers and directors. No executive officer is entitled to any severance benefits upon termination of his or her employment with our company except as required under applicable laws of Chinese mainland.</w:t>
      </w:r>
    </w:p>
    <w:p>
      <w:pPr>
        <w:spacing w:after="0" w:line="200" w:lineRule="exact"/>
        <w:rPr>
          <w:sz w:val="20"/>
          <w:szCs w:val="20"/>
          <w:color w:val="auto"/>
        </w:rPr>
      </w:pPr>
    </w:p>
    <w:p>
      <w:pPr>
        <w:spacing w:after="0" w:line="208"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At the annual general meeting held on December 16, 2008, our shareholders approved a 2008 share incentive plan, which has reserved an additional 274,302,160 Class A ordinary shares for awards to be granted pursuant to its terms. Our 2008 share incentive plan terminated in December 2018 upon the expiration of its ten-year term. On July 20, 2018, our board of directors approved a 2018 share incentive plan, which has reserved an additional 275,516,000 Class A ordinary shares (taking into account the Share Subdivision) for awards to be granted pursuant to its terms. In August 2023, our board of directors approved a 2023 share incentive plan, which has reserved an additional 281,230,346 Class A ordinary shares for awards to be granted pursuant to its terms. As of December 31, 2025, options to purchase an aggregate of 52,109,800 Class A ordinary shares and an aggregate of 416,122,616 restricted Class A ordinary shares had been granted under the 2008, 2018 and 2023 share incentive plans.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172</w:t>
      </w:r>
    </w:p>
    <w:p>
      <w:pPr>
        <w:sectPr>
          <w:pgSz w:w="11900" w:h="16838" w:orient="portrait"/>
          <w:cols w:equalWidth="0" w:num="1">
            <w:col w:w="11140"/>
          </w:cols>
          <w:pgMar w:left="320" w:top="482" w:right="43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as of December 31, 2025, the outstanding options and restricted Class A ordinary shares that we had granted to our current directors and executive officers and to other individuals as a group.</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4840" w:type="dxa"/>
            <w:vAlign w:val="bottom"/>
          </w:tcPr>
          <w:p>
            <w:pPr>
              <w:spacing w:after="0"/>
              <w:rPr>
                <w:sz w:val="13"/>
                <w:szCs w:val="13"/>
                <w:color w:val="auto"/>
              </w:rPr>
            </w:pPr>
          </w:p>
        </w:tc>
        <w:tc>
          <w:tcPr>
            <w:tcW w:w="178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1340" w:type="dxa"/>
            <w:vAlign w:val="bottom"/>
            <w:gridSpan w:val="2"/>
            <w:vMerge w:val="restart"/>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4840" w:type="dxa"/>
            <w:vAlign w:val="bottom"/>
            <w:vMerge w:val="restart"/>
          </w:tcPr>
          <w:p>
            <w:pPr>
              <w:spacing w:after="0"/>
              <w:rPr>
                <w:sz w:val="12"/>
                <w:szCs w:val="12"/>
                <w:color w:val="auto"/>
              </w:rPr>
            </w:pPr>
          </w:p>
        </w:tc>
        <w:tc>
          <w:tcPr>
            <w:tcW w:w="178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340" w:type="dxa"/>
            <w:vAlign w:val="bottom"/>
            <w:gridSpan w:val="2"/>
            <w:vMerge w:val="continue"/>
          </w:tcPr>
          <w:p>
            <w:pPr>
              <w:spacing w:after="0"/>
              <w:rPr>
                <w:sz w:val="12"/>
                <w:szCs w:val="12"/>
                <w:color w:val="auto"/>
              </w:rPr>
            </w:pPr>
          </w:p>
        </w:tc>
        <w:tc>
          <w:tcPr>
            <w:tcW w:w="15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4840" w:type="dxa"/>
            <w:vAlign w:val="bottom"/>
            <w:vMerge w:val="continue"/>
          </w:tcPr>
          <w:p>
            <w:pPr>
              <w:spacing w:after="0"/>
              <w:rPr>
                <w:sz w:val="15"/>
                <w:szCs w:val="15"/>
                <w:color w:val="auto"/>
              </w:rPr>
            </w:pPr>
          </w:p>
        </w:tc>
        <w:tc>
          <w:tcPr>
            <w:tcW w:w="1780" w:type="dxa"/>
            <w:vAlign w:val="bottom"/>
            <w:gridSpan w:val="2"/>
          </w:tcPr>
          <w:p>
            <w:pPr>
              <w:jc w:val="center"/>
              <w:ind w:right="480"/>
              <w:spacing w:after="0" w:line="160"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1340" w:type="dxa"/>
            <w:vAlign w:val="bottom"/>
            <w:gridSpan w:val="2"/>
          </w:tcPr>
          <w:p>
            <w:pPr>
              <w:jc w:val="right"/>
              <w:ind w:right="479"/>
              <w:spacing w:after="0" w:line="160" w:lineRule="exact"/>
              <w:rPr>
                <w:sz w:val="20"/>
                <w:szCs w:val="20"/>
                <w:color w:val="auto"/>
              </w:rPr>
            </w:pPr>
            <w:r>
              <w:rPr>
                <w:rFonts w:ascii="Times New Roman" w:cs="Times New Roman" w:eastAsia="Times New Roman" w:hAnsi="Times New Roman"/>
                <w:sz w:val="14"/>
                <w:szCs w:val="14"/>
                <w:b w:val="1"/>
                <w:bCs w:val="1"/>
                <w:color w:val="auto"/>
              </w:rPr>
              <w:t>(US$/Share)</w:t>
            </w:r>
          </w:p>
        </w:tc>
        <w:tc>
          <w:tcPr>
            <w:tcW w:w="1500" w:type="dxa"/>
            <w:vAlign w:val="bottom"/>
            <w:gridSpan w:val="2"/>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2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Robin Yanhong Li</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211,040</w:t>
            </w:r>
          </w:p>
        </w:tc>
        <w:tc>
          <w:tcPr>
            <w:tcW w:w="48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19.778</w:t>
            </w:r>
          </w:p>
        </w:tc>
        <w:tc>
          <w:tcPr>
            <w:tcW w:w="460" w:type="dxa"/>
            <w:vAlign w:val="bottom"/>
            <w:tcBorders>
              <w:top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2"/>
                <w:szCs w:val="12"/>
                <w:color w:val="auto"/>
                <w:w w:val="85"/>
              </w:rPr>
              <w:t>(2)</w:t>
            </w:r>
          </w:p>
        </w:tc>
        <w:tc>
          <w:tcPr>
            <w:tcW w:w="12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February 25, 2016</w:t>
            </w:r>
          </w:p>
        </w:tc>
        <w:tc>
          <w:tcPr>
            <w:tcW w:w="30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February 25, 2026</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178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color w:val="auto"/>
              </w:rPr>
              <w:t>724,800</w:t>
            </w:r>
          </w:p>
        </w:tc>
        <w:tc>
          <w:tcPr>
            <w:tcW w:w="1340" w:type="dxa"/>
            <w:vAlign w:val="bottom"/>
            <w:gridSpan w:val="2"/>
          </w:tcPr>
          <w:p>
            <w:pPr>
              <w:jc w:val="right"/>
              <w:ind w:right="259"/>
              <w:spacing w:after="0" w:line="202" w:lineRule="exact"/>
              <w:rPr>
                <w:sz w:val="20"/>
                <w:szCs w:val="20"/>
                <w:color w:val="auto"/>
              </w:rPr>
            </w:pPr>
            <w:r>
              <w:rPr>
                <w:rFonts w:ascii="Times New Roman" w:cs="Times New Roman" w:eastAsia="Times New Roman" w:hAnsi="Times New Roman"/>
                <w:sz w:val="16"/>
                <w:szCs w:val="16"/>
                <w:color w:val="auto"/>
              </w:rPr>
              <w:t>21.888</w:t>
            </w:r>
            <w:r>
              <w:rPr>
                <w:rFonts w:ascii="Times New Roman" w:cs="Times New Roman" w:eastAsia="Times New Roman" w:hAnsi="Times New Roman"/>
                <w:sz w:val="23"/>
                <w:szCs w:val="23"/>
                <w:color w:val="auto"/>
                <w:vertAlign w:val="superscript"/>
              </w:rPr>
              <w:t>(2)</w:t>
            </w: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color w:val="auto"/>
              </w:rPr>
              <w:t>October 27, 2016</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October 27, 2026</w:t>
            </w:r>
          </w:p>
        </w:tc>
        <w:tc>
          <w:tcPr>
            <w:tcW w:w="0" w:type="dxa"/>
            <w:vAlign w:val="bottom"/>
          </w:tcPr>
          <w:p>
            <w:pPr>
              <w:spacing w:after="0"/>
              <w:rPr>
                <w:sz w:val="1"/>
                <w:szCs w:val="1"/>
                <w:color w:val="auto"/>
              </w:rPr>
            </w:pPr>
          </w:p>
        </w:tc>
      </w:tr>
      <w:tr>
        <w:trPr>
          <w:trHeight w:val="203"/>
        </w:trPr>
        <w:tc>
          <w:tcPr>
            <w:tcW w:w="360" w:type="dxa"/>
            <w:vAlign w:val="bottom"/>
            <w:shd w:val="clear" w:color="auto" w:fill="CCEEFF"/>
          </w:tcPr>
          <w:p>
            <w:pPr>
              <w:spacing w:after="0"/>
              <w:rPr>
                <w:sz w:val="17"/>
                <w:szCs w:val="17"/>
                <w:color w:val="auto"/>
              </w:rPr>
            </w:pPr>
          </w:p>
        </w:tc>
        <w:tc>
          <w:tcPr>
            <w:tcW w:w="4840" w:type="dxa"/>
            <w:vAlign w:val="bottom"/>
            <w:shd w:val="clear" w:color="auto" w:fill="CCEEFF"/>
          </w:tcPr>
          <w:p>
            <w:pPr>
              <w:spacing w:after="0"/>
              <w:rPr>
                <w:sz w:val="17"/>
                <w:szCs w:val="17"/>
                <w:color w:val="auto"/>
              </w:rPr>
            </w:pPr>
          </w:p>
        </w:tc>
        <w:tc>
          <w:tcPr>
            <w:tcW w:w="17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rPr>
              <w:t>469,120</w:t>
            </w:r>
          </w:p>
        </w:tc>
        <w:tc>
          <w:tcPr>
            <w:tcW w:w="1340" w:type="dxa"/>
            <w:vAlign w:val="bottom"/>
            <w:gridSpan w:val="2"/>
            <w:shd w:val="clear" w:color="auto" w:fill="CCEEFF"/>
          </w:tcPr>
          <w:p>
            <w:pPr>
              <w:jc w:val="right"/>
              <w:ind w:right="259"/>
              <w:spacing w:after="0" w:line="202" w:lineRule="exact"/>
              <w:rPr>
                <w:sz w:val="20"/>
                <w:szCs w:val="20"/>
                <w:color w:val="auto"/>
              </w:rPr>
            </w:pPr>
            <w:r>
              <w:rPr>
                <w:rFonts w:ascii="Times New Roman" w:cs="Times New Roman" w:eastAsia="Times New Roman" w:hAnsi="Times New Roman"/>
                <w:sz w:val="16"/>
                <w:szCs w:val="16"/>
                <w:color w:val="auto"/>
              </w:rPr>
              <w:t>23.251</w:t>
            </w:r>
            <w:r>
              <w:rPr>
                <w:rFonts w:ascii="Times New Roman" w:cs="Times New Roman" w:eastAsia="Times New Roman" w:hAnsi="Times New Roman"/>
                <w:sz w:val="23"/>
                <w:szCs w:val="23"/>
                <w:color w:val="auto"/>
                <w:vertAlign w:val="superscript"/>
              </w:rPr>
              <w:t>(2)</w:t>
            </w:r>
          </w:p>
        </w:tc>
        <w:tc>
          <w:tcPr>
            <w:tcW w:w="150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6"/>
                <w:szCs w:val="16"/>
                <w:color w:val="auto"/>
              </w:rPr>
              <w:t>February 22, 2017</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February 22, 2027</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1780" w:type="dxa"/>
            <w:vAlign w:val="bottom"/>
            <w:gridSpan w:val="2"/>
          </w:tcPr>
          <w:p>
            <w:pPr>
              <w:jc w:val="right"/>
              <w:ind w:right="340"/>
              <w:spacing w:after="0" w:line="202" w:lineRule="exact"/>
              <w:rPr>
                <w:sz w:val="20"/>
                <w:szCs w:val="20"/>
                <w:color w:val="auto"/>
              </w:rPr>
            </w:pPr>
            <w:r>
              <w:rPr>
                <w:rFonts w:ascii="Times New Roman" w:cs="Times New Roman" w:eastAsia="Times New Roman" w:hAnsi="Times New Roman"/>
                <w:sz w:val="16"/>
                <w:szCs w:val="16"/>
                <w:color w:val="auto"/>
              </w:rPr>
              <w:t>362,008</w:t>
            </w:r>
            <w:r>
              <w:rPr>
                <w:rFonts w:ascii="Times New Roman" w:cs="Times New Roman" w:eastAsia="Times New Roman" w:hAnsi="Times New Roman"/>
                <w:sz w:val="23"/>
                <w:szCs w:val="23"/>
                <w:color w:val="auto"/>
                <w:vertAlign w:val="superscript"/>
              </w:rPr>
              <w:t>(1)</w:t>
            </w:r>
          </w:p>
        </w:tc>
        <w:tc>
          <w:tcPr>
            <w:tcW w:w="1340" w:type="dxa"/>
            <w:vAlign w:val="bottom"/>
            <w:gridSpan w:val="2"/>
          </w:tcPr>
          <w:p>
            <w:pPr>
              <w:jc w:val="right"/>
              <w:ind w:right="439"/>
              <w:spacing w:after="0"/>
              <w:rPr>
                <w:sz w:val="20"/>
                <w:szCs w:val="20"/>
                <w:color w:val="auto"/>
              </w:rPr>
            </w:pPr>
            <w:r>
              <w:rPr>
                <w:rFonts w:ascii="Times New Roman" w:cs="Times New Roman" w:eastAsia="Times New Roman" w:hAnsi="Times New Roman"/>
                <w:sz w:val="16"/>
                <w:szCs w:val="16"/>
                <w:color w:val="auto"/>
              </w:rPr>
              <w:t>— </w:t>
            </w: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color w:val="auto"/>
              </w:rPr>
              <w:t>February 14, 2022</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03"/>
        </w:trPr>
        <w:tc>
          <w:tcPr>
            <w:tcW w:w="360" w:type="dxa"/>
            <w:vAlign w:val="bottom"/>
            <w:shd w:val="clear" w:color="auto" w:fill="CCEEFF"/>
          </w:tcPr>
          <w:p>
            <w:pPr>
              <w:spacing w:after="0"/>
              <w:rPr>
                <w:sz w:val="17"/>
                <w:szCs w:val="17"/>
                <w:color w:val="auto"/>
              </w:rPr>
            </w:pPr>
          </w:p>
        </w:tc>
        <w:tc>
          <w:tcPr>
            <w:tcW w:w="4840" w:type="dxa"/>
            <w:vAlign w:val="bottom"/>
            <w:shd w:val="clear" w:color="auto" w:fill="CCEEFF"/>
          </w:tcPr>
          <w:p>
            <w:pPr>
              <w:spacing w:after="0"/>
              <w:rPr>
                <w:sz w:val="17"/>
                <w:szCs w:val="17"/>
                <w:color w:val="auto"/>
              </w:rPr>
            </w:pPr>
          </w:p>
        </w:tc>
        <w:tc>
          <w:tcPr>
            <w:tcW w:w="1780" w:type="dxa"/>
            <w:vAlign w:val="bottom"/>
            <w:gridSpan w:val="2"/>
            <w:shd w:val="clear" w:color="auto" w:fill="CCEEFF"/>
          </w:tcPr>
          <w:p>
            <w:pPr>
              <w:jc w:val="right"/>
              <w:ind w:right="340"/>
              <w:spacing w:after="0" w:line="202" w:lineRule="exact"/>
              <w:rPr>
                <w:sz w:val="20"/>
                <w:szCs w:val="20"/>
                <w:color w:val="auto"/>
              </w:rPr>
            </w:pPr>
            <w:r>
              <w:rPr>
                <w:rFonts w:ascii="Times New Roman" w:cs="Times New Roman" w:eastAsia="Times New Roman" w:hAnsi="Times New Roman"/>
                <w:sz w:val="16"/>
                <w:szCs w:val="16"/>
                <w:color w:val="auto"/>
              </w:rPr>
              <w:t>684,200</w:t>
            </w:r>
            <w:r>
              <w:rPr>
                <w:rFonts w:ascii="Times New Roman" w:cs="Times New Roman" w:eastAsia="Times New Roman" w:hAnsi="Times New Roman"/>
                <w:sz w:val="23"/>
                <w:szCs w:val="23"/>
                <w:color w:val="auto"/>
                <w:vertAlign w:val="superscript"/>
              </w:rPr>
              <w:t>(1)</w:t>
            </w:r>
          </w:p>
        </w:tc>
        <w:tc>
          <w:tcPr>
            <w:tcW w:w="1340" w:type="dxa"/>
            <w:vAlign w:val="bottom"/>
            <w:gridSpan w:val="2"/>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color w:val="auto"/>
              </w:rPr>
              <w:t>— </w:t>
            </w:r>
          </w:p>
        </w:tc>
        <w:tc>
          <w:tcPr>
            <w:tcW w:w="150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6"/>
                <w:szCs w:val="16"/>
                <w:color w:val="auto"/>
              </w:rPr>
              <w:t>August 9, 2023</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1780" w:type="dxa"/>
            <w:vAlign w:val="bottom"/>
            <w:gridSpan w:val="2"/>
          </w:tcPr>
          <w:p>
            <w:pPr>
              <w:jc w:val="right"/>
              <w:ind w:right="340"/>
              <w:spacing w:after="0" w:line="202" w:lineRule="exact"/>
              <w:rPr>
                <w:sz w:val="20"/>
                <w:szCs w:val="20"/>
                <w:color w:val="auto"/>
              </w:rPr>
            </w:pPr>
            <w:r>
              <w:rPr>
                <w:rFonts w:ascii="Times New Roman" w:cs="Times New Roman" w:eastAsia="Times New Roman" w:hAnsi="Times New Roman"/>
                <w:sz w:val="16"/>
                <w:szCs w:val="16"/>
                <w:color w:val="auto"/>
              </w:rPr>
              <w:t>1,532,432</w:t>
            </w:r>
            <w:r>
              <w:rPr>
                <w:rFonts w:ascii="Times New Roman" w:cs="Times New Roman" w:eastAsia="Times New Roman" w:hAnsi="Times New Roman"/>
                <w:sz w:val="23"/>
                <w:szCs w:val="23"/>
                <w:color w:val="auto"/>
                <w:vertAlign w:val="superscript"/>
              </w:rPr>
              <w:t>(1)</w:t>
            </w:r>
          </w:p>
        </w:tc>
        <w:tc>
          <w:tcPr>
            <w:tcW w:w="1340" w:type="dxa"/>
            <w:vAlign w:val="bottom"/>
            <w:gridSpan w:val="2"/>
          </w:tcPr>
          <w:p>
            <w:pPr>
              <w:jc w:val="right"/>
              <w:ind w:right="439"/>
              <w:spacing w:after="0"/>
              <w:rPr>
                <w:sz w:val="20"/>
                <w:szCs w:val="20"/>
                <w:color w:val="auto"/>
              </w:rPr>
            </w:pPr>
            <w:r>
              <w:rPr>
                <w:rFonts w:ascii="Times New Roman" w:cs="Times New Roman" w:eastAsia="Times New Roman" w:hAnsi="Times New Roman"/>
                <w:sz w:val="16"/>
                <w:szCs w:val="16"/>
                <w:color w:val="auto"/>
              </w:rPr>
              <w:t>— </w:t>
            </w: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rPr>
              <w:t>August 8, 2024</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03"/>
        </w:trPr>
        <w:tc>
          <w:tcPr>
            <w:tcW w:w="360" w:type="dxa"/>
            <w:vAlign w:val="bottom"/>
            <w:shd w:val="clear" w:color="auto" w:fill="CCEEFF"/>
          </w:tcPr>
          <w:p>
            <w:pPr>
              <w:spacing w:after="0"/>
              <w:rPr>
                <w:sz w:val="17"/>
                <w:szCs w:val="17"/>
                <w:color w:val="auto"/>
              </w:rPr>
            </w:pPr>
          </w:p>
        </w:tc>
        <w:tc>
          <w:tcPr>
            <w:tcW w:w="4840" w:type="dxa"/>
            <w:vAlign w:val="bottom"/>
            <w:shd w:val="clear" w:color="auto" w:fill="CCEEFF"/>
          </w:tcPr>
          <w:p>
            <w:pPr>
              <w:spacing w:after="0"/>
              <w:rPr>
                <w:sz w:val="17"/>
                <w:szCs w:val="17"/>
                <w:color w:val="auto"/>
              </w:rPr>
            </w:pPr>
          </w:p>
        </w:tc>
        <w:tc>
          <w:tcPr>
            <w:tcW w:w="1780" w:type="dxa"/>
            <w:vAlign w:val="bottom"/>
            <w:gridSpan w:val="2"/>
            <w:shd w:val="clear" w:color="auto" w:fill="CCEEFF"/>
          </w:tcPr>
          <w:p>
            <w:pPr>
              <w:jc w:val="right"/>
              <w:ind w:right="340"/>
              <w:spacing w:after="0" w:line="202" w:lineRule="exact"/>
              <w:rPr>
                <w:sz w:val="20"/>
                <w:szCs w:val="20"/>
                <w:color w:val="auto"/>
              </w:rPr>
            </w:pPr>
            <w:r>
              <w:rPr>
                <w:rFonts w:ascii="Times New Roman" w:cs="Times New Roman" w:eastAsia="Times New Roman" w:hAnsi="Times New Roman"/>
                <w:sz w:val="16"/>
                <w:szCs w:val="16"/>
                <w:color w:val="auto"/>
              </w:rPr>
              <w:t>2,108,824</w:t>
            </w:r>
            <w:r>
              <w:rPr>
                <w:rFonts w:ascii="Times New Roman" w:cs="Times New Roman" w:eastAsia="Times New Roman" w:hAnsi="Times New Roman"/>
                <w:sz w:val="23"/>
                <w:szCs w:val="23"/>
                <w:color w:val="auto"/>
                <w:vertAlign w:val="superscript"/>
              </w:rPr>
              <w:t>(1)</w:t>
            </w:r>
          </w:p>
        </w:tc>
        <w:tc>
          <w:tcPr>
            <w:tcW w:w="1340" w:type="dxa"/>
            <w:vAlign w:val="bottom"/>
            <w:gridSpan w:val="2"/>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color w:val="auto"/>
              </w:rPr>
              <w:t>— </w:t>
            </w:r>
          </w:p>
        </w:tc>
        <w:tc>
          <w:tcPr>
            <w:tcW w:w="150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6"/>
                <w:szCs w:val="16"/>
                <w:color w:val="auto"/>
              </w:rPr>
              <w:t>August 7, 2025</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03"/>
        </w:trPr>
        <w:tc>
          <w:tcPr>
            <w:tcW w:w="52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Yuanqing Yang</w:t>
            </w:r>
          </w:p>
        </w:tc>
        <w:tc>
          <w:tcPr>
            <w:tcW w:w="1780" w:type="dxa"/>
            <w:vAlign w:val="bottom"/>
            <w:gridSpan w:val="2"/>
          </w:tcPr>
          <w:p>
            <w:pPr>
              <w:jc w:val="right"/>
              <w:ind w:right="340"/>
              <w:spacing w:after="0" w:line="202" w:lineRule="exact"/>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0"/>
                <w:szCs w:val="10"/>
                <w:color w:val="auto"/>
              </w:rPr>
              <w:t>(1)</w:t>
            </w:r>
          </w:p>
        </w:tc>
        <w:tc>
          <w:tcPr>
            <w:tcW w:w="1340" w:type="dxa"/>
            <w:vAlign w:val="bottom"/>
            <w:gridSpan w:val="2"/>
          </w:tcPr>
          <w:p>
            <w:pPr>
              <w:jc w:val="right"/>
              <w:ind w:right="439"/>
              <w:spacing w:after="0"/>
              <w:rPr>
                <w:sz w:val="20"/>
                <w:szCs w:val="20"/>
                <w:color w:val="auto"/>
              </w:rPr>
            </w:pPr>
            <w:r>
              <w:rPr>
                <w:rFonts w:ascii="Times New Roman" w:cs="Times New Roman" w:eastAsia="Times New Roman" w:hAnsi="Times New Roman"/>
                <w:sz w:val="16"/>
                <w:szCs w:val="16"/>
                <w:color w:val="auto"/>
              </w:rPr>
              <w:t>— </w:t>
            </w: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color w:val="auto"/>
              </w:rPr>
              <w:t>February 20, 2024</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03"/>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Jixun Foo</w:t>
            </w:r>
          </w:p>
        </w:tc>
        <w:tc>
          <w:tcPr>
            <w:tcW w:w="1780" w:type="dxa"/>
            <w:vAlign w:val="bottom"/>
            <w:gridSpan w:val="2"/>
            <w:shd w:val="clear" w:color="auto" w:fill="CCEEFF"/>
          </w:tcPr>
          <w:p>
            <w:pPr>
              <w:jc w:val="right"/>
              <w:ind w:right="340"/>
              <w:spacing w:after="0" w:line="202" w:lineRule="exact"/>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0"/>
                <w:szCs w:val="10"/>
                <w:color w:val="auto"/>
              </w:rPr>
              <w:t>(1)</w:t>
            </w:r>
          </w:p>
        </w:tc>
        <w:tc>
          <w:tcPr>
            <w:tcW w:w="1340" w:type="dxa"/>
            <w:vAlign w:val="bottom"/>
            <w:gridSpan w:val="2"/>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color w:val="auto"/>
              </w:rPr>
              <w:t>— </w:t>
            </w:r>
          </w:p>
        </w:tc>
        <w:tc>
          <w:tcPr>
            <w:tcW w:w="150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6"/>
                <w:szCs w:val="16"/>
                <w:color w:val="auto"/>
              </w:rPr>
              <w:t>February 20, 2024</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03"/>
        </w:trPr>
        <w:tc>
          <w:tcPr>
            <w:tcW w:w="52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Sandy Ran Xu</w:t>
            </w:r>
          </w:p>
        </w:tc>
        <w:tc>
          <w:tcPr>
            <w:tcW w:w="1780" w:type="dxa"/>
            <w:vAlign w:val="bottom"/>
            <w:gridSpan w:val="2"/>
          </w:tcPr>
          <w:p>
            <w:pPr>
              <w:jc w:val="right"/>
              <w:ind w:right="340"/>
              <w:spacing w:after="0" w:line="202" w:lineRule="exact"/>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0"/>
                <w:szCs w:val="10"/>
                <w:color w:val="auto"/>
              </w:rPr>
              <w:t>(1)</w:t>
            </w:r>
          </w:p>
        </w:tc>
        <w:tc>
          <w:tcPr>
            <w:tcW w:w="1340" w:type="dxa"/>
            <w:vAlign w:val="bottom"/>
            <w:gridSpan w:val="2"/>
          </w:tcPr>
          <w:p>
            <w:pPr>
              <w:jc w:val="right"/>
              <w:ind w:right="439"/>
              <w:spacing w:after="0"/>
              <w:rPr>
                <w:sz w:val="20"/>
                <w:szCs w:val="20"/>
                <w:color w:val="auto"/>
              </w:rPr>
            </w:pPr>
            <w:r>
              <w:rPr>
                <w:rFonts w:ascii="Times New Roman" w:cs="Times New Roman" w:eastAsia="Times New Roman" w:hAnsi="Times New Roman"/>
                <w:sz w:val="16"/>
                <w:szCs w:val="16"/>
                <w:color w:val="auto"/>
              </w:rPr>
              <w:t>— </w:t>
            </w: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color w:val="auto"/>
              </w:rPr>
              <w:t>February 20, 2024</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03"/>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Xiaodan Liu</w:t>
            </w:r>
          </w:p>
        </w:tc>
        <w:tc>
          <w:tcPr>
            <w:tcW w:w="1780" w:type="dxa"/>
            <w:vAlign w:val="bottom"/>
            <w:gridSpan w:val="2"/>
            <w:shd w:val="clear" w:color="auto" w:fill="CCEEFF"/>
          </w:tcPr>
          <w:p>
            <w:pPr>
              <w:jc w:val="right"/>
              <w:ind w:right="340"/>
              <w:spacing w:after="0" w:line="202" w:lineRule="exact"/>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0"/>
                <w:szCs w:val="10"/>
                <w:color w:val="auto"/>
              </w:rPr>
              <w:t>(1)</w:t>
            </w:r>
          </w:p>
        </w:tc>
        <w:tc>
          <w:tcPr>
            <w:tcW w:w="1340" w:type="dxa"/>
            <w:vAlign w:val="bottom"/>
            <w:gridSpan w:val="2"/>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color w:val="auto"/>
              </w:rPr>
              <w:t>— </w:t>
            </w:r>
          </w:p>
        </w:tc>
        <w:tc>
          <w:tcPr>
            <w:tcW w:w="150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6"/>
                <w:szCs w:val="16"/>
                <w:color w:val="auto"/>
              </w:rPr>
              <w:t>May 20, 2025</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03"/>
        </w:trPr>
        <w:tc>
          <w:tcPr>
            <w:tcW w:w="52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Haijian He</w:t>
            </w:r>
          </w:p>
        </w:tc>
        <w:tc>
          <w:tcPr>
            <w:tcW w:w="178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tcPr>
          <w:p>
            <w:pPr>
              <w:jc w:val="right"/>
              <w:ind w:right="259"/>
              <w:spacing w:after="0" w:line="202" w:lineRule="exact"/>
              <w:rPr>
                <w:sz w:val="20"/>
                <w:szCs w:val="20"/>
                <w:color w:val="auto"/>
              </w:rPr>
            </w:pPr>
            <w:r>
              <w:rPr>
                <w:rFonts w:ascii="Times New Roman" w:cs="Times New Roman" w:eastAsia="Times New Roman" w:hAnsi="Times New Roman"/>
                <w:sz w:val="16"/>
                <w:szCs w:val="16"/>
                <w:color w:val="auto"/>
              </w:rPr>
              <w:t>10.934</w:t>
            </w:r>
            <w:r>
              <w:rPr>
                <w:rFonts w:ascii="Times New Roman" w:cs="Times New Roman" w:eastAsia="Times New Roman" w:hAnsi="Times New Roman"/>
                <w:sz w:val="23"/>
                <w:szCs w:val="23"/>
                <w:color w:val="auto"/>
                <w:vertAlign w:val="superscript"/>
              </w:rPr>
              <w:t>(2)</w:t>
            </w: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rPr>
              <w:t>August 7, 2025</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August 7, 2035</w:t>
            </w:r>
          </w:p>
        </w:tc>
        <w:tc>
          <w:tcPr>
            <w:tcW w:w="0" w:type="dxa"/>
            <w:vAlign w:val="bottom"/>
          </w:tcPr>
          <w:p>
            <w:pPr>
              <w:spacing w:after="0"/>
              <w:rPr>
                <w:sz w:val="1"/>
                <w:szCs w:val="1"/>
                <w:color w:val="auto"/>
              </w:rPr>
            </w:pPr>
          </w:p>
        </w:tc>
      </w:tr>
      <w:tr>
        <w:trPr>
          <w:trHeight w:val="203"/>
        </w:trPr>
        <w:tc>
          <w:tcPr>
            <w:tcW w:w="360" w:type="dxa"/>
            <w:vAlign w:val="bottom"/>
            <w:shd w:val="clear" w:color="auto" w:fill="CCEEFF"/>
          </w:tcPr>
          <w:p>
            <w:pPr>
              <w:spacing w:after="0"/>
              <w:rPr>
                <w:sz w:val="17"/>
                <w:szCs w:val="17"/>
                <w:color w:val="auto"/>
              </w:rPr>
            </w:pPr>
          </w:p>
        </w:tc>
        <w:tc>
          <w:tcPr>
            <w:tcW w:w="4840" w:type="dxa"/>
            <w:vAlign w:val="bottom"/>
            <w:shd w:val="clear" w:color="auto" w:fill="CCEEFF"/>
          </w:tcPr>
          <w:p>
            <w:pPr>
              <w:spacing w:after="0"/>
              <w:rPr>
                <w:sz w:val="17"/>
                <w:szCs w:val="17"/>
                <w:color w:val="auto"/>
              </w:rPr>
            </w:pPr>
          </w:p>
        </w:tc>
        <w:tc>
          <w:tcPr>
            <w:tcW w:w="1780" w:type="dxa"/>
            <w:vAlign w:val="bottom"/>
            <w:gridSpan w:val="2"/>
            <w:shd w:val="clear" w:color="auto" w:fill="CCEEFF"/>
          </w:tcPr>
          <w:p>
            <w:pPr>
              <w:jc w:val="right"/>
              <w:ind w:right="340"/>
              <w:spacing w:after="0" w:line="202" w:lineRule="exact"/>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0"/>
                <w:szCs w:val="10"/>
                <w:color w:val="auto"/>
              </w:rPr>
              <w:t>(1)</w:t>
            </w:r>
          </w:p>
        </w:tc>
        <w:tc>
          <w:tcPr>
            <w:tcW w:w="1340" w:type="dxa"/>
            <w:vAlign w:val="bottom"/>
            <w:gridSpan w:val="2"/>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color w:val="auto"/>
              </w:rPr>
              <w:t>— </w:t>
            </w:r>
          </w:p>
        </w:tc>
        <w:tc>
          <w:tcPr>
            <w:tcW w:w="150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6"/>
                <w:szCs w:val="16"/>
                <w:color w:val="auto"/>
              </w:rPr>
              <w:t>August 7, 2025</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10"/>
        </w:trPr>
        <w:tc>
          <w:tcPr>
            <w:tcW w:w="52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individuals as a group</w:t>
            </w:r>
          </w:p>
        </w:tc>
        <w:tc>
          <w:tcPr>
            <w:tcW w:w="178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color w:val="auto"/>
              </w:rPr>
              <w:t>96,859,136</w:t>
            </w:r>
          </w:p>
        </w:tc>
        <w:tc>
          <w:tcPr>
            <w:tcW w:w="1340" w:type="dxa"/>
            <w:vAlign w:val="bottom"/>
            <w:gridSpan w:val="2"/>
          </w:tcPr>
          <w:p>
            <w:pPr>
              <w:jc w:val="right"/>
              <w:ind w:right="439"/>
              <w:spacing w:after="0"/>
              <w:rPr>
                <w:sz w:val="20"/>
                <w:szCs w:val="20"/>
                <w:color w:val="auto"/>
              </w:rPr>
            </w:pPr>
            <w:r>
              <w:rPr>
                <w:rFonts w:ascii="Times New Roman" w:cs="Times New Roman" w:eastAsia="Times New Roman" w:hAnsi="Times New Roman"/>
                <w:sz w:val="16"/>
                <w:szCs w:val="16"/>
                <w:color w:val="auto"/>
              </w:rPr>
              <w:t>— </w:t>
            </w: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color w:val="auto"/>
                <w:w w:val="83"/>
              </w:rPr>
              <w:t>— </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1"/>
              </w:rPr>
              <w:t>— 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80645</wp:posOffset>
            </wp:positionV>
            <wp:extent cx="77152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8" w:lineRule="exact"/>
        <w:rPr>
          <w:sz w:val="20"/>
          <w:szCs w:val="20"/>
          <w:color w:val="auto"/>
        </w:rPr>
      </w:pPr>
    </w:p>
    <w:p>
      <w:pPr>
        <w:ind w:left="540" w:right="20" w:hanging="424"/>
        <w:spacing w:after="0" w:line="233" w:lineRule="auto"/>
        <w:tabs>
          <w:tab w:leader="none" w:pos="54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options and restricted shares in aggregate held by each of these directors and officers represent less than 1% of our total outstanding shares. The options held by these directors and officers represent less than 1% of our outstanding shares.</w:t>
      </w:r>
    </w:p>
    <w:p>
      <w:pPr>
        <w:ind w:left="540" w:hanging="424"/>
        <w:spacing w:after="0" w:line="222" w:lineRule="auto"/>
        <w:tabs>
          <w:tab w:leader="none" w:pos="54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Restricted shares.</w:t>
      </w:r>
    </w:p>
    <w:p>
      <w:pPr>
        <w:ind w:left="540" w:right="20" w:hanging="424"/>
        <w:spacing w:after="0" w:line="239" w:lineRule="auto"/>
        <w:tabs>
          <w:tab w:leader="none" w:pos="54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exercise price per Class A ordinary share, and each ADS represents eight Class A ordinary shares. The exercise price per ADS for the options are US$158.22, US$175.1, US$186.01 and US$87.47, respectively.</w:t>
      </w:r>
    </w:p>
    <w:p>
      <w:pPr>
        <w:spacing w:after="0" w:line="18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following paragraphs summarize the key terms of our 2008 share incentive plan adopted in December 2008, our 2018 share incentive plan adopted in July 2018 and our 2023 share incentive plan adopted in August 2023:</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2008 Share Incentive Plan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paragraphs summarize the key terms of our 2008 share incentive plan.</w:t>
      </w:r>
    </w:p>
    <w:p>
      <w:pPr>
        <w:spacing w:after="0" w:line="22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Types of Awards</w:t>
      </w:r>
      <w:r>
        <w:rPr>
          <w:rFonts w:ascii="Times New Roman" w:cs="Times New Roman" w:eastAsia="Times New Roman" w:hAnsi="Times New Roman"/>
          <w:sz w:val="18"/>
          <w:szCs w:val="18"/>
          <w:color w:val="auto"/>
        </w:rPr>
        <w:t>. We may grant the following types of awards under our 2008 share incentive plan:</w:t>
      </w:r>
    </w:p>
    <w:p>
      <w:pPr>
        <w:spacing w:after="0" w:line="133" w:lineRule="exact"/>
        <w:rPr>
          <w:sz w:val="20"/>
          <w:szCs w:val="20"/>
          <w:color w:val="auto"/>
        </w:rPr>
      </w:pPr>
    </w:p>
    <w:p>
      <w:pPr>
        <w:ind w:left="1080" w:hanging="424"/>
        <w:spacing w:after="0"/>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(incentive share options, or ISO);</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shares;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share units;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form of awards granted to a participant pursuant to the 2008 plan.</w:t>
      </w:r>
    </w:p>
    <w:p>
      <w:pPr>
        <w:spacing w:after="0" w:line="223"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Plan Administration</w:t>
      </w:r>
      <w:r>
        <w:rPr>
          <w:rFonts w:ascii="Times New Roman" w:cs="Times New Roman" w:eastAsia="Times New Roman" w:hAnsi="Times New Roman"/>
          <w:sz w:val="18"/>
          <w:szCs w:val="18"/>
          <w:color w:val="auto"/>
        </w:rPr>
        <w:t>. The compensation committee of our board of directors administers our 2008 share incentive plan, but may delegate 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committee of one or more members of our board of directors the authority to grant or amend awards to participants other than independent directors and executive officers. The compensation committee will determine the provisions and terms and conditions of each award grant, including, but not limited to, the exercise price, the grant price or purchase price, any restrictions or limitations on the award, any schedule for lapse of forfeiture restrictions or restrictions on the exercisability of an award, and accelerations or waivers thereof, any provisions related to non-competition and recapture of gain on an award, based in each case on such considerations as the committee in its sole discretion determines. The compensation committee has the sole power and discretion to cancel, forfeit or surrender an outstanding award (whether or not in exchange for another award or combination or awards).</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173</w:t>
      </w:r>
    </w:p>
    <w:p>
      <w:pPr>
        <w:sectPr>
          <w:pgSz w:w="11900" w:h="16838" w:orient="portrait"/>
          <w:cols w:equalWidth="0" w:num="1">
            <w:col w:w="11140"/>
          </w:cols>
          <w:pgMar w:left="320" w:top="482" w:right="43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2" w:lineRule="exact"/>
        <w:rPr>
          <w:sz w:val="20"/>
          <w:szCs w:val="20"/>
          <w:color w:val="auto"/>
        </w:rPr>
      </w:pPr>
    </w:p>
    <w:p>
      <w:pPr>
        <w:jc w:val="both"/>
        <w:ind w:left="120" w:right="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Award Agreement</w:t>
      </w:r>
      <w:r>
        <w:rPr>
          <w:rFonts w:ascii="Times New Roman" w:cs="Times New Roman" w:eastAsia="Times New Roman" w:hAnsi="Times New Roman"/>
          <w:sz w:val="18"/>
          <w:szCs w:val="18"/>
          <w:color w:val="auto"/>
        </w:rPr>
        <w:t>. Awards granted under our 2008 share incentive plan are evidenced by an award agreement that sets forth the terms, conditions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limitations for each award which may include the term of an award, the provisions applicable in the event the participant’s employment or service ends, and our authority to unilaterally or bilaterally amend, modify, suspend, cancel or rescind an award.</w:t>
      </w:r>
    </w:p>
    <w:p>
      <w:pPr>
        <w:spacing w:after="0" w:line="173" w:lineRule="exact"/>
        <w:rPr>
          <w:sz w:val="20"/>
          <w:szCs w:val="20"/>
          <w:color w:val="auto"/>
        </w:rPr>
      </w:pPr>
    </w:p>
    <w:p>
      <w:pPr>
        <w:jc w:val="both"/>
        <w:ind w:left="1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Eligibility</w:t>
      </w:r>
      <w:r>
        <w:rPr>
          <w:rFonts w:ascii="Times New Roman" w:cs="Times New Roman" w:eastAsia="Times New Roman" w:hAnsi="Times New Roman"/>
          <w:sz w:val="18"/>
          <w:szCs w:val="18"/>
          <w:color w:val="auto"/>
        </w:rPr>
        <w:t>. We may grant awards to employees, directors and consultants of our company or any of our related entities, which include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subsidiaries or any entities in which we hold a substantial ownership interest. However, we may grant ISOs only to our employees and employees of our majority-owned subsidiaries.</w:t>
      </w:r>
    </w:p>
    <w:p>
      <w:pPr>
        <w:spacing w:after="0" w:line="173"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Acceleration of Awards upon Corporate Transactions</w:t>
      </w:r>
      <w:r>
        <w:rPr>
          <w:rFonts w:ascii="Times New Roman" w:cs="Times New Roman" w:eastAsia="Times New Roman" w:hAnsi="Times New Roman"/>
          <w:sz w:val="18"/>
          <w:szCs w:val="18"/>
          <w:color w:val="auto"/>
        </w:rPr>
        <w:t>. The outstanding awards will accelerate (i) upon occurrence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 change-of-control corporate transaction where any person acquires at least 50% of the total combined voting power of our outstanding securities or the incumbent board members no longer constitute at least 50% of our board, or (ii) upon occurrence of any other change-of-control corporate transaction in which the successor entity does not assume our outstanding awards under our 2008 share incentive plan;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plan participant remains an employee, consultant or member of our board of directors on the effective date of the corporate transaction. In such event, each outstanding award will become fully exercisable and all forfeiture restrictions on such award will lapse immediately prior to the specified effective date of the corporate transaction.</w:t>
      </w:r>
    </w:p>
    <w:p>
      <w:pPr>
        <w:spacing w:after="0" w:line="200" w:lineRule="exact"/>
        <w:rPr>
          <w:sz w:val="20"/>
          <w:szCs w:val="20"/>
          <w:color w:val="auto"/>
        </w:rPr>
      </w:pPr>
    </w:p>
    <w:p>
      <w:pPr>
        <w:spacing w:after="0" w:line="205"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If the successor entity assumes our outstanding awards and later terminates the grantee’s employment or service without cause within 12 months of the corporate transaction, or if the grantee resigns voluntarily with good reason, the outstanding awards automatically will become fully vested and exercisable. The compensation committee may also, in its sole discretion, upon or in anticipation of a corporate transaction, accelerate awards, purchase the awards from the plan participants, replace the awards, or provide for the payment of the awards in cash.</w:t>
      </w:r>
    </w:p>
    <w:p>
      <w:pPr>
        <w:spacing w:after="0" w:line="178"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Exercise Price and Term of Awards</w:t>
      </w:r>
      <w:r>
        <w:rPr>
          <w:rFonts w:ascii="Times New Roman" w:cs="Times New Roman" w:eastAsia="Times New Roman" w:hAnsi="Times New Roman"/>
          <w:sz w:val="18"/>
          <w:szCs w:val="18"/>
          <w:color w:val="auto"/>
        </w:rPr>
        <w:t>. The exercise price per share subject to an option may be amended or adjusted in the absolute discretion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committee, the determination of which shall be final, binding and conclusive. To the extent not prohibited by applicable laws or exchange rules, a downward adjustment of the exercise prices of options mentioned in the preceding sentence shall be effective without the approval of our shareholders or the approval of the affected grantees. If we grant an ISO to an employee, who, at the time of that grant, owns shares representing more than 10% of the voting power of all classes of our share capital, the exercise price cannot be less than 110% of the fair market value of our ordinary shares on the date of that grant. The compensation committee will determine the time or times at which an option may be exercised in whole or in part, including exercise prior to vesting. The term may not exceed ten years from the date of the grant, except that five years is the maximum term of an ISO granted to an employee who holds more than 10% of the voting power of our share capital.</w:t>
      </w:r>
    </w:p>
    <w:p>
      <w:pPr>
        <w:spacing w:after="0" w:line="185"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Restricted Shares and Restricted Share Units</w:t>
      </w:r>
      <w:r>
        <w:rPr>
          <w:rFonts w:ascii="Times New Roman" w:cs="Times New Roman" w:eastAsia="Times New Roman" w:hAnsi="Times New Roman"/>
          <w:sz w:val="18"/>
          <w:szCs w:val="18"/>
          <w:color w:val="auto"/>
        </w:rPr>
        <w:t>. The compensation committee is also authorized to make awards of restricted shares and restricted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 units. Except as otherwise determined by the compensation committee at the time of the grant of an award or thereafter, upon termination of employment or service during the applicable restriction period, restricted shares that are at the time subject to restrictions shall be forfeited or repurchased in accordance with the respective award agreements.</w:t>
      </w:r>
    </w:p>
    <w:p>
      <w:pPr>
        <w:spacing w:after="0" w:line="180"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Vesting Schedule</w:t>
      </w:r>
      <w:r>
        <w:rPr>
          <w:rFonts w:ascii="Times New Roman" w:cs="Times New Roman" w:eastAsia="Times New Roman" w:hAnsi="Times New Roman"/>
          <w:sz w:val="18"/>
          <w:szCs w:val="18"/>
          <w:color w:val="auto"/>
        </w:rPr>
        <w:t>. The compensation committee determines, and the award agreement specifies, the vesting schedule of options and other awards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granted. The compensation committee determines the time or times at which an option may be exercised in whole or in part, including exercise prior to vesting, and also determines any conditions that must be satisfied before all or part of an option may be exercised. At the time of grant for restricted share units, the compensation committee specifies the date on which the restricted share units become fully vested and non-forfeitable, and may specify such conditions to vesting as it deems appropriate.</w:t>
      </w:r>
    </w:p>
    <w:p>
      <w:pPr>
        <w:spacing w:after="0" w:line="183"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Amendment and Termination</w:t>
      </w:r>
      <w:r>
        <w:rPr>
          <w:rFonts w:ascii="Times New Roman" w:cs="Times New Roman" w:eastAsia="Times New Roman" w:hAnsi="Times New Roman"/>
          <w:sz w:val="18"/>
          <w:szCs w:val="18"/>
          <w:color w:val="auto"/>
        </w:rPr>
        <w:t>. With the approval of our board of directors, the compensation committee may at any time amend, suspend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terminate our 2008 share incentive plan. Amendments to our 2008 share incentive plan are subject to shareholder approval, to the extent required by law, or by stock exchange rules or regulations. Any amendment, suspension or termination of our 2008 share incentive plan must not adversely affect in any material way awards already granted without written consent of the recipient of such awards. Our 2008 share incentive plan terminated in December 2018 upon the expiration of its ten-year term.</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174</w:t>
      </w:r>
    </w:p>
    <w:p>
      <w:pPr>
        <w:sectPr>
          <w:pgSz w:w="11900" w:h="16838" w:orient="portrait"/>
          <w:cols w:equalWidth="0" w:num="1">
            <w:col w:w="11140"/>
          </w:cols>
          <w:pgMar w:left="320" w:top="482" w:right="43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2018 Share Incentive Plan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paragraphs summarize the key terms of our 2018 share incentive plan.</w:t>
      </w:r>
    </w:p>
    <w:p>
      <w:pPr>
        <w:spacing w:after="0" w:line="22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Types of Awards</w:t>
      </w:r>
      <w:r>
        <w:rPr>
          <w:rFonts w:ascii="Times New Roman" w:cs="Times New Roman" w:eastAsia="Times New Roman" w:hAnsi="Times New Roman"/>
          <w:sz w:val="18"/>
          <w:szCs w:val="18"/>
          <w:color w:val="auto"/>
        </w:rPr>
        <w:t>. We may grant the following types of awards under our 2018 share incentive plan:</w:t>
      </w:r>
    </w:p>
    <w:p>
      <w:pPr>
        <w:spacing w:after="0" w:line="133" w:lineRule="exact"/>
        <w:rPr>
          <w:sz w:val="20"/>
          <w:szCs w:val="20"/>
          <w:color w:val="auto"/>
        </w:rPr>
      </w:pPr>
    </w:p>
    <w:p>
      <w:pPr>
        <w:ind w:left="1080" w:hanging="424"/>
        <w:spacing w:after="0"/>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(incentive share options, or ISO);</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shares;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share units;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form of awards granted to a participant pursuant to the 2018 plan.</w:t>
      </w:r>
    </w:p>
    <w:p>
      <w:pPr>
        <w:spacing w:after="0" w:line="223"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Plan Administration</w:t>
      </w:r>
      <w:r>
        <w:rPr>
          <w:rFonts w:ascii="Times New Roman" w:cs="Times New Roman" w:eastAsia="Times New Roman" w:hAnsi="Times New Roman"/>
          <w:sz w:val="18"/>
          <w:szCs w:val="18"/>
          <w:color w:val="auto"/>
        </w:rPr>
        <w:t>. The compensation committee of our board of directors administers our 2018 share incentive plan, but may delegate 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committee of one or more members of our board of directors the authority to grant or amend awards to participants other than independent directors and executive officers. The compensation committee will determine the provisions and terms and conditions of each award grant, including, but not limited to, the exercise price, the grant price or purchase price, any restrictions or limitations on the award, any schedule for lapse of forfeiture restrictions or restrictions on the exercisability of an award, and accelerations or waivers thereof, any provisions related to non-competition and recapture of gain on an award, based in each case on such considerations as the committee in its sole discretion determines. The compensation committee has the sole power and discretion to cancel, forfeit or surrender an outstanding award (whether or not in exchange for another award or combination or awards).</w:t>
      </w:r>
    </w:p>
    <w:p>
      <w:pPr>
        <w:spacing w:after="0" w:line="183" w:lineRule="exact"/>
        <w:rPr>
          <w:sz w:val="20"/>
          <w:szCs w:val="20"/>
          <w:color w:val="auto"/>
        </w:rPr>
      </w:pPr>
    </w:p>
    <w:p>
      <w:pPr>
        <w:jc w:val="both"/>
        <w:ind w:left="120" w:right="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Award Agreement</w:t>
      </w:r>
      <w:r>
        <w:rPr>
          <w:rFonts w:ascii="Times New Roman" w:cs="Times New Roman" w:eastAsia="Times New Roman" w:hAnsi="Times New Roman"/>
          <w:sz w:val="18"/>
          <w:szCs w:val="18"/>
          <w:color w:val="auto"/>
        </w:rPr>
        <w:t>. Awards granted under our 2018 share incentive plan are evidenced by an award agreement that sets forth the terms, conditions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limitations for each award which may include the term of an award, the provisions applicable in the event the participant’s employment or service ends, and our authority to unilaterally or bilaterally amend, modify, suspend, cancel or rescind an award.</w:t>
      </w:r>
    </w:p>
    <w:p>
      <w:pPr>
        <w:spacing w:after="0" w:line="173" w:lineRule="exact"/>
        <w:rPr>
          <w:sz w:val="20"/>
          <w:szCs w:val="20"/>
          <w:color w:val="auto"/>
        </w:rPr>
      </w:pPr>
    </w:p>
    <w:p>
      <w:pPr>
        <w:jc w:val="both"/>
        <w:ind w:left="1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Eligibility</w:t>
      </w:r>
      <w:r>
        <w:rPr>
          <w:rFonts w:ascii="Times New Roman" w:cs="Times New Roman" w:eastAsia="Times New Roman" w:hAnsi="Times New Roman"/>
          <w:sz w:val="18"/>
          <w:szCs w:val="18"/>
          <w:color w:val="auto"/>
        </w:rPr>
        <w:t>. We may grant awards to employees, directors and consultants of our company or any of our related entities, which include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subsidiaries or any entities in which we hold a substantial ownership interest. However, we may grant ISOs only to our employees and employees of our majority-owned subsidiaries.</w:t>
      </w:r>
    </w:p>
    <w:p>
      <w:pPr>
        <w:spacing w:after="0" w:line="173"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Acceleration of Awards upon Corporate Transactions</w:t>
      </w:r>
      <w:r>
        <w:rPr>
          <w:rFonts w:ascii="Times New Roman" w:cs="Times New Roman" w:eastAsia="Times New Roman" w:hAnsi="Times New Roman"/>
          <w:sz w:val="18"/>
          <w:szCs w:val="18"/>
          <w:color w:val="auto"/>
        </w:rPr>
        <w:t>. The outstanding awards will accelerate (i) upon occurrence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 change-of-control corporate transaction where any person acquires at least 50% of the total combined voting power of our outstanding securities or the incumbent board members no longer constitute at least 50% of our board, or (ii) upon occurrence of any other change-of-control corporate transaction in which the successor entity does not assume our outstanding awards under our 2018 share incentive plan;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plan participant remains an employee, consultant or member of our board of directors on the effective date of the corporate transaction. In such event, each outstanding award will become fully exercisable and all forfeiture restrictions on such award will lapse immediately prior to the specified effective date of the corporate transaction.</w:t>
      </w:r>
    </w:p>
    <w:p>
      <w:pPr>
        <w:spacing w:after="0" w:line="200" w:lineRule="exact"/>
        <w:rPr>
          <w:sz w:val="20"/>
          <w:szCs w:val="20"/>
          <w:color w:val="auto"/>
        </w:rPr>
      </w:pPr>
    </w:p>
    <w:p>
      <w:pPr>
        <w:spacing w:after="0" w:line="205"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If the successor entity assumes our outstanding awards and later terminates the grantee’s employment or service without cause within 12 months of the corporate transaction, or if the grantee resigns voluntarily with good reason, the outstanding awards automatically will become fully vested and exercisable. The compensation committee may also, in its sole discretion, upon or in anticipation of a corporate transaction, accelerate awards, purchase the awards from the plan participants, replace the awards, or provide for the payment of the awards in cash.</w:t>
      </w:r>
    </w:p>
    <w:p>
      <w:pPr>
        <w:spacing w:after="0" w:line="178"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Exercise Price and Term of Awards</w:t>
      </w:r>
      <w:r>
        <w:rPr>
          <w:rFonts w:ascii="Times New Roman" w:cs="Times New Roman" w:eastAsia="Times New Roman" w:hAnsi="Times New Roman"/>
          <w:sz w:val="18"/>
          <w:szCs w:val="18"/>
          <w:color w:val="auto"/>
        </w:rPr>
        <w:t>. The exercise price per share subject to an option may be amended or adjusted in the absolute discretion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committee, the determination of which shall be final, binding and conclusive. To the extent not prohibited by applicable laws or exchange rules, a downward adjustment of the exercise prices of options mentioned in the preceding sentence shall be effective without the approval of our shareholders or the approval of the affected grantees. If we grant an ISO to an employee, who, at the time of that grant, owns shares representing more than 10% of the voting power of all classes of our share capital, the exercise price cannot be less than 110% of the fair market value of our ordinary shares on the date of that grant. The compensation committee will determine the time or times at which an option may be exercised in whole or in part, including exercise prior to vesting. The term may not exceed ten years from the date of the grant, except that five years is the maximum term of an ISO granted to an employee who holds more than 10% of the voting power of our share capital.</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175</w:t>
      </w:r>
    </w:p>
    <w:p>
      <w:pPr>
        <w:sectPr>
          <w:pgSz w:w="11900" w:h="16838" w:orient="portrait"/>
          <w:cols w:equalWidth="0" w:num="1">
            <w:col w:w="11140"/>
          </w:cols>
          <w:pgMar w:left="320" w:top="482" w:right="43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2"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Restricted Shares and Restricted Share Units</w:t>
      </w:r>
      <w:r>
        <w:rPr>
          <w:rFonts w:ascii="Times New Roman" w:cs="Times New Roman" w:eastAsia="Times New Roman" w:hAnsi="Times New Roman"/>
          <w:sz w:val="18"/>
          <w:szCs w:val="18"/>
          <w:color w:val="auto"/>
        </w:rPr>
        <w:t>. The compensation committee is also authorized to make awards of restricted shares and restricted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 units. Except as otherwise determined by the compensation committee at the time of the grant of an award or thereafter, upon termination of employment or service during the applicable restriction period, restricted shares that are at the time subject to restrictions shall be forfeited or repurchased in accordance with the respective award agreements.</w:t>
      </w:r>
    </w:p>
    <w:p>
      <w:pPr>
        <w:spacing w:after="0" w:line="180"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Vesting Schedule</w:t>
      </w:r>
      <w:r>
        <w:rPr>
          <w:rFonts w:ascii="Times New Roman" w:cs="Times New Roman" w:eastAsia="Times New Roman" w:hAnsi="Times New Roman"/>
          <w:sz w:val="18"/>
          <w:szCs w:val="18"/>
          <w:color w:val="auto"/>
        </w:rPr>
        <w:t>. The compensation committee determines, and the award agreement specifies, the vesting schedule of options and other awards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granted. The compensation committee determines the time or times at which an option may be exercised in whole or in part, including exercise prior to vesting, and also determines any conditions that must be satisfied before all or part of an option may be exercised. At the time of grant for restricted share units, the compensation committee specifies the date on which the restricted share units become fully vested and non-forfeitable, and may specify such conditions to vesting as it deems appropriate.</w:t>
      </w:r>
    </w:p>
    <w:p>
      <w:pPr>
        <w:spacing w:after="0" w:line="183" w:lineRule="exact"/>
        <w:rPr>
          <w:sz w:val="20"/>
          <w:szCs w:val="20"/>
          <w:color w:val="auto"/>
        </w:rPr>
      </w:pPr>
    </w:p>
    <w:p>
      <w:pPr>
        <w:jc w:val="both"/>
        <w:ind w:left="120" w:right="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Amendment and Termination</w:t>
      </w:r>
      <w:r>
        <w:rPr>
          <w:rFonts w:ascii="Times New Roman" w:cs="Times New Roman" w:eastAsia="Times New Roman" w:hAnsi="Times New Roman"/>
          <w:sz w:val="18"/>
          <w:szCs w:val="18"/>
          <w:color w:val="auto"/>
        </w:rPr>
        <w:t>. With the approval of our board of directors, the compensation committee may at any time amend, suspend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terminate our 2018 share incentive plan. To the extent our company decides to not to follow home country practice, amendments to our 2018 share incentive plan are subject to shareholder approval, to the extent required by law, or by stock exchange rules or regulations. Any amendment, suspension or termination of our 2018 share incentive plan must not adversely affect in any material way awards already granted without written consent of the recipient of such awards. Unless terminated earlier, our 2018 share incentive plan shall continue in effect for a term of ten years from the date of adoption.</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2023 Share Incentive Plan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paragraphs summarize the key terms of our 2023 share incentive plan.</w:t>
      </w:r>
    </w:p>
    <w:p>
      <w:pPr>
        <w:spacing w:after="0" w:line="22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Types of Awards</w:t>
      </w:r>
      <w:r>
        <w:rPr>
          <w:rFonts w:ascii="Times New Roman" w:cs="Times New Roman" w:eastAsia="Times New Roman" w:hAnsi="Times New Roman"/>
          <w:sz w:val="18"/>
          <w:szCs w:val="18"/>
          <w:color w:val="auto"/>
        </w:rPr>
        <w:t>. We may grant the following types of awards under our 2023 share incentive plan:</w:t>
      </w:r>
    </w:p>
    <w:p>
      <w:pPr>
        <w:spacing w:after="0" w:line="133" w:lineRule="exact"/>
        <w:rPr>
          <w:sz w:val="20"/>
          <w:szCs w:val="20"/>
          <w:color w:val="auto"/>
        </w:rPr>
      </w:pPr>
    </w:p>
    <w:p>
      <w:pPr>
        <w:ind w:left="1080" w:hanging="424"/>
        <w:spacing w:after="0"/>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(incentive share options, or ISO);</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shares;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share units;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form of awards granted to a participant pursuant to the 2023 plan.</w:t>
      </w:r>
    </w:p>
    <w:p>
      <w:pPr>
        <w:spacing w:after="0" w:line="223"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Plan Administration</w:t>
      </w:r>
      <w:r>
        <w:rPr>
          <w:rFonts w:ascii="Times New Roman" w:cs="Times New Roman" w:eastAsia="Times New Roman" w:hAnsi="Times New Roman"/>
          <w:sz w:val="18"/>
          <w:szCs w:val="18"/>
          <w:color w:val="auto"/>
        </w:rPr>
        <w:t>. The compensation committee of our board of directors administers our 2023 share incentive plan, but may delegate 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committee of one or more members of our board of directors the authority to grant or amend awards to participants other than independent directors and executive officers. The compensation committee will determine the provisions and terms and conditions of each award grant, including, but not limited to, the exercise price, the grant price or purchase price, any restrictions or limitations on the award, any schedule for lapse of forfeiture restrictions or restrictions on the exercisability of an award, and accelerations or waivers thereof, any provisions related to non-competition and recapture of gain on an award, based in each case on such considerations as the committee in its sole discretion determines. The compensation committee has the sole power and discretion to cancel, forfeit or surrender an outstanding award (whether or not in exchange for another award or combination or awards).</w:t>
      </w:r>
    </w:p>
    <w:p>
      <w:pPr>
        <w:spacing w:after="0" w:line="183" w:lineRule="exact"/>
        <w:rPr>
          <w:sz w:val="20"/>
          <w:szCs w:val="20"/>
          <w:color w:val="auto"/>
        </w:rPr>
      </w:pPr>
    </w:p>
    <w:p>
      <w:pPr>
        <w:jc w:val="both"/>
        <w:ind w:left="120" w:right="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Award Agreement</w:t>
      </w:r>
      <w:r>
        <w:rPr>
          <w:rFonts w:ascii="Times New Roman" w:cs="Times New Roman" w:eastAsia="Times New Roman" w:hAnsi="Times New Roman"/>
          <w:sz w:val="18"/>
          <w:szCs w:val="18"/>
          <w:color w:val="auto"/>
        </w:rPr>
        <w:t>. Awards granted under our 2023 share incentive plan are evidenced by an award agreement that sets forth the terms, conditions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limitations for each award which may include the term of an award, the provisions applicable in the event the participant’s employment or service ends, and our authority to unilaterally or bilaterally amend, modify, suspend, cancel or rescind an award.</w:t>
      </w:r>
    </w:p>
    <w:p>
      <w:pPr>
        <w:spacing w:after="0" w:line="173" w:lineRule="exact"/>
        <w:rPr>
          <w:sz w:val="20"/>
          <w:szCs w:val="20"/>
          <w:color w:val="auto"/>
        </w:rPr>
      </w:pPr>
    </w:p>
    <w:p>
      <w:pPr>
        <w:jc w:val="both"/>
        <w:ind w:left="1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Eligibility</w:t>
      </w:r>
      <w:r>
        <w:rPr>
          <w:rFonts w:ascii="Times New Roman" w:cs="Times New Roman" w:eastAsia="Times New Roman" w:hAnsi="Times New Roman"/>
          <w:sz w:val="18"/>
          <w:szCs w:val="18"/>
          <w:color w:val="auto"/>
        </w:rPr>
        <w:t>. We may grant awards to employees, directors and consultants of our company or any of our related entities, which include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subsidiaries or any entities in which we hold a substantial ownership interest. However, we may grant ISOs only to our employees and employees of our majority-owned subsidiaries.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176</w:t>
      </w:r>
    </w:p>
    <w:p>
      <w:pPr>
        <w:sectPr>
          <w:pgSz w:w="11900" w:h="16838" w:orient="portrait"/>
          <w:cols w:equalWidth="0" w:num="1">
            <w:col w:w="11140"/>
          </w:cols>
          <w:pgMar w:left="320" w:top="482" w:right="43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2"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Acceleration of Awards upon Corporate Transactions</w:t>
      </w:r>
      <w:r>
        <w:rPr>
          <w:rFonts w:ascii="Times New Roman" w:cs="Times New Roman" w:eastAsia="Times New Roman" w:hAnsi="Times New Roman"/>
          <w:sz w:val="18"/>
          <w:szCs w:val="18"/>
          <w:color w:val="auto"/>
        </w:rPr>
        <w:t>. The outstanding awards will accelerate (i) upon occurrence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 change-of-control corporate transaction where any person acquires at least 50% of the total combined voting power of our outstanding securities or the incumbent board members no longer constitute at least 50% of our board, or (ii) upon occurrence of any other change-of-control corporate transaction in which the successor entity does not assume our outstanding awards under our 2023 share incentive plan;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plan participant remains an employee, consultant or member of our board of directors on the effective date of the corporate transaction. In such event, each outstanding award will become fully exercisable and all forfeiture restrictions on such award will lapse immediately prior to the specified effective date of the corporate transaction.</w:t>
      </w:r>
    </w:p>
    <w:p>
      <w:pPr>
        <w:spacing w:after="0" w:line="200" w:lineRule="exact"/>
        <w:rPr>
          <w:sz w:val="20"/>
          <w:szCs w:val="20"/>
          <w:color w:val="auto"/>
        </w:rPr>
      </w:pPr>
    </w:p>
    <w:p>
      <w:pPr>
        <w:spacing w:after="0" w:line="205"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If the successor entity assumes our outstanding awards and later terminates the grantee’s employment or service without cause within 12 months of the corporate transaction, or if the grantee resigns voluntarily with good reason, the outstanding awards automatically will become fully vested and exercisable. The compensation committee may also, in its sole discretion, upon or in anticipation of a corporate transaction, accelerate awards, purchase the awards from the plan participants, replace the awards, or provide for the payment of the awards in cash.</w:t>
      </w:r>
    </w:p>
    <w:p>
      <w:pPr>
        <w:spacing w:after="0" w:line="178"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Exercise Price and Term of Awards</w:t>
      </w:r>
      <w:r>
        <w:rPr>
          <w:rFonts w:ascii="Times New Roman" w:cs="Times New Roman" w:eastAsia="Times New Roman" w:hAnsi="Times New Roman"/>
          <w:sz w:val="18"/>
          <w:szCs w:val="18"/>
          <w:color w:val="auto"/>
        </w:rPr>
        <w:t>. The exercise price per share subject to an option may be amended or adjusted in the absolute discretion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committee, the determination of which shall be final, binding and conclusive. To the extent not prohibited by applicable laws or exchange rules, a downward adjustment of the exercise prices of options mentioned in the preceding sentence shall be effective without the approval of our shareholders or the approval of the affected grantees. If we grant an ISO to an employee, who, at the time of that grant, owns shares representing more than 10% of the voting power of all classes of our share capital, the exercise price cannot be less than 110% of the fair market value of our ordinary shares on the date of that grant. The compensation committee will determine the time or times at which an option may be exercised in whole or in part, including exercise prior to vesting. The term may not exceed ten years from the date of the grant, except that five years is the maximum term of an ISO granted to an employee who holds more than 10% of the voting power of our share capital.</w:t>
      </w:r>
    </w:p>
    <w:p>
      <w:pPr>
        <w:spacing w:after="0" w:line="185"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Restricted Shares and Restricted Share Units</w:t>
      </w:r>
      <w:r>
        <w:rPr>
          <w:rFonts w:ascii="Times New Roman" w:cs="Times New Roman" w:eastAsia="Times New Roman" w:hAnsi="Times New Roman"/>
          <w:sz w:val="18"/>
          <w:szCs w:val="18"/>
          <w:color w:val="auto"/>
        </w:rPr>
        <w:t>. The compensation committee is also authorized to make awards of restricted shares and restricted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 units. Except as otherwise determined by the compensation committee at the time of the grant of an award or thereafter, upon termination of employment or service during the applicable restriction period, restricted shares that are at the time subject to restrictions shall be forfeited or repurchased in accordance with the respective award agreements.</w:t>
      </w:r>
    </w:p>
    <w:p>
      <w:pPr>
        <w:spacing w:after="0" w:line="180"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Vesting Schedule</w:t>
      </w:r>
      <w:r>
        <w:rPr>
          <w:rFonts w:ascii="Times New Roman" w:cs="Times New Roman" w:eastAsia="Times New Roman" w:hAnsi="Times New Roman"/>
          <w:sz w:val="18"/>
          <w:szCs w:val="18"/>
          <w:color w:val="auto"/>
        </w:rPr>
        <w:t>. The compensation committee determines, and the award agreement specifies, the vesting schedule of options and other awards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granted. The compensation committee determines the time or times at which an option may be exercised in whole or in part, including exercise prior to vesting, and also determines any conditions that must be satisfied before all or part of an option may be exercised. At the time of grant for restricted share units, the compensation committee specifies the date on which the restricted share units become fully vested and non-forfeitable, and may specify such conditions to vesting as it deems appropriate.</w:t>
      </w:r>
    </w:p>
    <w:p>
      <w:pPr>
        <w:spacing w:after="0" w:line="183" w:lineRule="exact"/>
        <w:rPr>
          <w:sz w:val="20"/>
          <w:szCs w:val="20"/>
          <w:color w:val="auto"/>
        </w:rPr>
      </w:pPr>
    </w:p>
    <w:p>
      <w:pPr>
        <w:jc w:val="both"/>
        <w:ind w:left="120" w:right="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Amendment and Termination</w:t>
      </w:r>
      <w:r>
        <w:rPr>
          <w:rFonts w:ascii="Times New Roman" w:cs="Times New Roman" w:eastAsia="Times New Roman" w:hAnsi="Times New Roman"/>
          <w:sz w:val="18"/>
          <w:szCs w:val="18"/>
          <w:color w:val="auto"/>
        </w:rPr>
        <w:t>. With the approval of our board of directors, the compensation committee may at any time amend, suspend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terminate our 2023 share incentive plan. To the extent our company decides to not to follow home country practice, amendments to our 2023 share incentive plan are subject to shareholder approval, to the extent required by law, or by stock exchange rules or regulations. Any amendment, suspension or termination of our 2023 share incentive plan must not adversely affect in any material way awards already granted without written consent of the recipient of such awards. Unless terminated earlier, our 2023 share incentive plan shall continue in effect for a term of ten years from the date of adoption.</w:t>
      </w:r>
    </w:p>
    <w:p>
      <w:pPr>
        <w:spacing w:after="0" w:line="329" w:lineRule="exact"/>
        <w:rPr>
          <w:sz w:val="20"/>
          <w:szCs w:val="20"/>
          <w:color w:val="auto"/>
        </w:rPr>
      </w:pPr>
    </w:p>
    <w:p>
      <w:pPr>
        <w:ind w:left="120" w:right="9360" w:hanging="4"/>
        <w:spacing w:after="0" w:line="378" w:lineRule="auto"/>
        <w:tabs>
          <w:tab w:leader="none" w:pos="552"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 xml:space="preserve">Board Practices </w:t>
      </w:r>
      <w:r>
        <w:rPr>
          <w:rFonts w:ascii="Times New Roman" w:cs="Times New Roman" w:eastAsia="Times New Roman" w:hAnsi="Times New Roman"/>
          <w:sz w:val="18"/>
          <w:szCs w:val="18"/>
          <w:b w:val="1"/>
          <w:bCs w:val="1"/>
          <w:color w:val="auto"/>
        </w:rPr>
        <w:t>Board of Directors</w:t>
      </w: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Our board of directors has five directors. A director is not required to hold any shares in the company by way of qualification. A director may vote with respect to any contract, proposed contract or arrangement in which he is materially interested. A director may exercise all the powers of the company to borrow money, mortgage its undertakings, property and uncalled capital, and issue debentures or other securities whenever money is borrowed or as security for any obligation of the company or of any third party. The remuneration to be paid to the directors is determined by the board of directors. There is no age limit requirement for directors.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177</w:t>
      </w:r>
    </w:p>
    <w:p>
      <w:pPr>
        <w:sectPr>
          <w:pgSz w:w="11900" w:h="16838" w:orient="portrait"/>
          <w:cols w:equalWidth="0" w:num="1">
            <w:col w:w="11140"/>
          </w:cols>
          <w:pgMar w:left="320" w:top="482" w:right="43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121"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We have three committees under the board of directors: an audit committee, a compensation committee and a corporate governance and nominating committee. We have adopted a charter for each of the three committees.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21"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Our audit committee consists of Xiaodan Liu and Jixun Foo, all of whom satisfy the “independence” requirements of Rule 5605(a)(2) of the Nasdaq Stock Market Rules and Rule 10A-3 under the Exchange Act. Our board of directors has determined that Ms. Liu is an audit committee financial expert as defined in the instructions to Item 16A of the Form 20-F. The audit committee oversees our accounting and financial reporting processes and the audits of the financial statements of our company. The audit committee is responsible for, among other things:</w:t>
      </w:r>
    </w:p>
    <w:p>
      <w:pPr>
        <w:spacing w:after="0" w:line="85" w:lineRule="exact"/>
        <w:rPr>
          <w:sz w:val="20"/>
          <w:szCs w:val="20"/>
          <w:color w:val="auto"/>
        </w:rPr>
      </w:pPr>
    </w:p>
    <w:p>
      <w:pPr>
        <w:ind w:left="1080" w:right="20" w:hanging="424"/>
        <w:spacing w:after="0" w:line="282" w:lineRule="auto"/>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retaining and overseeing the work of the independent auditors, including resolving disagreements between the management and the independent auditors relating to financial reporting;</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pre-approving all auditing and non-auditing services permitted to be performed by the independent auditors;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annually the independence and quality control procedures of the independent auditors;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all proposed related party transactions;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the annual audited financial statements with the management;</w:t>
      </w:r>
    </w:p>
    <w:p>
      <w:pPr>
        <w:spacing w:after="0" w:line="130" w:lineRule="exact"/>
        <w:rPr>
          <w:rFonts w:ascii="Times New Roman" w:cs="Times New Roman" w:eastAsia="Times New Roman" w:hAnsi="Times New Roman"/>
          <w:sz w:val="18"/>
          <w:szCs w:val="18"/>
          <w:color w:val="auto"/>
        </w:rPr>
      </w:pPr>
    </w:p>
    <w:p>
      <w:pPr>
        <w:jc w:val="both"/>
        <w:ind w:left="1080" w:hanging="424"/>
        <w:spacing w:after="0" w:line="266" w:lineRule="auto"/>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separately with the independent auditors to discuss critical accounting policies, management letters, recommendations on internal controls, the auditor’s engagement letter and independence letter and other material written communications between the independent auditors and the management; and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attending to such other matters that are specifically delegated to our audit committee by our board of directors from time to time.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2025, our audit committee held meetings or passed resolutions by unanimous written consent 5 times.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21"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Our compensation committee consists of Yuanqing Yang and Jixun Foo, all of whom satisfy the “independence” requirements of Rule 5605(a)(2) of the Nasdaq Stock Market Rules. The compensation committee assists the board in reviewing and approving our compensation structure, including all forms of compensation relating to our directors and executive officers. Our chief executive officer may not be present at any committee meeting while his compensation is deliberated. The compensation committee is responsible for, among other things:</w:t>
      </w:r>
    </w:p>
    <w:p>
      <w:pPr>
        <w:spacing w:after="0" w:line="85" w:lineRule="exact"/>
        <w:rPr>
          <w:sz w:val="20"/>
          <w:szCs w:val="20"/>
          <w:color w:val="auto"/>
        </w:rPr>
      </w:pPr>
    </w:p>
    <w:p>
      <w:pPr>
        <w:ind w:left="1080" w:right="20" w:hanging="424"/>
        <w:spacing w:after="0" w:line="282" w:lineRule="auto"/>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recommending to the board for its approval, the compensation for our chief executive officer and other executive officers;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the board for determination with respect to the compensation of our non-employee directors;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periodically any compensation or equity plans, programs or similar arrangements; and</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compensation consultant, legal counsel or other adviser only after taking into consideration all factors relevant to that person’s independence from management.</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2025, our compensation committee held meetings or passed resolutions by unanimous written consent 4 times.</w:t>
      </w:r>
    </w:p>
    <w:p>
      <w:pPr>
        <w:spacing w:after="0" w:line="15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178</w:t>
      </w:r>
    </w:p>
    <w:p>
      <w:pPr>
        <w:sectPr>
          <w:pgSz w:w="11900" w:h="16838" w:orient="portrait"/>
          <w:cols w:equalWidth="0" w:num="1">
            <w:col w:w="11140"/>
          </w:cols>
          <w:pgMar w:left="320" w:top="482" w:right="43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Corporate Governance and Nominating Committee</w:t>
      </w:r>
    </w:p>
    <w:p>
      <w:pPr>
        <w:spacing w:after="0" w:line="121"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Our corporate governance and nominating committee consists of Yuanqing Yang and Jixun Foo, both of whom satisfy the “independence” requirements of Rule 5605(a) (2) of the Nasdaq Stock Market Rules. The corporate governance and nominating committee assists the board of directors in selecting individuals qualified to become our directors and in determining the composition of the board and its committees. The corporate governance and nominating committee is responsible for, among other things:</w:t>
      </w:r>
    </w:p>
    <w:p>
      <w:pPr>
        <w:spacing w:after="0" w:line="85" w:lineRule="exact"/>
        <w:rPr>
          <w:sz w:val="20"/>
          <w:szCs w:val="20"/>
          <w:color w:val="auto"/>
        </w:rPr>
      </w:pPr>
    </w:p>
    <w:p>
      <w:pPr>
        <w:ind w:left="1080" w:hanging="424"/>
        <w:spacing w:after="0"/>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to the board nominees for election or re-election to the board or for appointments to fill any vacancies;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annually the performance of each incumbent director in determining whether to recommend such director for an additional term;</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board in the board’s annual review of its own performance and the performance of the management; and</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considering, preparing and recommending to the board such policies and procedures with respect to corporate governance matters as may be required or required to be disclosed under the applicable laws or otherwise considered to be material.</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2025, our corporate governance and nominating committee passed resolutions by unanimous written consent 1 time.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Terms of Directors and Executive Officers</w:t>
      </w:r>
    </w:p>
    <w:p>
      <w:pPr>
        <w:spacing w:after="0" w:line="121"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All directors hold office until their successors have been duly appointed and qualified. None of our directors is subject to a fixed term of office. In addition, the service agreements between us and the directors do not provide benefits upon termination of their services. Director nomination is subject to the approval of our corporate governance and nominating committee. Our shareholders may remove any director by ordinary resolution and may in like manner appoint another person in his stead. A valid ordinary resolution requires a majority of the votes cast at a shareholder meeting that is duly constituted and meets the quorum requirement. Officers are appointed by and serve at the discretion of the board of directors.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Diversity</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740" w:type="dxa"/>
            <w:vAlign w:val="bottom"/>
          </w:tcPr>
          <w:p>
            <w:pPr>
              <w:spacing w:after="0"/>
              <w:rPr>
                <w:sz w:val="15"/>
                <w:szCs w:val="15"/>
                <w:color w:val="auto"/>
              </w:rPr>
            </w:pPr>
          </w:p>
        </w:tc>
        <w:tc>
          <w:tcPr>
            <w:tcW w:w="3380" w:type="dxa"/>
            <w:vAlign w:val="bottom"/>
            <w:gridSpan w:val="3"/>
          </w:tcPr>
          <w:p>
            <w:pPr>
              <w:jc w:val="right"/>
              <w:ind w:right="1848"/>
              <w:spacing w:after="0"/>
              <w:rPr>
                <w:sz w:val="20"/>
                <w:szCs w:val="20"/>
                <w:color w:val="auto"/>
              </w:rPr>
            </w:pPr>
            <w:r>
              <w:rPr>
                <w:rFonts w:ascii="Times New Roman" w:cs="Times New Roman" w:eastAsia="Times New Roman" w:hAnsi="Times New Roman"/>
                <w:sz w:val="14"/>
                <w:szCs w:val="14"/>
                <w:b w:val="1"/>
                <w:bCs w:val="1"/>
                <w:color w:val="auto"/>
              </w:rPr>
              <w:t>Board Diversity Matrix</w:t>
            </w: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Country of Principal Executive Offices:</w:t>
            </w:r>
          </w:p>
        </w:tc>
        <w:tc>
          <w:tcPr>
            <w:tcW w:w="1460" w:type="dxa"/>
            <w:vAlign w:val="bottom"/>
            <w:tcBorders>
              <w:top w:val="single" w:sz="8" w:color="auto"/>
            </w:tcBorders>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340" w:type="dxa"/>
            <w:vAlign w:val="bottom"/>
            <w:gridSpan w:val="5"/>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9"/>
              </w:rPr>
              <w:t>People’s Republic of China</w:t>
            </w: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Foreign Private Issuer</w:t>
            </w:r>
          </w:p>
        </w:tc>
        <w:tc>
          <w:tcPr>
            <w:tcW w:w="1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gridSpan w:val="3"/>
          </w:tcPr>
          <w:p>
            <w:pPr>
              <w:jc w:val="center"/>
              <w:ind w:right="540"/>
              <w:spacing w:after="0"/>
              <w:rPr>
                <w:sz w:val="20"/>
                <w:szCs w:val="20"/>
                <w:color w:val="auto"/>
              </w:rPr>
            </w:pPr>
            <w:r>
              <w:rPr>
                <w:rFonts w:ascii="Times New Roman" w:cs="Times New Roman" w:eastAsia="Times New Roman" w:hAnsi="Times New Roman"/>
                <w:sz w:val="18"/>
                <w:szCs w:val="18"/>
                <w:color w:val="auto"/>
                <w:w w:val="92"/>
              </w:rPr>
              <w:t>Yes</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Disclosure Prohibited Under Home Country Law</w:t>
            </w:r>
          </w:p>
        </w:tc>
        <w:tc>
          <w:tcPr>
            <w:tcW w:w="14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center"/>
              <w:ind w:right="540"/>
              <w:spacing w:after="0"/>
              <w:rPr>
                <w:sz w:val="20"/>
                <w:szCs w:val="20"/>
                <w:color w:val="auto"/>
              </w:rPr>
            </w:pPr>
            <w:r>
              <w:rPr>
                <w:rFonts w:ascii="Times New Roman" w:cs="Times New Roman" w:eastAsia="Times New Roman" w:hAnsi="Times New Roman"/>
                <w:sz w:val="18"/>
                <w:szCs w:val="18"/>
                <w:color w:val="auto"/>
                <w:w w:val="99"/>
              </w:rPr>
              <w:t>No</w:t>
            </w: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Total Number of Directors</w:t>
            </w:r>
          </w:p>
        </w:tc>
        <w:tc>
          <w:tcPr>
            <w:tcW w:w="14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gridSpan w:val="2"/>
          </w:tcPr>
          <w:p>
            <w:pPr>
              <w:jc w:val="center"/>
              <w:ind w:right="19"/>
              <w:spacing w:after="0"/>
              <w:rPr>
                <w:sz w:val="20"/>
                <w:szCs w:val="20"/>
                <w:color w:val="auto"/>
              </w:rPr>
            </w:pPr>
            <w:r>
              <w:rPr>
                <w:rFonts w:ascii="Times New Roman" w:cs="Times New Roman" w:eastAsia="Times New Roman" w:hAnsi="Times New Roman"/>
                <w:sz w:val="18"/>
                <w:szCs w:val="18"/>
                <w:color w:val="auto"/>
              </w:rPr>
              <w:t>5</w:t>
            </w:r>
          </w:p>
        </w:tc>
        <w:tc>
          <w:tcPr>
            <w:tcW w:w="440" w:type="dxa"/>
            <w:vAlign w:val="bottom"/>
          </w:tcPr>
          <w:p>
            <w:pPr>
              <w:spacing w:after="0"/>
              <w:rPr>
                <w:sz w:val="20"/>
                <w:szCs w:val="20"/>
                <w:color w:val="auto"/>
              </w:rPr>
            </w:pPr>
          </w:p>
        </w:tc>
        <w:tc>
          <w:tcPr>
            <w:tcW w:w="5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Did Not</w:t>
            </w:r>
          </w:p>
        </w:tc>
        <w:tc>
          <w:tcPr>
            <w:tcW w:w="0" w:type="dxa"/>
            <w:vAlign w:val="bottom"/>
          </w:tcPr>
          <w:p>
            <w:pPr>
              <w:spacing w:after="0"/>
              <w:rPr>
                <w:sz w:val="1"/>
                <w:szCs w:val="1"/>
                <w:color w:val="auto"/>
              </w:rPr>
            </w:pPr>
          </w:p>
        </w:tc>
      </w:tr>
      <w:tr>
        <w:trPr>
          <w:trHeight w:val="105"/>
        </w:trPr>
        <w:tc>
          <w:tcPr>
            <w:tcW w:w="47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5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Female</w:t>
            </w:r>
          </w:p>
        </w:tc>
        <w:tc>
          <w:tcPr>
            <w:tcW w:w="420" w:type="dxa"/>
            <w:vAlign w:val="bottom"/>
          </w:tcPr>
          <w:p>
            <w:pPr>
              <w:spacing w:after="0"/>
              <w:rPr>
                <w:sz w:val="12"/>
                <w:szCs w:val="12"/>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Male</w:t>
            </w:r>
          </w:p>
        </w:tc>
        <w:tc>
          <w:tcPr>
            <w:tcW w:w="440" w:type="dxa"/>
            <w:vAlign w:val="bottom"/>
          </w:tcPr>
          <w:p>
            <w:pPr>
              <w:spacing w:after="0"/>
              <w:rPr>
                <w:sz w:val="12"/>
                <w:szCs w:val="12"/>
                <w:color w:val="auto"/>
              </w:rPr>
            </w:pPr>
          </w:p>
        </w:tc>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Non-Binary</w:t>
            </w:r>
          </w:p>
        </w:tc>
        <w:tc>
          <w:tcPr>
            <w:tcW w:w="5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Disclose</w:t>
            </w:r>
          </w:p>
        </w:tc>
        <w:tc>
          <w:tcPr>
            <w:tcW w:w="0" w:type="dxa"/>
            <w:vAlign w:val="bottom"/>
          </w:tcPr>
          <w:p>
            <w:pPr>
              <w:spacing w:after="0"/>
              <w:rPr>
                <w:sz w:val="1"/>
                <w:szCs w:val="1"/>
                <w:color w:val="auto"/>
              </w:rPr>
            </w:pPr>
          </w:p>
        </w:tc>
      </w:tr>
      <w:tr>
        <w:trPr>
          <w:trHeight w:val="173"/>
        </w:trPr>
        <w:tc>
          <w:tcPr>
            <w:tcW w:w="47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5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Gender</w:t>
            </w:r>
          </w:p>
        </w:tc>
        <w:tc>
          <w:tcPr>
            <w:tcW w:w="0" w:type="dxa"/>
            <w:vAlign w:val="bottom"/>
          </w:tcPr>
          <w:p>
            <w:pPr>
              <w:spacing w:after="0"/>
              <w:rPr>
                <w:sz w:val="1"/>
                <w:szCs w:val="1"/>
                <w:color w:val="auto"/>
              </w:rPr>
            </w:pPr>
          </w:p>
        </w:tc>
      </w:tr>
      <w:tr>
        <w:trPr>
          <w:trHeight w:val="196"/>
        </w:trPr>
        <w:tc>
          <w:tcPr>
            <w:tcW w:w="47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Part I: Gender Identity</w:t>
            </w:r>
          </w:p>
        </w:tc>
        <w:tc>
          <w:tcPr>
            <w:tcW w:w="146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Directors</w:t>
            </w:r>
          </w:p>
        </w:tc>
        <w:tc>
          <w:tcPr>
            <w:tcW w:w="3380" w:type="dxa"/>
            <w:vAlign w:val="bottom"/>
            <w:gridSpan w:val="3"/>
          </w:tcPr>
          <w:p>
            <w:pPr>
              <w:jc w:val="right"/>
              <w:ind w:right="28"/>
              <w:spacing w:after="0"/>
              <w:rPr>
                <w:sz w:val="20"/>
                <w:szCs w:val="20"/>
                <w:color w:val="auto"/>
              </w:rPr>
            </w:pPr>
            <w:r>
              <w:rPr>
                <w:rFonts w:ascii="Times New Roman" w:cs="Times New Roman" w:eastAsia="Times New Roman" w:hAnsi="Times New Roman"/>
                <w:sz w:val="18"/>
                <w:szCs w:val="18"/>
                <w:color w:val="auto"/>
              </w:rPr>
              <w:t>2</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40" w:type="dxa"/>
            <w:vAlign w:val="bottom"/>
          </w:tcPr>
          <w:p>
            <w:pPr>
              <w:spacing w:after="0"/>
              <w:rPr>
                <w:sz w:val="18"/>
                <w:szCs w:val="18"/>
                <w:color w:val="auto"/>
              </w:rPr>
            </w:pPr>
          </w:p>
        </w:tc>
        <w:tc>
          <w:tcPr>
            <w:tcW w:w="11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N/A</w:t>
            </w:r>
          </w:p>
        </w:tc>
        <w:tc>
          <w:tcPr>
            <w:tcW w:w="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II: Demographic Background</w:t>
            </w:r>
          </w:p>
        </w:tc>
        <w:tc>
          <w:tcPr>
            <w:tcW w:w="14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Underrepresented Individual in Home Country Jurisdiction</w:t>
            </w:r>
          </w:p>
        </w:tc>
        <w:tc>
          <w:tcPr>
            <w:tcW w:w="1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center"/>
              <w:ind w:right="19"/>
              <w:spacing w:after="0"/>
              <w:rPr>
                <w:sz w:val="20"/>
                <w:szCs w:val="20"/>
                <w:color w:val="auto"/>
              </w:rPr>
            </w:pPr>
            <w:r>
              <w:rPr>
                <w:rFonts w:ascii="Times New Roman" w:cs="Times New Roman" w:eastAsia="Times New Roman" w:hAnsi="Times New Roman"/>
                <w:sz w:val="18"/>
                <w:szCs w:val="18"/>
                <w:color w:val="auto"/>
              </w:rPr>
              <w:t>0</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LGBTQ+</w:t>
            </w:r>
          </w:p>
        </w:tc>
        <w:tc>
          <w:tcPr>
            <w:tcW w:w="14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ind w:right="19"/>
              <w:spacing w:after="0"/>
              <w:rPr>
                <w:sz w:val="20"/>
                <w:szCs w:val="20"/>
                <w:color w:val="auto"/>
              </w:rPr>
            </w:pPr>
            <w:r>
              <w:rPr>
                <w:rFonts w:ascii="Times New Roman" w:cs="Times New Roman" w:eastAsia="Times New Roman" w:hAnsi="Times New Roman"/>
                <w:sz w:val="18"/>
                <w:szCs w:val="18"/>
                <w:color w:val="auto"/>
              </w:rPr>
              <w:t>0</w:t>
            </w: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42" w:lineRule="exact"/>
        <w:rPr>
          <w:sz w:val="20"/>
          <w:szCs w:val="20"/>
          <w:color w:val="auto"/>
        </w:rPr>
      </w:pPr>
    </w:p>
    <w:p>
      <w:pPr>
        <w:ind w:left="540" w:hanging="424"/>
        <w:spacing w:after="0"/>
        <w:tabs>
          <w:tab w:leader="none" w:pos="540"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Employees</w:t>
      </w:r>
    </w:p>
    <w:p>
      <w:pPr>
        <w:spacing w:after="0" w:line="121"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We had approximately 39,800, 35,900 and 33,500 full time employees as of December 31, 2023, 2024 and 2025, respectively. As of December 31, 2025, we had approximately 18,600 employees in research and development, 6,400 employees in sales and marketing, 5,600 employees in operation and service, and 2,900 employees in management and administration. As of December 31, 2025, we had approximately 22,100 employees in Beijing, 11,300 employees outside of Beijing but within China (for the avoidance of doubt, including Hong Kong, Macau and Taiwan), and approximately 100 employees outside of China. We also hire temporary employees and contractors from time to time. Our employees are not covered by any collective bargaining agreement. We consider our relations with our employees to be generally good. However, as our operations and employee base further expand, we cannot assure you that we will always be able to maintain good relations with all of our employees. See “Item 3.D. Key Information—Risk Factors—Risks Related to Our Business and Industry—We may not be able to manage our expanding operations effectively.”</w:t>
      </w:r>
    </w:p>
    <w:p>
      <w:pPr>
        <w:spacing w:after="0" w:line="12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179</w:t>
      </w:r>
    </w:p>
    <w:p>
      <w:pPr>
        <w:sectPr>
          <w:pgSz w:w="11900" w:h="16838" w:orient="portrait"/>
          <w:cols w:equalWidth="0" w:num="1">
            <w:col w:w="11140"/>
          </w:cols>
          <w:pgMar w:left="320" w:top="482" w:right="43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540" w:hanging="424"/>
        <w:spacing w:after="0"/>
        <w:tabs>
          <w:tab w:leader="none" w:pos="540"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Share Ownership</w:t>
      </w:r>
    </w:p>
    <w:p>
      <w:pPr>
        <w:spacing w:after="0" w:line="121" w:lineRule="exact"/>
        <w:rPr>
          <w:rFonts w:ascii="Times New Roman" w:cs="Times New Roman" w:eastAsia="Times New Roman" w:hAnsi="Times New Roman"/>
          <w:sz w:val="18"/>
          <w:szCs w:val="18"/>
          <w:b w:val="1"/>
          <w:bCs w:val="1"/>
          <w:color w:val="auto"/>
        </w:rPr>
      </w:pPr>
    </w:p>
    <w:p>
      <w:pPr>
        <w:ind w:left="5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sets forth information with respect to the beneficial ownership of our ordinary shares as of January 31, 2026 by:</w:t>
      </w:r>
    </w:p>
    <w:p>
      <w:pPr>
        <w:spacing w:after="0" w:line="130" w:lineRule="exact"/>
        <w:rPr>
          <w:rFonts w:ascii="Times New Roman" w:cs="Times New Roman" w:eastAsia="Times New Roman" w:hAnsi="Times New Roman"/>
          <w:sz w:val="18"/>
          <w:szCs w:val="18"/>
          <w:b w:val="1"/>
          <w:bCs w:val="1"/>
          <w:color w:val="auto"/>
        </w:rPr>
      </w:pPr>
    </w:p>
    <w:p>
      <w:pPr>
        <w:ind w:left="1080" w:hanging="424"/>
        <w:spacing w:after="0"/>
        <w:tabs>
          <w:tab w:leader="none" w:pos="108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 executive officers;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to us to own beneficially more than 5% of each class of our issued and outstanding shares.</w:t>
      </w:r>
    </w:p>
    <w:p>
      <w:pPr>
        <w:spacing w:after="0" w:line="225"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calculations in the table below are based on 2,722,021,272 ordinary shares, consisting of 2,198,000,952 Class A ordinary shares and 524,020,320 Class B ordinary shares issued and outstanding as of January 31, 2026.</w:t>
      </w:r>
    </w:p>
    <w:p>
      <w:pPr>
        <w:spacing w:after="0" w:line="162"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and regulations of the SEC. In computing the number of shares beneficially owned by a person and the percentage ownership and voting power percentage of that person, we have included shares and associated votes that the person has the right to acquire within 60 days, including through the exercise of any option, warrant or other right or the conversion of any other security. These shares and associated votes, however, are not included in the computation of the percentage ownership of any other person.</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See “—B. Compensation” for more details on options and restricted shares granted to our directors and executive officers.</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620" w:type="dxa"/>
            <w:vAlign w:val="bottom"/>
          </w:tcPr>
          <w:p>
            <w:pPr>
              <w:spacing w:after="0"/>
              <w:rPr>
                <w:sz w:val="13"/>
                <w:szCs w:val="13"/>
                <w:color w:val="auto"/>
              </w:rPr>
            </w:pPr>
          </w:p>
        </w:tc>
        <w:tc>
          <w:tcPr>
            <w:tcW w:w="11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1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840" w:type="dxa"/>
            <w:vAlign w:val="bottom"/>
            <w:gridSpan w:val="2"/>
            <w:vMerge w:val="restart"/>
          </w:tcPr>
          <w:p>
            <w:pPr>
              <w:jc w:val="center"/>
              <w:ind w:left="14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gridSpan w:val="2"/>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 of</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 of</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gridSpan w:val="2"/>
          </w:tcPr>
          <w:p>
            <w:pPr>
              <w:jc w:val="center"/>
              <w:ind w:right="98"/>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260" w:type="dxa"/>
            <w:vAlign w:val="bottom"/>
          </w:tcPr>
          <w:p>
            <w:pPr>
              <w:spacing w:after="0"/>
              <w:rPr>
                <w:sz w:val="12"/>
                <w:szCs w:val="12"/>
                <w:color w:val="auto"/>
              </w:rPr>
            </w:pPr>
          </w:p>
        </w:tc>
        <w:tc>
          <w:tcPr>
            <w:tcW w:w="70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20" w:type="dxa"/>
            <w:vAlign w:val="bottom"/>
          </w:tcPr>
          <w:p>
            <w:pPr>
              <w:spacing w:after="0"/>
              <w:rPr>
                <w:sz w:val="12"/>
                <w:szCs w:val="12"/>
                <w:color w:val="auto"/>
              </w:rPr>
            </w:pPr>
          </w:p>
        </w:tc>
        <w:tc>
          <w:tcPr>
            <w:tcW w:w="11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Ordinary</w:t>
            </w:r>
          </w:p>
        </w:tc>
        <w:tc>
          <w:tcPr>
            <w:tcW w:w="11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Ordinary</w:t>
            </w:r>
          </w:p>
        </w:tc>
        <w:tc>
          <w:tcPr>
            <w:tcW w:w="840" w:type="dxa"/>
            <w:vAlign w:val="bottom"/>
            <w:gridSpan w:val="2"/>
          </w:tcPr>
          <w:p>
            <w:pPr>
              <w:jc w:val="center"/>
              <w:ind w:left="143"/>
              <w:spacing w:after="0" w:line="149" w:lineRule="exact"/>
              <w:rPr>
                <w:sz w:val="20"/>
                <w:szCs w:val="20"/>
                <w:color w:val="auto"/>
              </w:rPr>
            </w:pPr>
            <w:r>
              <w:rPr>
                <w:rFonts w:ascii="Times New Roman" w:cs="Times New Roman" w:eastAsia="Times New Roman" w:hAnsi="Times New Roman"/>
                <w:sz w:val="14"/>
                <w:szCs w:val="14"/>
                <w:b w:val="1"/>
                <w:bCs w:val="1"/>
                <w:color w:val="auto"/>
              </w:rPr>
              <w:t>Ordinary</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Ordinary</w:t>
            </w:r>
          </w:p>
        </w:tc>
        <w:tc>
          <w:tcPr>
            <w:tcW w:w="260" w:type="dxa"/>
            <w:vAlign w:val="bottom"/>
          </w:tcPr>
          <w:p>
            <w:pPr>
              <w:spacing w:after="0"/>
              <w:rPr>
                <w:sz w:val="12"/>
                <w:szCs w:val="12"/>
                <w:color w:val="auto"/>
              </w:rPr>
            </w:pPr>
          </w:p>
        </w:tc>
        <w:tc>
          <w:tcPr>
            <w:tcW w:w="700" w:type="dxa"/>
            <w:vAlign w:val="bottom"/>
            <w:gridSpan w:val="4"/>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Voting</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620" w:type="dxa"/>
            <w:vAlign w:val="bottom"/>
          </w:tcPr>
          <w:p>
            <w:pPr>
              <w:spacing w:after="0"/>
              <w:rPr>
                <w:sz w:val="15"/>
                <w:szCs w:val="15"/>
                <w:color w:val="auto"/>
              </w:rPr>
            </w:pP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40" w:type="dxa"/>
            <w:vAlign w:val="bottom"/>
            <w:gridSpan w:val="2"/>
          </w:tcPr>
          <w:p>
            <w:pPr>
              <w:jc w:val="center"/>
              <w:ind w:left="143"/>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260" w:type="dxa"/>
            <w:vAlign w:val="bottom"/>
          </w:tcPr>
          <w:p>
            <w:pPr>
              <w:spacing w:after="0"/>
              <w:rPr>
                <w:sz w:val="15"/>
                <w:szCs w:val="15"/>
                <w:color w:val="auto"/>
              </w:rPr>
            </w:pPr>
          </w:p>
        </w:tc>
        <w:tc>
          <w:tcPr>
            <w:tcW w:w="70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Power</w:t>
            </w:r>
            <w:r>
              <w:rPr>
                <w:rFonts w:ascii="Times New Roman" w:cs="Times New Roman" w:eastAsia="Times New Roman" w:hAnsi="Times New Roman"/>
                <w:sz w:val="8"/>
                <w:szCs w:val="8"/>
                <w:b w:val="1"/>
                <w:bCs w:val="1"/>
                <w:color w:val="auto"/>
              </w:rPr>
              <w:t>†</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6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Directors and Executive Officers:</w:t>
            </w:r>
          </w:p>
        </w:tc>
        <w:tc>
          <w:tcPr>
            <w:tcW w:w="10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Robin Yanhong Li</w:t>
            </w:r>
            <w:r>
              <w:rPr>
                <w:rFonts w:ascii="Times New Roman" w:cs="Times New Roman" w:eastAsia="Times New Roman" w:hAnsi="Times New Roman"/>
                <w:sz w:val="25"/>
                <w:szCs w:val="25"/>
                <w:color w:val="auto"/>
                <w:vertAlign w:val="superscript"/>
              </w:rPr>
              <w:t>(1)</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68,114,224</w:t>
            </w: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439,200,000</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507,314,224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18.6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59.9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Yuanqing Yang</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shd w:val="clear" w:color="auto" w:fill="CCEEFF"/>
          </w:tcPr>
          <w:p>
            <w:pPr>
              <w:jc w:val="center"/>
              <w:ind w:left="383"/>
              <w:spacing w:after="0"/>
              <w:rPr>
                <w:sz w:val="20"/>
                <w:szCs w:val="20"/>
                <w:color w:val="auto"/>
              </w:rPr>
            </w:pPr>
            <w:r>
              <w:rPr>
                <w:rFonts w:ascii="Times New Roman" w:cs="Times New Roman" w:eastAsia="Times New Roman" w:hAnsi="Times New Roman"/>
                <w:sz w:val="4"/>
                <w:szCs w:val="4"/>
                <w:color w:val="auto"/>
                <w:w w:val="98"/>
              </w:rPr>
              <w:t> </w:t>
            </w:r>
          </w:p>
        </w:tc>
        <w:tc>
          <w:tcPr>
            <w:tcW w:w="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77"/>
              </w:rPr>
              <w:t> </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 </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shd w:val="clear" w:color="auto" w:fill="CCEEFF"/>
          </w:tcPr>
          <w:p>
            <w:pPr>
              <w:jc w:val="center"/>
              <w:ind w:left="71"/>
              <w:spacing w:after="0"/>
              <w:rPr>
                <w:sz w:val="20"/>
                <w:szCs w:val="20"/>
                <w:color w:val="auto"/>
              </w:rPr>
            </w:pPr>
            <w:r>
              <w:rPr>
                <w:rFonts w:ascii="Times New Roman" w:cs="Times New Roman" w:eastAsia="Times New Roman" w:hAnsi="Times New Roman"/>
                <w:sz w:val="8"/>
                <w:szCs w:val="8"/>
                <w:color w:val="auto"/>
                <w:w w:val="74"/>
              </w:rPr>
              <w:t> </w:t>
            </w:r>
          </w:p>
        </w:tc>
        <w:tc>
          <w:tcPr>
            <w:tcW w:w="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8"/>
                <w:szCs w:val="8"/>
                <w:color w:val="auto"/>
                <w:w w:val="74"/>
              </w:rPr>
              <w:t> </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shd w:val="clear" w:color="auto" w:fill="CCEEFF"/>
          </w:tcPr>
          <w:p>
            <w:pPr>
              <w:jc w:val="center"/>
              <w:ind w:left="109"/>
              <w:spacing w:after="0"/>
              <w:rPr>
                <w:sz w:val="20"/>
                <w:szCs w:val="20"/>
                <w:color w:val="auto"/>
              </w:rPr>
            </w:pPr>
            <w:r>
              <w:rPr>
                <w:rFonts w:ascii="Times New Roman" w:cs="Times New Roman" w:eastAsia="Times New Roman" w:hAnsi="Times New Roman"/>
                <w:sz w:val="4"/>
                <w:szCs w:val="4"/>
                <w:color w:val="auto"/>
                <w:w w:val="98"/>
              </w:rPr>
              <w:t> </w:t>
            </w:r>
          </w:p>
        </w:tc>
        <w:tc>
          <w:tcPr>
            <w:tcW w:w="3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Jixun Foo</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jc w:val="center"/>
              <w:ind w:left="383"/>
              <w:spacing w:after="0"/>
              <w:rPr>
                <w:sz w:val="20"/>
                <w:szCs w:val="20"/>
                <w:color w:val="auto"/>
              </w:rPr>
            </w:pPr>
            <w:r>
              <w:rPr>
                <w:rFonts w:ascii="Times New Roman" w:cs="Times New Roman" w:eastAsia="Times New Roman" w:hAnsi="Times New Roman"/>
                <w:sz w:val="4"/>
                <w:szCs w:val="4"/>
                <w:color w:val="auto"/>
                <w:w w:val="98"/>
              </w:rPr>
              <w:t> </w:t>
            </w:r>
          </w:p>
        </w:tc>
        <w:tc>
          <w:tcPr>
            <w:tcW w:w="2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77"/>
              </w:rPr>
              <w:t> </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 </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Pr>
          <w:p>
            <w:pPr>
              <w:ind w:left="10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jc w:val="center"/>
              <w:ind w:left="71"/>
              <w:spacing w:after="0"/>
              <w:rPr>
                <w:sz w:val="20"/>
                <w:szCs w:val="20"/>
                <w:color w:val="auto"/>
              </w:rPr>
            </w:pPr>
            <w:r>
              <w:rPr>
                <w:rFonts w:ascii="Times New Roman" w:cs="Times New Roman" w:eastAsia="Times New Roman" w:hAnsi="Times New Roman"/>
                <w:sz w:val="8"/>
                <w:szCs w:val="8"/>
                <w:color w:val="auto"/>
                <w:w w:val="74"/>
              </w:rPr>
              <w:t> </w:t>
            </w:r>
          </w:p>
        </w:tc>
        <w:tc>
          <w:tcPr>
            <w:tcW w:w="30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74"/>
              </w:rPr>
              <w:t>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ind w:left="160"/>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tcPr>
          <w:p>
            <w:pPr>
              <w:jc w:val="center"/>
              <w:ind w:left="109"/>
              <w:spacing w:after="0"/>
              <w:rPr>
                <w:sz w:val="20"/>
                <w:szCs w:val="20"/>
                <w:color w:val="auto"/>
              </w:rPr>
            </w:pPr>
            <w:r>
              <w:rPr>
                <w:rFonts w:ascii="Times New Roman" w:cs="Times New Roman" w:eastAsia="Times New Roman" w:hAnsi="Times New Roman"/>
                <w:sz w:val="4"/>
                <w:szCs w:val="4"/>
                <w:color w:val="auto"/>
                <w:w w:val="98"/>
              </w:rPr>
              <w:t> </w:t>
            </w:r>
          </w:p>
        </w:tc>
        <w:tc>
          <w:tcPr>
            <w:tcW w:w="320" w:type="dxa"/>
            <w:vAlign w:val="bottom"/>
            <w:gridSpan w:val="2"/>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Sandy Ran Xu</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shd w:val="clear" w:color="auto" w:fill="CCEEFF"/>
          </w:tcPr>
          <w:p>
            <w:pPr>
              <w:jc w:val="center"/>
              <w:ind w:left="383"/>
              <w:spacing w:after="0"/>
              <w:rPr>
                <w:sz w:val="20"/>
                <w:szCs w:val="20"/>
                <w:color w:val="auto"/>
              </w:rPr>
            </w:pPr>
            <w:r>
              <w:rPr>
                <w:rFonts w:ascii="Times New Roman" w:cs="Times New Roman" w:eastAsia="Times New Roman" w:hAnsi="Times New Roman"/>
                <w:sz w:val="4"/>
                <w:szCs w:val="4"/>
                <w:color w:val="auto"/>
                <w:w w:val="98"/>
              </w:rPr>
              <w:t> </w:t>
            </w:r>
          </w:p>
        </w:tc>
        <w:tc>
          <w:tcPr>
            <w:tcW w:w="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77"/>
              </w:rPr>
              <w:t> </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 </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shd w:val="clear" w:color="auto" w:fill="CCEEFF"/>
          </w:tcPr>
          <w:p>
            <w:pPr>
              <w:jc w:val="center"/>
              <w:ind w:left="71"/>
              <w:spacing w:after="0"/>
              <w:rPr>
                <w:sz w:val="20"/>
                <w:szCs w:val="20"/>
                <w:color w:val="auto"/>
              </w:rPr>
            </w:pPr>
            <w:r>
              <w:rPr>
                <w:rFonts w:ascii="Times New Roman" w:cs="Times New Roman" w:eastAsia="Times New Roman" w:hAnsi="Times New Roman"/>
                <w:sz w:val="8"/>
                <w:szCs w:val="8"/>
                <w:color w:val="auto"/>
                <w:w w:val="74"/>
              </w:rPr>
              <w:t> </w:t>
            </w:r>
          </w:p>
        </w:tc>
        <w:tc>
          <w:tcPr>
            <w:tcW w:w="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8"/>
                <w:szCs w:val="8"/>
                <w:color w:val="auto"/>
                <w:w w:val="74"/>
              </w:rPr>
              <w:t> </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shd w:val="clear" w:color="auto" w:fill="CCEEFF"/>
          </w:tcPr>
          <w:p>
            <w:pPr>
              <w:jc w:val="center"/>
              <w:ind w:left="109"/>
              <w:spacing w:after="0"/>
              <w:rPr>
                <w:sz w:val="20"/>
                <w:szCs w:val="20"/>
                <w:color w:val="auto"/>
              </w:rPr>
            </w:pPr>
            <w:r>
              <w:rPr>
                <w:rFonts w:ascii="Times New Roman" w:cs="Times New Roman" w:eastAsia="Times New Roman" w:hAnsi="Times New Roman"/>
                <w:sz w:val="4"/>
                <w:szCs w:val="4"/>
                <w:color w:val="auto"/>
                <w:w w:val="98"/>
              </w:rPr>
              <w:t> </w:t>
            </w:r>
          </w:p>
        </w:tc>
        <w:tc>
          <w:tcPr>
            <w:tcW w:w="3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Xiaodan Liu</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jc w:val="center"/>
              <w:ind w:left="383"/>
              <w:spacing w:after="0"/>
              <w:rPr>
                <w:sz w:val="20"/>
                <w:szCs w:val="20"/>
                <w:color w:val="auto"/>
              </w:rPr>
            </w:pPr>
            <w:r>
              <w:rPr>
                <w:rFonts w:ascii="Times New Roman" w:cs="Times New Roman" w:eastAsia="Times New Roman" w:hAnsi="Times New Roman"/>
                <w:sz w:val="4"/>
                <w:szCs w:val="4"/>
                <w:color w:val="auto"/>
                <w:w w:val="98"/>
              </w:rPr>
              <w:t> </w:t>
            </w:r>
          </w:p>
        </w:tc>
        <w:tc>
          <w:tcPr>
            <w:tcW w:w="2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77"/>
              </w:rPr>
              <w:t> </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 </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Pr>
          <w:p>
            <w:pPr>
              <w:ind w:left="10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jc w:val="center"/>
              <w:ind w:left="71"/>
              <w:spacing w:after="0"/>
              <w:rPr>
                <w:sz w:val="20"/>
                <w:szCs w:val="20"/>
                <w:color w:val="auto"/>
              </w:rPr>
            </w:pPr>
            <w:r>
              <w:rPr>
                <w:rFonts w:ascii="Times New Roman" w:cs="Times New Roman" w:eastAsia="Times New Roman" w:hAnsi="Times New Roman"/>
                <w:sz w:val="8"/>
                <w:szCs w:val="8"/>
                <w:color w:val="auto"/>
                <w:w w:val="74"/>
              </w:rPr>
              <w:t> </w:t>
            </w:r>
          </w:p>
        </w:tc>
        <w:tc>
          <w:tcPr>
            <w:tcW w:w="30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74"/>
              </w:rPr>
              <w:t>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ind w:left="160"/>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tcPr>
          <w:p>
            <w:pPr>
              <w:jc w:val="center"/>
              <w:ind w:left="109"/>
              <w:spacing w:after="0"/>
              <w:rPr>
                <w:sz w:val="20"/>
                <w:szCs w:val="20"/>
                <w:color w:val="auto"/>
              </w:rPr>
            </w:pPr>
            <w:r>
              <w:rPr>
                <w:rFonts w:ascii="Times New Roman" w:cs="Times New Roman" w:eastAsia="Times New Roman" w:hAnsi="Times New Roman"/>
                <w:sz w:val="4"/>
                <w:szCs w:val="4"/>
                <w:color w:val="auto"/>
                <w:w w:val="98"/>
              </w:rPr>
              <w:t> </w:t>
            </w:r>
          </w:p>
        </w:tc>
        <w:tc>
          <w:tcPr>
            <w:tcW w:w="320" w:type="dxa"/>
            <w:vAlign w:val="bottom"/>
            <w:gridSpan w:val="2"/>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Haijian He</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shd w:val="clear" w:color="auto" w:fill="CCEEFF"/>
          </w:tcPr>
          <w:p>
            <w:pPr>
              <w:jc w:val="center"/>
              <w:ind w:left="383"/>
              <w:spacing w:after="0"/>
              <w:rPr>
                <w:sz w:val="20"/>
                <w:szCs w:val="20"/>
                <w:color w:val="auto"/>
              </w:rPr>
            </w:pPr>
            <w:r>
              <w:rPr>
                <w:rFonts w:ascii="Times New Roman" w:cs="Times New Roman" w:eastAsia="Times New Roman" w:hAnsi="Times New Roman"/>
                <w:sz w:val="4"/>
                <w:szCs w:val="4"/>
                <w:color w:val="auto"/>
                <w:w w:val="98"/>
              </w:rPr>
              <w:t> </w:t>
            </w:r>
          </w:p>
        </w:tc>
        <w:tc>
          <w:tcPr>
            <w:tcW w:w="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77"/>
              </w:rPr>
              <w:t> </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 </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shd w:val="clear" w:color="auto" w:fill="CCEEFF"/>
          </w:tcPr>
          <w:p>
            <w:pPr>
              <w:jc w:val="center"/>
              <w:ind w:left="71"/>
              <w:spacing w:after="0"/>
              <w:rPr>
                <w:sz w:val="20"/>
                <w:szCs w:val="20"/>
                <w:color w:val="auto"/>
              </w:rPr>
            </w:pPr>
            <w:r>
              <w:rPr>
                <w:rFonts w:ascii="Times New Roman" w:cs="Times New Roman" w:eastAsia="Times New Roman" w:hAnsi="Times New Roman"/>
                <w:sz w:val="8"/>
                <w:szCs w:val="8"/>
                <w:color w:val="auto"/>
                <w:w w:val="74"/>
              </w:rPr>
              <w:t> </w:t>
            </w:r>
          </w:p>
        </w:tc>
        <w:tc>
          <w:tcPr>
            <w:tcW w:w="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8"/>
                <w:szCs w:val="8"/>
                <w:color w:val="auto"/>
                <w:w w:val="74"/>
              </w:rPr>
              <w:t> </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shd w:val="clear" w:color="auto" w:fill="CCEEFF"/>
          </w:tcPr>
          <w:p>
            <w:pPr>
              <w:jc w:val="center"/>
              <w:ind w:left="109"/>
              <w:spacing w:after="0"/>
              <w:rPr>
                <w:sz w:val="20"/>
                <w:szCs w:val="20"/>
                <w:color w:val="auto"/>
              </w:rPr>
            </w:pPr>
            <w:r>
              <w:rPr>
                <w:rFonts w:ascii="Times New Roman" w:cs="Times New Roman" w:eastAsia="Times New Roman" w:hAnsi="Times New Roman"/>
                <w:sz w:val="4"/>
                <w:szCs w:val="4"/>
                <w:color w:val="auto"/>
                <w:w w:val="98"/>
              </w:rPr>
              <w:t> </w:t>
            </w:r>
          </w:p>
        </w:tc>
        <w:tc>
          <w:tcPr>
            <w:tcW w:w="3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0" w:type="dxa"/>
            <w:vAlign w:val="bottom"/>
          </w:tcPr>
          <w:p>
            <w:pPr>
              <w:spacing w:after="0"/>
              <w:rPr>
                <w:sz w:val="1"/>
                <w:szCs w:val="1"/>
                <w:color w:val="auto"/>
              </w:rPr>
            </w:pPr>
          </w:p>
        </w:tc>
      </w:tr>
      <w:tr>
        <w:trPr>
          <w:trHeight w:val="216"/>
        </w:trPr>
        <w:tc>
          <w:tcPr>
            <w:tcW w:w="562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All Directors and Executive Officers as a Group</w:t>
            </w:r>
            <w:r>
              <w:rPr>
                <w:rFonts w:ascii="Times New Roman" w:cs="Times New Roman" w:eastAsia="Times New Roman" w:hAnsi="Times New Roman"/>
                <w:sz w:val="25"/>
                <w:szCs w:val="25"/>
                <w:color w:val="auto"/>
                <w:vertAlign w:val="superscript"/>
              </w:rPr>
              <w:t>(2)</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68,147,040</w:t>
            </w: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439,200,000</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507,347,040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18.6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59.9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Principal Shareholders:</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Handsome Reward Limited</w:t>
            </w:r>
            <w:r>
              <w:rPr>
                <w:rFonts w:ascii="Times New Roman" w:cs="Times New Roman" w:eastAsia="Times New Roman" w:hAnsi="Times New Roman"/>
                <w:sz w:val="25"/>
                <w:szCs w:val="25"/>
                <w:color w:val="auto"/>
                <w:vertAlign w:val="superscript"/>
              </w:rPr>
              <w:t>(3)</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10,019,376</w:t>
            </w: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439,200,000</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449,219,376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16.5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59.2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BlackRock, Inc.</w:t>
            </w:r>
            <w:r>
              <w:rPr>
                <w:rFonts w:ascii="Times New Roman" w:cs="Times New Roman" w:eastAsia="Times New Roman" w:hAnsi="Times New Roman"/>
                <w:sz w:val="25"/>
                <w:szCs w:val="25"/>
                <w:color w:val="auto"/>
                <w:vertAlign w:val="superscript"/>
              </w:rPr>
              <w:t>(4)</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128,640,168</w:t>
            </w:r>
          </w:p>
        </w:tc>
        <w:tc>
          <w:tcPr>
            <w:tcW w:w="11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128,640,168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Notes:</w:t>
      </w:r>
    </w:p>
    <w:p>
      <w:pPr>
        <w:spacing w:after="0" w:line="12" w:lineRule="exact"/>
        <w:rPr>
          <w:sz w:val="20"/>
          <w:szCs w:val="20"/>
          <w:color w:val="auto"/>
        </w:rPr>
      </w:pPr>
    </w:p>
    <w:p>
      <w:pPr>
        <w:jc w:val="both"/>
        <w:ind w:left="540" w:hanging="424"/>
        <w:spacing w:after="0" w:line="252" w:lineRule="auto"/>
        <w:tabs>
          <w:tab w:leader="none" w:pos="5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person and group included in this column, percentage of voting power is calculated by dividing the voting power beneficially owned by such person or group by the voting power of all of our Class A ordinary shares and Class B ordinary shares as a single class. Each holder of Class A ordinary shares is entitled to one vote per share and each holder of our Class B ordinary shares is entitled to 10 votes per share on all matters submitted to them for a vote. Our Class A ordinary shares and Class B ordinary shares vote together as a single class on all matters submitted to a vote of our shareholders and other matters as may otherwise be required by law. Each Class B ordinary share is convertible at any time by the holder thereof into one Class A ordinary share.</w:t>
      </w:r>
    </w:p>
    <w:p>
      <w:pPr>
        <w:spacing w:after="0" w:line="1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180</w:t>
      </w:r>
    </w:p>
    <w:p>
      <w:pPr>
        <w:sectPr>
          <w:pgSz w:w="11900" w:h="16838" w:orient="portrait"/>
          <w:cols w:equalWidth="0" w:num="1">
            <w:col w:w="11140"/>
          </w:cols>
          <w:pgMar w:left="320" w:top="482" w:right="43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540" w:hanging="424"/>
        <w:spacing w:after="0"/>
        <w:tabs>
          <w:tab w:leader="none" w:pos="5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 of our total outstanding ordinary shares.</w:t>
      </w:r>
    </w:p>
    <w:p>
      <w:pPr>
        <w:spacing w:after="0" w:line="27" w:lineRule="exact"/>
        <w:rPr>
          <w:sz w:val="20"/>
          <w:szCs w:val="20"/>
          <w:color w:val="auto"/>
        </w:rPr>
      </w:pPr>
    </w:p>
    <w:p>
      <w:pPr>
        <w:jc w:val="both"/>
        <w:ind w:left="540" w:hanging="424"/>
        <w:spacing w:after="0" w:line="250" w:lineRule="auto"/>
        <w:tabs>
          <w:tab w:leader="none" w:pos="5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Yuanqing Yang, Jixun Foo, Sandy Ran Xu and Xiaodan Liu, the business address of our directors and executive officers is c/o Baidu, Inc., Baidu Campus, Shangdi 10th Street, Haidian District, Beijing 100085, PRC. The business address of Yuanqing Yang is Building 1, No. 10 Courtyard Xibeiwang East Road, Beijing, China. The business address of Jixun Foo is #21-02 Guoco Midtown, 128 Beach Road, 189773, Singapore. The business address of Sandy Ran Xu is 14/F, JD Tower A, 18 Kechuang 11th Street, Beijing, 101111, China. The business address of Xiaodan Liu is STE. 801, KR Center West Tower, Courtyard No. 6, Weigongcun Road, Beijing 100086, China.</w:t>
      </w:r>
    </w:p>
    <w:p>
      <w:pPr>
        <w:spacing w:after="0" w:line="2" w:lineRule="exact"/>
        <w:rPr>
          <w:sz w:val="20"/>
          <w:szCs w:val="20"/>
          <w:color w:val="auto"/>
        </w:rPr>
      </w:pPr>
    </w:p>
    <w:p>
      <w:pPr>
        <w:jc w:val="both"/>
        <w:ind w:left="540" w:hanging="424"/>
        <w:spacing w:after="0" w:line="250" w:lineRule="auto"/>
        <w:tabs>
          <w:tab w:leader="none" w:pos="5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3,013,200 Class A Ordinary Shares directly held by Mr. Robin Yanhong Li on record, (ii) 3,530,768 Class A ordinary shares in the form of ADSs held by Mr. Robin Yanhong Li in the brokerage account of the administrator of our employee stock option program, (iii) 439,200,000 Class B ordinary shares held on record by Handsome Reward Limited, a British Virgin Islands company wholly owned by Mr. Robin Yanhong Li, (iv) 8,252,408 Class A ordinary shares in the form of ADSs held by Handsome Reward Limited in the brokerage account of the administrator of our employee stock option program, (v) 1,404,960 Class A ordinary shares issuable to Handsome Reward Limited upon exercise of options within 60 days after the date of January 31, 2026, (vi) 362,008 Class A Ordinary Shares issuable to Handsome Reward Limited upon vesting of restricted shares within 60 days after January 31, 2026, and (vii) 51,550,880 Class A ordinary shares in the form of ADSs held by certain employees who have granted Mr. Li irrevocable voting proxies with respect to these shares on their behalf as of January 31, 2026. This excludes 3,465,992 Class A ordinary shares, including in the form of American depositary shares, and 84,720,000 Class B ordinary shares, all of which are owned by Ms. Melissa Ma, Mr. Robin Yanhong Li’s wife, as of January 31, 2026, and Mr. Robin Yanhong Li disclaims beneficial ownership of all of such shares.</w:t>
      </w:r>
    </w:p>
    <w:p>
      <w:pPr>
        <w:spacing w:after="0" w:line="4" w:lineRule="exact"/>
        <w:rPr>
          <w:rFonts w:ascii="Times New Roman" w:cs="Times New Roman" w:eastAsia="Times New Roman" w:hAnsi="Times New Roman"/>
          <w:sz w:val="18"/>
          <w:szCs w:val="18"/>
          <w:color w:val="auto"/>
        </w:rPr>
      </w:pPr>
    </w:p>
    <w:p>
      <w:pPr>
        <w:ind w:left="540" w:right="20" w:hanging="424"/>
        <w:spacing w:after="0" w:line="250" w:lineRule="auto"/>
        <w:tabs>
          <w:tab w:leader="none" w:pos="5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51,550,880 Class A ordinary shares in the form of ADSs held by certain employees who have granted Mr. Robin Yanhong Li irrevocable voting proxies with respect to these shares on their behalf as of January 31, 2026.</w:t>
      </w:r>
    </w:p>
    <w:p>
      <w:pPr>
        <w:jc w:val="both"/>
        <w:ind w:left="540" w:hanging="424"/>
        <w:spacing w:after="0" w:line="250" w:lineRule="auto"/>
        <w:tabs>
          <w:tab w:leader="none" w:pos="5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439,200,000 Class B ordinary shares held by Handsome Reward Limited, a British Virgin Islands company wholly owned and controlled by Mr. Robin Yanhong Li, (ii) 8,252,408 Class A ordinary shares in the form of ADSs held by Handsome Reward Limited in the brokerage account of the administrator of our employee stock option program, (iii) 1,404,960 Class A Ordinary Shares issuable to Handsome Reward Limited upon exercise of options within 60 days after the date of January 31, 2026, and (iv) 362,008 Class A Ordinary Shares issuable to Handsome Reward Limited upon vesting of restricted shares within 60 days after January 31, 2026.</w:t>
      </w:r>
    </w:p>
    <w:p>
      <w:pPr>
        <w:spacing w:after="0" w:line="1" w:lineRule="exact"/>
        <w:rPr>
          <w:rFonts w:ascii="Times New Roman" w:cs="Times New Roman" w:eastAsia="Times New Roman" w:hAnsi="Times New Roman"/>
          <w:sz w:val="18"/>
          <w:szCs w:val="18"/>
          <w:color w:val="auto"/>
        </w:rPr>
      </w:pPr>
    </w:p>
    <w:p>
      <w:pPr>
        <w:jc w:val="both"/>
        <w:ind w:left="540" w:right="20" w:hanging="424"/>
        <w:spacing w:after="0" w:line="252" w:lineRule="auto"/>
        <w:tabs>
          <w:tab w:leader="none" w:pos="5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128,640,168 Class A ordinary shares beneficially owned by BlackRock, Inc., over which BlackRock, Inc. has sole dispositive power, as of December 31, 2023. BlackRock, Inc. is a Delaware corporation listed on the NYSE. The principal business address of BlackRock, Inc. is 50 Hudson Yards, New York, NY 10001, United States of America. The calculation of BlackRock’s voting power is based on 116,610,874 Class A ordinary shares, over which BlackRock, Inc. has sole voting power, as of December 31, 2023. The above information is based on the Schedule 13G/A filed by BlackRock, Inc. on February 1, 2024. The percentage of total ordinary shares and the percentage of aggregate voting power for BlackRock Inc. are calculated based on the number of our company’s total outstanding shares as of January 31, 2026 and assuming BlackRock Inc.’s shareholding has not change since December 31, 2023.</w:t>
      </w:r>
    </w:p>
    <w:p>
      <w:pPr>
        <w:spacing w:after="0" w:line="188"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As of January 31, 2026, to our knowledge, approximately 29.7% of our total issued and outstanding ordinary shares were held by two record shareholders in the United States, including approximately 29.7% held by The Bank of New York Mellon, the depositary of our ADS program. The number of beneficial owners of ADSs in the United States is likely to be much larger than the number of record holders of our ordinary shares in the United States. For instance, BlackRock Inc. is an ADS holder in the United States that beneficially owns 128,640,168 Class A ordinary shares as of December 31, 2023 according to the Schedule 13G/A filed by it, but is not a record holder of our ordinary shares. Please see footnote (4) of the above table for more details. We are not aware of any arrangement that may, at a subsequent date, result in a change of control of our company.</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Weighted Voting Rights Structure</w:t>
      </w:r>
    </w:p>
    <w:p>
      <w:pPr>
        <w:spacing w:after="0" w:line="121"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Under our weighted voting rights structure, our share capital comprises Class A ordinary shares and Class B ordinary shares. Each Class A ordinary share entitles the holder to exercise one vote, and each Class B ordinary share entitles the holder to exercise 10 votes, respectively, on all matters subject to the vote at general meetings of our company. We issued Class A ordinary shares represented by our ADSs in our initial public offering in 2005.</w:t>
      </w:r>
    </w:p>
    <w:p>
      <w:pPr>
        <w:spacing w:after="0" w:line="180"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Pursuant to our articles of association, the directors of our board may, from time to time subject to their fiduciary duties to act in the best interests of our company and for a proper purpose, cause our company to issue preferred shares and determine, among others, their conversion rights, which may include conversion to Class A and/or Class B ordinary shares. Such rights are subject to the approval and discretion of the board.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181</w:t>
      </w:r>
    </w:p>
    <w:p>
      <w:pPr>
        <w:sectPr>
          <w:pgSz w:w="11900" w:h="16838" w:orient="portrait"/>
          <w:cols w:equalWidth="0" w:num="1">
            <w:col w:w="11140"/>
          </w:cols>
          <w:pgMar w:left="320" w:top="482" w:right="43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Each Class B ordinary share is convertible into one Class A ordinary share at any time by the holder thereof. See “Item 3.D. Key Information— Risk Factors—Risks Related to Our ADSs and Class A Ordinary shares—Our dual-class ordinary share structure with different voting rights could discourage others from pursuing any change of control transactions that holders of our Class A ordinary shares and ADSs may view as beneficial.” Upon the conversion of all the issued and outstanding Class B ordinary shares as at January 31, 2026 into Class A ordinary shares, our company would issue 524,020,320 Class A ordinary shares, representing approximately 19.3% of the total number of issued and outstanding Class A ordinary shares as at January 31, 2026 (without taking into account any allotment and issuance of Shares pursuant to the exercise of options or the vesting of share awards that have been or may be granted from time to time and any issuance or repurchase of Shares and/or ADSs that we may make).</w:t>
      </w:r>
    </w:p>
    <w:p>
      <w:pPr>
        <w:spacing w:after="0" w:line="189"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Each Class B ordinary share is convertible into one Class A ordinary share at any time by the holder thereof. If at any time Robin Yanhong Li and his Affiliates (as defined in our articles of association) collectively own less than 5% of the total number of the issued and outstanding Class B Ordinary Shares, each issued and outstanding Class B Ordinary Share shall be automatically and immediately converted into one Class A ordinary share, and no Class B Ordinary Shares shall be issued by our company thereafter.</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Class B ordinary shares shall also be automatically and immediately converted into an equal number of Class A ordinary shares:</w:t>
      </w:r>
    </w:p>
    <w:p>
      <w:pPr>
        <w:spacing w:after="0" w:line="131" w:lineRule="exact"/>
        <w:rPr>
          <w:sz w:val="20"/>
          <w:szCs w:val="20"/>
          <w:color w:val="auto"/>
        </w:rPr>
      </w:pPr>
    </w:p>
    <w:p>
      <w:pPr>
        <w:ind w:left="1080" w:right="20" w:hanging="532"/>
        <w:spacing w:after="0" w:line="282" w:lineRule="auto"/>
        <w:tabs>
          <w:tab w:leader="none" w:pos="10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any sale, pledge, transfer, assignment or disposition of such Class B ordinary shares by a holder thereto to any person or entity which is not an Affiliate (as defined in our articles of association) of such holder; or</w:t>
      </w:r>
    </w:p>
    <w:p>
      <w:pPr>
        <w:spacing w:after="0" w:line="67"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within 6 months after by a transfer by a holder of Class B ordinary shares to an Affiliate of such holder, there is a change of the beneficial ownership of the Class B ordinary shares held by the Affiliate.</w:t>
      </w:r>
    </w:p>
    <w:p>
      <w:pPr>
        <w:spacing w:after="0" w:line="162"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Apart from the aforementioned (1) and (2), a change in the beneficial ownership of Class B ordinary shares shall not cause a conversion of Class B ordinary shares to Class A ordinary shares.</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320" w:type="dxa"/>
            <w:vAlign w:val="bottom"/>
          </w:tcPr>
          <w:p>
            <w:pPr>
              <w:spacing w:after="0"/>
              <w:rPr>
                <w:sz w:val="13"/>
                <w:szCs w:val="13"/>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3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1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0" w:type="dxa"/>
            <w:vAlign w:val="bottom"/>
          </w:tcPr>
          <w:p>
            <w:pPr>
              <w:spacing w:after="0"/>
              <w:rPr>
                <w:sz w:val="1"/>
                <w:szCs w:val="1"/>
                <w:color w:val="auto"/>
              </w:rPr>
            </w:pPr>
          </w:p>
        </w:tc>
      </w:tr>
      <w:tr>
        <w:trPr>
          <w:trHeight w:val="148"/>
        </w:trPr>
        <w:tc>
          <w:tcPr>
            <w:tcW w:w="7320" w:type="dxa"/>
            <w:vAlign w:val="bottom"/>
          </w:tcPr>
          <w:p>
            <w:pPr>
              <w:spacing w:after="0"/>
              <w:rPr>
                <w:sz w:val="12"/>
                <w:szCs w:val="12"/>
                <w:color w:val="auto"/>
              </w:rPr>
            </w:pPr>
          </w:p>
        </w:tc>
        <w:tc>
          <w:tcPr>
            <w:tcW w:w="12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Class A</w:t>
            </w:r>
          </w:p>
        </w:tc>
        <w:tc>
          <w:tcPr>
            <w:tcW w:w="134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Class B</w:t>
            </w: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320" w:type="dxa"/>
            <w:vAlign w:val="bottom"/>
          </w:tcPr>
          <w:p>
            <w:pPr>
              <w:spacing w:after="0"/>
              <w:rPr>
                <w:sz w:val="12"/>
                <w:szCs w:val="12"/>
                <w:color w:val="auto"/>
              </w:rPr>
            </w:pPr>
          </w:p>
        </w:tc>
        <w:tc>
          <w:tcPr>
            <w:tcW w:w="12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Ordinary</w:t>
            </w:r>
          </w:p>
        </w:tc>
        <w:tc>
          <w:tcPr>
            <w:tcW w:w="134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Ordinary</w:t>
            </w:r>
          </w:p>
        </w:tc>
        <w:tc>
          <w:tcPr>
            <w:tcW w:w="11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73"/>
        </w:trPr>
        <w:tc>
          <w:tcPr>
            <w:tcW w:w="7320" w:type="dxa"/>
            <w:vAlign w:val="bottom"/>
          </w:tcPr>
          <w:p>
            <w:pPr>
              <w:spacing w:after="0"/>
              <w:rPr>
                <w:sz w:val="15"/>
                <w:szCs w:val="15"/>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3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voting rights</w:t>
            </w:r>
            <w:r>
              <w:rPr>
                <w:rFonts w:ascii="Times New Roman" w:cs="Times New Roman" w:eastAsia="Times New Roman" w:hAnsi="Times New Roman"/>
                <w:sz w:val="10"/>
                <w:szCs w:val="10"/>
                <w:b w:val="1"/>
                <w:bCs w:val="1"/>
                <w:color w:val="auto"/>
              </w:rPr>
              <w:t>(3)</w:t>
            </w:r>
          </w:p>
        </w:tc>
        <w:tc>
          <w:tcPr>
            <w:tcW w:w="0" w:type="dxa"/>
            <w:vAlign w:val="bottom"/>
          </w:tcPr>
          <w:p>
            <w:pPr>
              <w:spacing w:after="0"/>
              <w:rPr>
                <w:sz w:val="1"/>
                <w:szCs w:val="1"/>
                <w:color w:val="auto"/>
              </w:rPr>
            </w:pPr>
          </w:p>
        </w:tc>
      </w:tr>
      <w:tr>
        <w:trPr>
          <w:trHeight w:val="196"/>
        </w:trPr>
        <w:tc>
          <w:tcPr>
            <w:tcW w:w="73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 at January 31, 2026, WVR beneficiaries were the following:</w:t>
            </w:r>
          </w:p>
        </w:tc>
        <w:tc>
          <w:tcPr>
            <w:tcW w:w="8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Robin Yanhong Li</w:t>
            </w:r>
            <w:r>
              <w:rPr>
                <w:rFonts w:ascii="Times New Roman" w:cs="Times New Roman" w:eastAsia="Times New Roman" w:hAnsi="Times New Roman"/>
                <w:sz w:val="25"/>
                <w:szCs w:val="25"/>
                <w:color w:val="auto"/>
                <w:vertAlign w:val="superscript"/>
              </w:rPr>
              <w:t>(1)</w:t>
            </w:r>
          </w:p>
        </w:tc>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68,114,224</w:t>
            </w:r>
          </w:p>
        </w:tc>
        <w:tc>
          <w:tcPr>
            <w:tcW w:w="13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439,200,000</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59.9%</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Melissa Ma</w:t>
            </w:r>
          </w:p>
        </w:tc>
        <w:tc>
          <w:tcPr>
            <w:tcW w:w="12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3,465,992</w:t>
            </w:r>
          </w:p>
        </w:tc>
        <w:tc>
          <w:tcPr>
            <w:tcW w:w="13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84,720,000</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16"/>
        </w:trPr>
        <w:tc>
          <w:tcPr>
            <w:tcW w:w="732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Integrity Partners V, LLC</w:t>
            </w:r>
            <w:r>
              <w:rPr>
                <w:rFonts w:ascii="Times New Roman" w:cs="Times New Roman" w:eastAsia="Times New Roman" w:hAnsi="Times New Roman"/>
                <w:sz w:val="25"/>
                <w:szCs w:val="25"/>
                <w:color w:val="auto"/>
                <w:vertAlign w:val="superscript"/>
              </w:rPr>
              <w:t>(2)</w:t>
            </w:r>
          </w:p>
        </w:tc>
        <w:tc>
          <w:tcPr>
            <w:tcW w:w="12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100,320</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71,580,216</w:t>
            </w:r>
          </w:p>
        </w:tc>
        <w:tc>
          <w:tcPr>
            <w:tcW w:w="13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524,020,320</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Notes:</w:t>
      </w:r>
    </w:p>
    <w:p>
      <w:pPr>
        <w:spacing w:after="0" w:line="12" w:lineRule="exact"/>
        <w:rPr>
          <w:sz w:val="20"/>
          <w:szCs w:val="20"/>
          <w:color w:val="auto"/>
        </w:rPr>
      </w:pPr>
    </w:p>
    <w:p>
      <w:pPr>
        <w:jc w:val="both"/>
        <w:ind w:left="540" w:right="20" w:hanging="424"/>
        <w:spacing w:after="0" w:line="249" w:lineRule="auto"/>
        <w:tabs>
          <w:tab w:leader="none" w:pos="5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51,550,880 Class A ordinary shares in the form of ADSs held by certain employees who have granted Mr. Li irrevocable voting proxies with respect to these shares on their behalf as of January 31, 2026. As a result, the voting power held by Mr. Robin Yanhong Li represented 59.9% of the total outstanding voting power of our company as of January 31, 2026.</w:t>
      </w:r>
    </w:p>
    <w:p>
      <w:pPr>
        <w:spacing w:after="0" w:line="2" w:lineRule="exact"/>
        <w:rPr>
          <w:rFonts w:ascii="Times New Roman" w:cs="Times New Roman" w:eastAsia="Times New Roman" w:hAnsi="Times New Roman"/>
          <w:sz w:val="18"/>
          <w:szCs w:val="18"/>
          <w:color w:val="auto"/>
        </w:rPr>
      </w:pPr>
    </w:p>
    <w:p>
      <w:pPr>
        <w:jc w:val="both"/>
        <w:ind w:left="540" w:right="20" w:hanging="424"/>
        <w:spacing w:after="0" w:line="250" w:lineRule="auto"/>
        <w:tabs>
          <w:tab w:leader="none" w:pos="5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our knowledge, Integrity Partners V, LLC holds 100,320 Class B ordinary shares of our company and was not a record shareholder of any Class A ordinary shares as at January 31, 2026. Integrity Partners V, LLC is affiliated with an early stage investor that invested in our company before our U.S. IPO in 2005.</w:t>
      </w:r>
    </w:p>
    <w:p>
      <w:pPr>
        <w:spacing w:after="0" w:line="1" w:lineRule="exact"/>
        <w:rPr>
          <w:rFonts w:ascii="Times New Roman" w:cs="Times New Roman" w:eastAsia="Times New Roman" w:hAnsi="Times New Roman"/>
          <w:sz w:val="18"/>
          <w:szCs w:val="18"/>
          <w:color w:val="auto"/>
        </w:rPr>
      </w:pPr>
    </w:p>
    <w:p>
      <w:pPr>
        <w:ind w:left="540" w:right="20" w:hanging="424"/>
        <w:spacing w:after="0" w:line="260" w:lineRule="auto"/>
        <w:tabs>
          <w:tab w:leader="none" w:pos="5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basis that Class A ordinary shares entitle the shareholder to one vote per share and Class B ordinary shares entitle the shareholder to 10 votes per share.</w:t>
      </w:r>
    </w:p>
    <w:p>
      <w:pPr>
        <w:spacing w:after="0" w:line="181"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Mr. Robin Yanhong Li, the chairman and chief executive officer of our company, owns shares in his personal capacity and through Handsome Reward Limited. Ms. Melissa Ma is the spouse of Mr. Li and holds shares in her personal capacity. To the best knowledge of our company, Integrity and its ultimate beneficial owner are independent third parties of and are not core connected persons of our company, and its ultimate beneficial owner does not have a role in our company’s business and operations.</w:t>
      </w:r>
    </w:p>
    <w:p>
      <w:pPr>
        <w:spacing w:after="0" w:line="81" w:lineRule="exact"/>
        <w:rPr>
          <w:sz w:val="20"/>
          <w:szCs w:val="20"/>
          <w:color w:val="auto"/>
        </w:rPr>
      </w:pPr>
    </w:p>
    <w:p>
      <w:pPr>
        <w:ind w:left="560" w:right="4180" w:hanging="444"/>
        <w:spacing w:after="0" w:line="401" w:lineRule="auto"/>
        <w:tabs>
          <w:tab w:leader="none" w:pos="552"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Disclosure of a Registrant’s Action to Recover Erroneously Awarded Compensation </w:t>
      </w:r>
      <w:r>
        <w:rPr>
          <w:rFonts w:ascii="Times New Roman" w:cs="Times New Roman" w:eastAsia="Times New Roman" w:hAnsi="Times New Roman"/>
          <w:sz w:val="18"/>
          <w:szCs w:val="18"/>
          <w:color w:val="auto"/>
        </w:rPr>
        <w:t>Not applicable.</w:t>
      </w:r>
    </w:p>
    <w:p>
      <w:pPr>
        <w:spacing w:after="0" w:line="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182</w:t>
      </w:r>
    </w:p>
    <w:p>
      <w:pPr>
        <w:sectPr>
          <w:pgSz w:w="11900" w:h="16838" w:orient="portrait"/>
          <w:cols w:equalWidth="0" w:num="1">
            <w:col w:w="11140"/>
          </w:cols>
          <w:pgMar w:left="320" w:top="482" w:right="43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MAJOR SHAREHOLDERS AND RELATED PARTY TRANSACTIONS</w:t>
      </w:r>
    </w:p>
    <w:p>
      <w:pPr>
        <w:spacing w:after="0" w:line="131" w:lineRule="exact"/>
        <w:rPr>
          <w:sz w:val="20"/>
          <w:szCs w:val="20"/>
          <w:color w:val="auto"/>
        </w:rPr>
      </w:pPr>
    </w:p>
    <w:p>
      <w:pPr>
        <w:ind w:left="540" w:hanging="424"/>
        <w:spacing w:after="0"/>
        <w:tabs>
          <w:tab w:leader="none" w:pos="540" w:val="left"/>
        </w:tabs>
        <w:numPr>
          <w:ilvl w:val="0"/>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Major Shareholders</w:t>
      </w:r>
    </w:p>
    <w:p>
      <w:pPr>
        <w:spacing w:after="0" w:line="229" w:lineRule="exact"/>
        <w:rPr>
          <w:rFonts w:ascii="Times New Roman" w:cs="Times New Roman" w:eastAsia="Times New Roman" w:hAnsi="Times New Roman"/>
          <w:sz w:val="18"/>
          <w:szCs w:val="18"/>
          <w:b w:val="1"/>
          <w:bCs w:val="1"/>
          <w:color w:val="auto"/>
        </w:rPr>
      </w:pPr>
    </w:p>
    <w:p>
      <w:pPr>
        <w:ind w:left="5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Please refer to “Item 6.E. Directors, Senior Management and Employees—Share Ownership.”</w:t>
      </w:r>
    </w:p>
    <w:p>
      <w:pPr>
        <w:spacing w:after="0" w:line="369" w:lineRule="exact"/>
        <w:rPr>
          <w:rFonts w:ascii="Times New Roman" w:cs="Times New Roman" w:eastAsia="Times New Roman" w:hAnsi="Times New Roman"/>
          <w:sz w:val="18"/>
          <w:szCs w:val="18"/>
          <w:b w:val="1"/>
          <w:bCs w:val="1"/>
          <w:color w:val="auto"/>
        </w:rPr>
      </w:pPr>
    </w:p>
    <w:p>
      <w:pPr>
        <w:ind w:left="540" w:hanging="424"/>
        <w:spacing w:after="0"/>
        <w:tabs>
          <w:tab w:leader="none" w:pos="540" w:val="left"/>
        </w:tabs>
        <w:numPr>
          <w:ilvl w:val="0"/>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Related Party Transactions</w:t>
      </w:r>
    </w:p>
    <w:p>
      <w:pPr>
        <w:spacing w:after="0" w:line="121"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See “Item 4.C. Information on the Company—Organizational Structure—Contractual Arrangements with the Variable Interest Entities and Other Consolidated Affiliated Entities and their Shareholders.”</w:t>
      </w:r>
    </w:p>
    <w:p>
      <w:pPr>
        <w:spacing w:after="0" w:line="162" w:lineRule="exact"/>
        <w:rPr>
          <w:sz w:val="20"/>
          <w:szCs w:val="20"/>
          <w:color w:val="auto"/>
        </w:rPr>
      </w:pPr>
    </w:p>
    <w:p>
      <w:pPr>
        <w:jc w:val="both"/>
        <w:ind w:left="120" w:firstLine="440"/>
        <w:spacing w:after="0" w:line="282" w:lineRule="auto"/>
        <w:rPr>
          <w:sz w:val="20"/>
          <w:szCs w:val="20"/>
          <w:color w:val="auto"/>
        </w:rPr>
      </w:pPr>
      <w:r>
        <w:rPr>
          <w:rFonts w:ascii="Times New Roman" w:cs="Times New Roman" w:eastAsia="Times New Roman" w:hAnsi="Times New Roman"/>
          <w:sz w:val="18"/>
          <w:szCs w:val="18"/>
          <w:color w:val="auto"/>
        </w:rPr>
        <w:t>Our subsidiaries, the variable interest entities, and the subsidiaries of the variable interest entities have engaged, during the ordinary course of business, in a number of customary transactions with each other. All of these inter-company balances have been eliminated in consolidation.</w:t>
      </w:r>
    </w:p>
    <w:p>
      <w:pPr>
        <w:spacing w:after="0" w:line="162"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See “Item 3.D. Key Information—Risk Factors—Risks Related to Our Business and Industry—Termination or other changes of related party transactions in the ordinary course of business may have an adverse impact on our results of operations and financial performance” for risks associated with the termination or other changes of related party transactions.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Loan Transactions with Du Xiaoman</w:t>
      </w:r>
    </w:p>
    <w:p>
      <w:pPr>
        <w:spacing w:after="0" w:line="121"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In August 2018, we completed the divestiture of Du Xiaoman, following which we recognized our non-controlling equity interest in Du Xiaoman as an equity method investment and Du Xiaoman became a related party.</w:t>
      </w:r>
    </w:p>
    <w:p>
      <w:pPr>
        <w:spacing w:after="0" w:line="162"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In 2018, we provided three term loans to Du Xiaoman in an aggregate amount of RMB3.8 billion with terms ranging from two to five years for working capital purposes. These loans bear interest rates ranging from 4.28% to 5.00% in 2018, and 0% to 5.00% since 2019. Du Xiaoman repaid one term loan in the principal amount of RMB500 million in October 2020. In December 2023, Du Xiaoman repaid the other two term loans in an aggregate principal amount of RMB3.3 billion. After this repayment, all of the term loans to Du Xiaoman had been fully repaid.</w:t>
      </w:r>
    </w:p>
    <w:p>
      <w:pPr>
        <w:spacing w:after="0" w:line="180"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 2018, Du Xiaoman provided us with two term loans in an aggregate amount of RMB3.4 billion with terms of three and five years, respectively, for general corporate purposes. The interest rates for these loans were 3.78% and 4.28%, respectively, in 2018, and have been adjusted to 0% since 2019 based on the amended agreements. The two term loans had been fully repaid to Du Xiaoman in December 2023.</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February 28, 2026, the amount of outstanding loans between us and Du Xiaoman was insignificant.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Loan Transactions with Jidu Auto</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Jidu Auto is a joint venture that we established with Zhejiang Geely Holding Group (Geely). In 2022, we provided three term loans to Jidu Auto in an aggregate principal amount of RMB600 million with term of one year for working capital purposes. The interest rates for these loans were 3.465%. Jidu Auto had fully repaid the three term loans in January 2023.</w:t>
      </w:r>
    </w:p>
    <w:p>
      <w:pPr>
        <w:spacing w:after="0" w:line="176"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In 2024, we provided a term loan to Jidu Auto in a principal amount of RMB38 million. In 2025, we provided term loans in an aggregate principal amount of RMB100 million (US$14 million) to Jidu Auto. These loans were provided to Jidu Auto for working capital purposes with an interest rate of 2.79%. The aggregate principal amount outstanding as of February 28, 2026 was RMB438 million (US$63 million).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Material Related Party Transactions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Related Party A</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 2023, 2024 and 2025, related party transactions with Related Party A, which is one of our equity investees, were in the total amount of RMB540 million, RMB393 million and RMB351 million (US$50 million), respectively, and mainly comprised of the online marketing services that we provided to Related Party A.</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183</w:t>
      </w:r>
    </w:p>
    <w:p>
      <w:pPr>
        <w:sectPr>
          <w:pgSz w:w="11900" w:h="16838" w:orient="portrait"/>
          <w:cols w:equalWidth="0" w:num="1">
            <w:col w:w="11140"/>
          </w:cols>
          <w:pgMar w:left="320" w:top="482" w:right="43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Related Party B</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 2023, 2024 and 2025, related party transactions with Related Party B, which is one of our equity investees, were in the total amount of RMB924 million, RMB919 million and RMB979 million (US$140 million), respectively, and comprised of the online marketing services and others that we provided to Related Party B.</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Related Party C</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 2023, related party transactions with Related Party C, over which we could significantly influence its management or operating policies, were in the total amount of RMB1.8 billion, and mainly comprised of online marketing services provided to the party. Since January 2024, Related Party C ceased to be our related party.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Share Options and Restricted Shares Grants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Please refer to “Item 6.B. Directors, Senior Management and Employees—Compensation.”</w:t>
      </w:r>
    </w:p>
    <w:p>
      <w:pPr>
        <w:spacing w:after="0" w:line="370" w:lineRule="exact"/>
        <w:rPr>
          <w:sz w:val="20"/>
          <w:szCs w:val="20"/>
          <w:color w:val="auto"/>
        </w:rPr>
      </w:pPr>
    </w:p>
    <w:p>
      <w:pPr>
        <w:ind w:left="560" w:right="8080" w:hanging="444"/>
        <w:spacing w:after="0" w:line="412" w:lineRule="auto"/>
        <w:tabs>
          <w:tab w:leader="none" w:pos="552"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 xml:space="preserve">Interests of Experts and Counsel </w:t>
      </w:r>
      <w:r>
        <w:rPr>
          <w:rFonts w:ascii="Times New Roman" w:cs="Times New Roman" w:eastAsia="Times New Roman" w:hAnsi="Times New Roman"/>
          <w:sz w:val="18"/>
          <w:szCs w:val="18"/>
          <w:color w:val="auto"/>
        </w:rPr>
        <w:t>Not applicable.</w:t>
      </w:r>
    </w:p>
    <w:p>
      <w:pPr>
        <w:spacing w:after="0" w:line="194"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8"/>
          <w:szCs w:val="18"/>
          <w:b w:val="1"/>
          <w:bCs w:val="1"/>
          <w:color w:val="auto"/>
        </w:rPr>
        <w:t>FINANCIAL INFORMATION</w:t>
      </w:r>
    </w:p>
    <w:p>
      <w:pPr>
        <w:spacing w:after="0" w:line="131" w:lineRule="exact"/>
        <w:rPr>
          <w:sz w:val="20"/>
          <w:szCs w:val="20"/>
          <w:color w:val="auto"/>
        </w:rPr>
      </w:pPr>
    </w:p>
    <w:p>
      <w:pPr>
        <w:ind w:left="540" w:hanging="424"/>
        <w:spacing w:after="0"/>
        <w:tabs>
          <w:tab w:leader="none" w:pos="540" w:val="left"/>
        </w:tabs>
        <w:numPr>
          <w:ilvl w:val="0"/>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Consolidated Statements and Other Financial Information</w:t>
      </w:r>
    </w:p>
    <w:p>
      <w:pPr>
        <w:spacing w:after="0" w:line="121" w:lineRule="exact"/>
        <w:rPr>
          <w:rFonts w:ascii="Times New Roman" w:cs="Times New Roman" w:eastAsia="Times New Roman" w:hAnsi="Times New Roman"/>
          <w:sz w:val="18"/>
          <w:szCs w:val="18"/>
          <w:b w:val="1"/>
          <w:bCs w:val="1"/>
          <w:color w:val="auto"/>
        </w:rPr>
      </w:pPr>
    </w:p>
    <w:p>
      <w:pPr>
        <w:ind w:left="5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have appended consolidated financial statements filed as part of this annual report.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From time to time, we have been involved in litigation, administrative proceedings or other disputes regarding, among other things, copyright and trademark infringement, defamation, unfair competition, labor disputes, contract disputes and anti-monopoly inquiries. Our search results provide links to materials, and our P4P, Baidu Wenku, Baidu Post, Baidu Wiki, Baidu Knows, Baidu Feed, Baidu Drive, iQIYI and certain other products or services may contain materials, in which others may allege to own copyrights, trademarks or image rights or which others may claim to be defamatory or objectionable.</w:t>
      </w:r>
    </w:p>
    <w:p>
      <w:pPr>
        <w:spacing w:after="0" w:line="183"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 2025, 2,378 complaints were filed against us before various courts in China, and the aggregate amount of the damages sought in these complaints totals approximately RMB3.3 billion (US$477 million). As of December 31, 2025, 2,054 cases against us were pending before various courts in China. The aggregate amount of damages sought under these pending cases is approximately RMB3.2 billion (US$462 million). As of December 31, 2025, 7 cases against us were pending before various courts outside China.</w:t>
      </w:r>
    </w:p>
    <w:p>
      <w:pPr>
        <w:spacing w:after="0" w:line="180"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For many of the above-mentioned legal proceedings, we are currently unable to estimate the reasonably possible loss or a range of reasonably possible loss as the proceedings are in the early stages, or there is a lack of clear or consistent interpretation of laws specific to the industry-specific complaints among different jurisdictions. As a result, there is considerable uncertainty regarding the timing or ultimate resolution of such proceedings, which includes eventual loss, fine, penalty or business impact, if any, and therefore, an estimate for the reasonably possible loss or a range of reasonably possible loss cannot be made. With respect to the limited number of proceedings for which we are able to estimate the reasonably possible loss or the range of reasonably possible loss, such estimates are immaterial. However, we believe that such proceedings, individually and in the aggregate, when finally resolved, are not reasonably likely to have a material and adverse effect on our results of operations, financial position and cash flows.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184</w:t>
      </w:r>
    </w:p>
    <w:p>
      <w:pPr>
        <w:sectPr>
          <w:pgSz w:w="11900" w:h="16838" w:orient="portrait"/>
          <w:cols w:equalWidth="0" w:num="1">
            <w:col w:w="11140"/>
          </w:cols>
          <w:pgMar w:left="320" w:top="482" w:right="43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Baidu and iQIYI were named as defendants in several putative federal securities class actions alleging that defendants made material misstatements and omissions regarding certain reported financial and operational results. Starting in April 2020, iQIYI and certain of its current and former officers and directors were named as defendants in several putative federal securities class actions purportedly brought on behalf of alleged classes of iQIYI shareholders. After one action was voluntarily dismissed by plaintiffs in June 2020, the remaining actions were consolidated in the U.S. District Court for the Eastern District of New York in May 2021, under the caption In re iQIYI, Inc. Securities Litigation, No. 1:20-CV-01830, or the iQIYI Action. In June 2021, lead plaintiffs in the iQIYI Action filed the consolidated amended complaint, naming iQIYI, its current and former officers, underwriters in its initial public offering, our company and certain of our officers as defendants. Similarly, starting in August 2020, we and certain of our current officers were named as defendants in two federal securities class actions brought by a purported class of Baidu shareholders in the U.S. District Court for the Eastern District of New York, which were consolidated under the caption In re Baidu, Inc. Securities Litigation, 20-cv-03794, or the Baidu Action. In June 2022, lead plaintiffs in the Baidu Action filed the consolidated amended complaint, naming iQIYI, certain of its officers, our company and certain of our officers as defendants.</w:t>
      </w:r>
    </w:p>
    <w:p>
      <w:pPr>
        <w:spacing w:after="0" w:line="192"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The operative complaints in the iQIYI and Baidu Actions both allege that the defendants made material misstatements and omissions in documents filed with the SEC and in other public statements regarding certain reported financial and operational results in violation of the federal securities laws. Although parties in the iQIYI Action completed briefing on defendants’ motions to dismiss the consolidated amended complaint on September 29, 2021, in light of the common questions of law and fact at issue in the iQIYI and Baidu Actions, the court terminated the motion to dismiss without prejudice and ordered motion-to-dismiss briefing for the two cases under a new coordinated briefing schedule. The coordinated motion-to-dismiss briefing was completed in March 2023. On February 26, 2024, following oral argument on the motions to dismiss, the court held defendants’ motions in abeyance, granted plaintiffs leave to file amended consolidated complaints, and ordered the supplemental briefing on the amended consolidated complaints to be completed by April 22, 2024. Both the iQIYI and Baidu Actions were dismissed on September 30, 2024.</w:t>
      </w:r>
    </w:p>
    <w:p>
      <w:pPr>
        <w:spacing w:after="0" w:line="192"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For risks and uncertainties relating to legal proceedings, see “Item 3.D. Key Information—Risk Factors—Risks Related to Our Business and Industry—We have been and may again be subject to legal proceedings, claims and investigations and could be adversely impacted by unfavorable results of legal proceedings and investigations.”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jc w:val="both"/>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Baidu, Inc., our holding company in the Cayman Islands, has never declared or paid any dividends on our ordinary shares as of the date of this annual report. In the first quarter of 2026, our board approved the adoption, for the first time, of a dividend policy for our ordinary shares. Future dividend distributions will be supported by sustainable funding sources, primarily derived from operating profits and potentially supplemented by proceeds from non-core asset disposals and other investment returns. Our board intends to establish a clear, balanced policy framework that aligns shareholder returns with the continued strategic growth of our company. We expect to declare the first payment of dividend in 2026. The declaration, timing, and amount of any future dividend will be subject to the determination of the board at its discretion based on factors such as our financial performance, capital requirements, prevailing market conditions and other considerations that the board deems relevant. A formal announcement of the dividend will be made after the board’s review and approval.</w:t>
      </w:r>
    </w:p>
    <w:p>
      <w:pPr>
        <w:spacing w:after="0" w:line="192"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Despite a dividend policy in place, our board of directors has complete discretion as to whether to distribute dividends, subject to Cayman Islands law. In addition, our shareholders may by ordinary resolution declare a dividend, but no dividend may exceed the amount recommended by our directors. Under Cayman Islands law, a Cayman Islands company may pay a dividend out of either profit or share premium account, provided that in no circumstances may a dividend be paid if this would result in the company being unable to pay its debts as they fall due in the ordinary course of business. Even if our board of directors decides to pay dividends, the form, frequency and amount of our dividends will depend upon our financial performance, capital requirements and surplus, prevailing market conditions, distributions from subsidiaries, contractual restrictions, and other factors the board may deem relevant. If we pay any dividends, our depositary will distribute such dividends to our ADS holders to the same extent as holders of our ordinary shares, subject to the terms of the deposit agreement, including the fees and expenses payable thereunder. Cash dividends on our ordinary shares, if any, will be paid in U.S. dollars.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185</w:t>
      </w:r>
    </w:p>
    <w:p>
      <w:pPr>
        <w:sectPr>
          <w:pgSz w:w="11900" w:h="16838" w:orient="portrait"/>
          <w:cols w:equalWidth="0" w:num="1">
            <w:col w:w="11140"/>
          </w:cols>
          <w:pgMar w:left="320" w:top="482" w:right="43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660" w:hanging="544"/>
        <w:spacing w:after="0"/>
        <w:tabs>
          <w:tab w:leader="none" w:pos="660"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Changes</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Except as disclosed elsewhere in this annual report, we have not experienced any significant changes since the date of our audited consolidated financial statements included in this annual report.</w:t>
      </w:r>
    </w:p>
    <w:p>
      <w:pPr>
        <w:spacing w:after="0" w:line="306"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8"/>
          <w:szCs w:val="18"/>
          <w:b w:val="1"/>
          <w:bCs w:val="1"/>
          <w:color w:val="auto"/>
        </w:rPr>
        <w:t>THE OFFER AND LISTING</w:t>
      </w:r>
    </w:p>
    <w:p>
      <w:pPr>
        <w:spacing w:after="0" w:line="131" w:lineRule="exact"/>
        <w:rPr>
          <w:sz w:val="20"/>
          <w:szCs w:val="20"/>
          <w:color w:val="auto"/>
        </w:rPr>
      </w:pPr>
    </w:p>
    <w:p>
      <w:pPr>
        <w:ind w:left="540" w:hanging="424"/>
        <w:spacing w:after="0"/>
        <w:tabs>
          <w:tab w:leader="none" w:pos="540"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Offering and Listing Details</w:t>
      </w:r>
    </w:p>
    <w:p>
      <w:pPr>
        <w:spacing w:after="0" w:line="121"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Our ADSs have been listed on The Nasdaq Global Market since August 5, 2005. Our ADSs currently trade on The Nasdaq Global Select Market under the symbol “BIDU.” Prior to May 12, 2010, one ADS represented one Class A ordinary share. On May 12, 2010, we effected a change of the ADS to Class A ordinary share ratio from 1 ADS representing 1 Class A ordinary share to 10 ADSs representing 1 Class A ordinary share. The ratio change has the same effect as a 10-for-1 ADS split. On March 1, 2021, our shareholders approved and effected a change to our authorized share capital by 1-to-80 subdivision of shares. Concurrently, we effected a proportionate change in ADS to Class A ordinary share ratio from 10 ADSs representing 1 Class A ordinary share to each ADS representing 8 Class A ordinary shares.</w:t>
      </w:r>
    </w:p>
    <w:p>
      <w:pPr>
        <w:spacing w:after="0" w:line="187"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Our Class A ordinary shares have been listed on the Hong Kong Stock Exchange since March 23, 2021 under the stock code “9888.” On June 19, 2023, the launch of our Renminbi counter supporting the new Hong Kong Dollar-RMB Dual Counter Model program by the Hong Kong Stock Exchange became effective under the stock code “89888.”</w:t>
      </w:r>
    </w:p>
    <w:p>
      <w:pPr>
        <w:spacing w:after="0" w:line="320" w:lineRule="exact"/>
        <w:rPr>
          <w:sz w:val="20"/>
          <w:szCs w:val="20"/>
          <w:color w:val="auto"/>
        </w:rPr>
      </w:pPr>
    </w:p>
    <w:p>
      <w:pPr>
        <w:ind w:left="560" w:right="9060" w:hanging="444"/>
        <w:spacing w:after="0" w:line="450" w:lineRule="auto"/>
        <w:tabs>
          <w:tab w:leader="none" w:pos="552" w:val="left"/>
        </w:tabs>
        <w:numPr>
          <w:ilvl w:val="0"/>
          <w:numId w:val="10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 xml:space="preserve">Plan of Distribution </w:t>
      </w:r>
      <w:r>
        <w:rPr>
          <w:rFonts w:ascii="Times New Roman" w:cs="Times New Roman" w:eastAsia="Times New Roman" w:hAnsi="Times New Roman"/>
          <w:sz w:val="17"/>
          <w:szCs w:val="17"/>
          <w:color w:val="auto"/>
        </w:rPr>
        <w:t>Not applicable.</w:t>
      </w:r>
    </w:p>
    <w:p>
      <w:pPr>
        <w:spacing w:after="0" w:line="171" w:lineRule="exact"/>
        <w:rPr>
          <w:rFonts w:ascii="Times New Roman" w:cs="Times New Roman" w:eastAsia="Times New Roman" w:hAnsi="Times New Roman"/>
          <w:sz w:val="17"/>
          <w:szCs w:val="17"/>
          <w:b w:val="1"/>
          <w:bCs w:val="1"/>
          <w:color w:val="auto"/>
        </w:rPr>
      </w:pPr>
    </w:p>
    <w:p>
      <w:pPr>
        <w:ind w:left="540" w:hanging="424"/>
        <w:spacing w:after="0"/>
        <w:tabs>
          <w:tab w:leader="none" w:pos="540" w:val="left"/>
        </w:tabs>
        <w:numPr>
          <w:ilvl w:val="0"/>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Markets</w:t>
      </w:r>
    </w:p>
    <w:p>
      <w:pPr>
        <w:spacing w:after="0" w:line="121" w:lineRule="exact"/>
        <w:rPr>
          <w:rFonts w:ascii="Times New Roman" w:cs="Times New Roman" w:eastAsia="Times New Roman" w:hAnsi="Times New Roman"/>
          <w:sz w:val="18"/>
          <w:szCs w:val="18"/>
          <w:b w:val="1"/>
          <w:bCs w:val="1"/>
          <w:color w:val="auto"/>
        </w:rPr>
      </w:pPr>
    </w:p>
    <w:p>
      <w:pPr>
        <w:ind w:left="5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ADSs have been listed on Nasdaq since August 5, 2005 under the symbol “BIDU.”</w:t>
      </w:r>
    </w:p>
    <w:p>
      <w:pPr>
        <w:spacing w:after="0" w:line="225" w:lineRule="exact"/>
        <w:rPr>
          <w:rFonts w:ascii="Times New Roman" w:cs="Times New Roman" w:eastAsia="Times New Roman" w:hAnsi="Times New Roman"/>
          <w:sz w:val="18"/>
          <w:szCs w:val="18"/>
          <w:b w:val="1"/>
          <w:bCs w:val="1"/>
          <w:color w:val="auto"/>
        </w:rPr>
      </w:pPr>
    </w:p>
    <w:p>
      <w:pPr>
        <w:ind w:left="5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Class A ordinary shares have been listed on the Hong Kong Stock Exchange since March 23, 2021 under the stock code “9888.”</w:t>
      </w:r>
    </w:p>
    <w:p>
      <w:pPr>
        <w:spacing w:after="0" w:line="225"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On June 19, 2023, we launched our RMB counter under the stock code “89888” to support the Hong Kong Dollar-RMB Dual Counter Model program established by the Hong Kong Stock Exchange.</w:t>
      </w:r>
    </w:p>
    <w:p>
      <w:pPr>
        <w:spacing w:after="0" w:line="306" w:lineRule="exact"/>
        <w:rPr>
          <w:sz w:val="20"/>
          <w:szCs w:val="20"/>
          <w:color w:val="auto"/>
        </w:rPr>
      </w:pPr>
    </w:p>
    <w:p>
      <w:pPr>
        <w:ind w:left="560" w:right="9020" w:hanging="444"/>
        <w:spacing w:after="0" w:line="450" w:lineRule="auto"/>
        <w:tabs>
          <w:tab w:leader="none" w:pos="552" w:val="left"/>
        </w:tabs>
        <w:numPr>
          <w:ilvl w:val="0"/>
          <w:numId w:val="10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 xml:space="preserve">Selling Shareholders </w:t>
      </w:r>
      <w:r>
        <w:rPr>
          <w:rFonts w:ascii="Times New Roman" w:cs="Times New Roman" w:eastAsia="Times New Roman" w:hAnsi="Times New Roman"/>
          <w:sz w:val="17"/>
          <w:szCs w:val="17"/>
          <w:color w:val="auto"/>
        </w:rPr>
        <w:t>Not applicable.</w:t>
      </w:r>
    </w:p>
    <w:p>
      <w:pPr>
        <w:spacing w:after="0" w:line="171" w:lineRule="exact"/>
        <w:rPr>
          <w:rFonts w:ascii="Times New Roman" w:cs="Times New Roman" w:eastAsia="Times New Roman" w:hAnsi="Times New Roman"/>
          <w:sz w:val="17"/>
          <w:szCs w:val="17"/>
          <w:b w:val="1"/>
          <w:bCs w:val="1"/>
          <w:color w:val="auto"/>
        </w:rPr>
      </w:pPr>
    </w:p>
    <w:p>
      <w:pPr>
        <w:ind w:left="540" w:hanging="424"/>
        <w:spacing w:after="0"/>
        <w:tabs>
          <w:tab w:leader="none" w:pos="540"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Dilution</w:t>
      </w:r>
    </w:p>
    <w:p>
      <w:pPr>
        <w:spacing w:after="0" w:line="121" w:lineRule="exact"/>
        <w:rPr>
          <w:rFonts w:ascii="Times New Roman" w:cs="Times New Roman" w:eastAsia="Times New Roman" w:hAnsi="Times New Roman"/>
          <w:sz w:val="18"/>
          <w:szCs w:val="18"/>
          <w:b w:val="1"/>
          <w:bCs w:val="1"/>
          <w:color w:val="auto"/>
        </w:rPr>
      </w:pPr>
    </w:p>
    <w:p>
      <w:pPr>
        <w:ind w:left="5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 applicable.</w:t>
      </w:r>
    </w:p>
    <w:p>
      <w:pPr>
        <w:spacing w:after="0" w:line="369" w:lineRule="exact"/>
        <w:rPr>
          <w:rFonts w:ascii="Times New Roman" w:cs="Times New Roman" w:eastAsia="Times New Roman" w:hAnsi="Times New Roman"/>
          <w:sz w:val="18"/>
          <w:szCs w:val="18"/>
          <w:b w:val="1"/>
          <w:bCs w:val="1"/>
          <w:color w:val="auto"/>
        </w:rPr>
      </w:pPr>
    </w:p>
    <w:p>
      <w:pPr>
        <w:ind w:left="560" w:right="8960" w:hanging="444"/>
        <w:spacing w:after="0" w:line="412" w:lineRule="auto"/>
        <w:tabs>
          <w:tab w:leader="none" w:pos="552"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 xml:space="preserve">Expenses of the Issue </w:t>
      </w:r>
      <w:r>
        <w:rPr>
          <w:rFonts w:ascii="Times New Roman" w:cs="Times New Roman" w:eastAsia="Times New Roman" w:hAnsi="Times New Roman"/>
          <w:sz w:val="18"/>
          <w:szCs w:val="18"/>
          <w:color w:val="auto"/>
        </w:rPr>
        <w:t>Not applicable.</w:t>
      </w:r>
    </w:p>
    <w:p>
      <w:pPr>
        <w:spacing w:after="0" w:line="194"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8"/>
          <w:szCs w:val="18"/>
          <w:b w:val="1"/>
          <w:bCs w:val="1"/>
          <w:color w:val="auto"/>
        </w:rPr>
        <w:t>ADDITIONAL INFORMATION</w:t>
      </w:r>
    </w:p>
    <w:p>
      <w:pPr>
        <w:spacing w:after="0" w:line="131" w:lineRule="exact"/>
        <w:rPr>
          <w:sz w:val="20"/>
          <w:szCs w:val="20"/>
          <w:color w:val="auto"/>
        </w:rPr>
      </w:pPr>
    </w:p>
    <w:p>
      <w:pPr>
        <w:jc w:val="both"/>
        <w:ind w:left="560" w:right="9480" w:hanging="444"/>
        <w:spacing w:after="0" w:line="450" w:lineRule="auto"/>
        <w:tabs>
          <w:tab w:leader="none" w:pos="552" w:val="left"/>
        </w:tabs>
        <w:numPr>
          <w:ilvl w:val="0"/>
          <w:numId w:val="10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 xml:space="preserve">Share Capital </w:t>
      </w:r>
      <w:r>
        <w:rPr>
          <w:rFonts w:ascii="Times New Roman" w:cs="Times New Roman" w:eastAsia="Times New Roman" w:hAnsi="Times New Roman"/>
          <w:sz w:val="17"/>
          <w:szCs w:val="17"/>
          <w:color w:val="auto"/>
        </w:rPr>
        <w:t>Not applicable.</w:t>
      </w:r>
    </w:p>
    <w:p>
      <w:pPr>
        <w:spacing w:after="0" w:line="171" w:lineRule="exact"/>
        <w:rPr>
          <w:rFonts w:ascii="Times New Roman" w:cs="Times New Roman" w:eastAsia="Times New Roman" w:hAnsi="Times New Roman"/>
          <w:sz w:val="17"/>
          <w:szCs w:val="17"/>
          <w:b w:val="1"/>
          <w:bCs w:val="1"/>
          <w:color w:val="auto"/>
        </w:rPr>
      </w:pPr>
    </w:p>
    <w:p>
      <w:pPr>
        <w:ind w:left="540" w:hanging="424"/>
        <w:spacing w:after="0"/>
        <w:tabs>
          <w:tab w:leader="none" w:pos="540"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Memorandum and Articles of Association</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following are summaries of material provisions of our fifth amended and restated memorandum and articles of association, as well as the Companies Act (As Revised) insofar as they relate to the material terms of our ordinary shares.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186</w:t>
      </w:r>
    </w:p>
    <w:p>
      <w:pPr>
        <w:sectPr>
          <w:pgSz w:w="11900" w:h="16838" w:orient="portrait"/>
          <w:cols w:equalWidth="0" w:num="1">
            <w:col w:w="11140"/>
          </w:cols>
          <w:pgMar w:left="320" w:top="482" w:right="43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Registered Office and Objects</w:t>
      </w:r>
    </w:p>
    <w:p>
      <w:pPr>
        <w:spacing w:after="0" w:line="121"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Registered Office of our company is at the offices of Maples Corporate Services Limited, PO Box 309, Ugland House, Grand Cayman, KY1-1104, Cayman Islands or at such other place as our board of directors may from time to time decide. The objects for which our company is established are unrestricted and we have full power and authority to carry out any object not prohibited by the Companies Act (As Revised), as amended from time to time, or any other law of the Cayman Islands.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See “Item 6.C. Directors, Senior Management and Employees—Board Practices—Board of Directors.”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Ordinary Shares</w:t>
      </w:r>
    </w:p>
    <w:p>
      <w:pPr>
        <w:spacing w:after="0" w:line="117" w:lineRule="exact"/>
        <w:rPr>
          <w:sz w:val="20"/>
          <w:szCs w:val="20"/>
          <w:color w:val="auto"/>
        </w:rPr>
      </w:pPr>
    </w:p>
    <w:p>
      <w:pPr>
        <w:jc w:val="both"/>
        <w:ind w:left="120" w:right="2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General</w:t>
      </w:r>
      <w:r>
        <w:rPr>
          <w:rFonts w:ascii="Times New Roman" w:cs="Times New Roman" w:eastAsia="Times New Roman" w:hAnsi="Times New Roman"/>
          <w:sz w:val="18"/>
          <w:szCs w:val="18"/>
          <w:color w:val="auto"/>
        </w:rPr>
        <w:t>. Our ordinary shares are divided into Class A ordinary shares and Class B ordinary shares. Holders of Class A ordinary shares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Class B ordinary shares have the same rights except for voting and conversion rights. All of our issued and outstanding ordinary shares are fully paid and non-assessable. Certificates representing the ordinary shares are issued in registered form. Our shareholders who are nonresidents of the Cayman Islands may freely hold and vote their shares.</w:t>
      </w:r>
    </w:p>
    <w:p>
      <w:pPr>
        <w:spacing w:after="0" w:line="176" w:lineRule="exact"/>
        <w:rPr>
          <w:sz w:val="20"/>
          <w:szCs w:val="20"/>
          <w:color w:val="auto"/>
        </w:rPr>
      </w:pPr>
    </w:p>
    <w:p>
      <w:pPr>
        <w:jc w:val="both"/>
        <w:ind w:left="12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Dividends</w:t>
      </w:r>
      <w:r>
        <w:rPr>
          <w:rFonts w:ascii="Times New Roman" w:cs="Times New Roman" w:eastAsia="Times New Roman" w:hAnsi="Times New Roman"/>
          <w:sz w:val="18"/>
          <w:szCs w:val="18"/>
          <w:color w:val="auto"/>
        </w:rPr>
        <w:t>. The holders of our ordinary shares are entitled to such dividends as may be declared by our board of directors subject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Companies Act.</w:t>
      </w:r>
    </w:p>
    <w:p>
      <w:pPr>
        <w:spacing w:after="0" w:line="155"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Conversion</w:t>
      </w:r>
      <w:r>
        <w:rPr>
          <w:rFonts w:ascii="Times New Roman" w:cs="Times New Roman" w:eastAsia="Times New Roman" w:hAnsi="Times New Roman"/>
          <w:sz w:val="18"/>
          <w:szCs w:val="18"/>
          <w:color w:val="auto"/>
        </w:rPr>
        <w:t>. Each Class B ordinary share is convertible into one Class A ordinary share at any time by the holder thereof. Class A ordinary shares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are not convertible into Class B ordinary shares under any circumstances. Upon any transfer of Class B ordinary shares by a holder thereof to any person or entity which is not an affiliate of such holder (as defined in our articles of association), such Class B ordinary shares shall be automatically and immediately converted into the equal number of Class A ordinary shares. In addition, if at any time our chairman and chief executive officer, Robin Yanhong Li, and his affiliates collectively own less than 5% of the total number of the issued and outstanding Class B ordinary shares, each issued and outstanding Class B ordinary share shall be automatically and immediately converted into one share of Class A ordinary share, and we shall not issue any Class B ordinary shares thereafter.</w:t>
      </w:r>
    </w:p>
    <w:p>
      <w:pPr>
        <w:spacing w:after="0" w:line="183" w:lineRule="exact"/>
        <w:rPr>
          <w:sz w:val="20"/>
          <w:szCs w:val="20"/>
          <w:color w:val="auto"/>
        </w:rPr>
      </w:pPr>
    </w:p>
    <w:p>
      <w:pPr>
        <w:jc w:val="both"/>
        <w:ind w:left="12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Voting Rights</w:t>
      </w:r>
      <w:r>
        <w:rPr>
          <w:rFonts w:ascii="Times New Roman" w:cs="Times New Roman" w:eastAsia="Times New Roman" w:hAnsi="Times New Roman"/>
          <w:sz w:val="18"/>
          <w:szCs w:val="18"/>
          <w:color w:val="auto"/>
        </w:rPr>
        <w:t>. All of our shareholders have the right to receive notice of shareholders’ meetings and to attend, speak and vote at such meetings.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respect of matters requiring shareholders’ vote, each Class A ordinary share is entitled to one vote, and each Class B ordinary share is entitled to 10 votes. A shareholder may participate at a shareholders’ meeting in person, by proxy or by telephone conference or other communications equipment by means of which all the shareholders participating in the meeting can communicate with each other. At any shareholders’ meeting, a resolution put to the vote of the meeting shall be decided on a poll conducted by the chairman of the meeting.</w:t>
      </w:r>
    </w:p>
    <w:p>
      <w:pPr>
        <w:spacing w:after="0" w:line="183"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A quorum for a shareholders’ meeting consists of one or more shareholders holding at least one third of the paid up voting share capital present in person or by proxy or, if a corporation or other non-natural person, by its duly authorized representative. We shall hold a general meeting of shareholders as our annual general meeting and shall specify the meeting as such in the notices calling it. Our board of directors may call extraordinary general meetings, and they must on shareholders’ requisition convene an extraordinary general meeting. A shareholder requisition is a requisition of shareholders holding at the date of deposit of the requisition not less than ten percent (10%) of the voting power represented by the issued shares of our company which as at that date carries the right of voting at general meetings of our company, on a one vote per share basis. At least 21 clear days’ notice shall be given of any annual general meeting, and at least 14 clear days’ notice shall be given of any extraordinary general meeting.</w:t>
      </w:r>
    </w:p>
    <w:p>
      <w:pPr>
        <w:spacing w:after="0" w:line="189"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An ordinary resolution to be passed by the shareholders requires the affirmative vote of a simple majority of the votes attaching to the ordinary shares cast in a general meeting, while a special resolution requires the affirmative vote of no less than two-thirds of the votes attaching to the ordinary shares cast in a general meeting. A special resolution is required for matters such as a change of name. Holders of the ordinary shares may effect certain changes by ordinary resolution, including consolidating and dividing all or any of our share capital into shares of larger amount than our existing share capital and canceling any shares.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187</w:t>
      </w:r>
    </w:p>
    <w:p>
      <w:pPr>
        <w:sectPr>
          <w:pgSz w:w="11900" w:h="16838" w:orient="portrait"/>
          <w:cols w:equalWidth="0" w:num="1">
            <w:col w:w="11140"/>
          </w:cols>
          <w:pgMar w:left="320" w:top="482" w:right="43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both"/>
        <w:ind w:left="12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Transfer of Shares</w:t>
      </w:r>
      <w:r>
        <w:rPr>
          <w:rFonts w:ascii="Times New Roman" w:cs="Times New Roman" w:eastAsia="Times New Roman" w:hAnsi="Times New Roman"/>
          <w:sz w:val="18"/>
          <w:szCs w:val="18"/>
          <w:color w:val="auto"/>
        </w:rPr>
        <w:t>. Subject to the restrictions of our memorandum and articles of association, as applicable, any of our shareholders may transfer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any or all of his or her ordinary shares by an instrument of transfer in the usual or common form or any other form approved by our board of directors.</w:t>
      </w:r>
    </w:p>
    <w:p>
      <w:pPr>
        <w:spacing w:after="0" w:line="159"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Our board of directors may, in their absolute discretion (except with respect to a transfer from a shareholder to its affiliate(s)), decline to register any transfer of shares without assigning any reason thereof. If our board of directors refuses to register a transfer they shall notify the transferee within two months of such refusal.</w:t>
      </w:r>
    </w:p>
    <w:p>
      <w:pPr>
        <w:spacing w:after="0" w:line="176"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Notwithstanding the foregoing, if a transfer complies with the holder’s transfer obligations and restrictions set forth under applicable law (including but not limited to U.S. securities law provisions related to insider trading) and our articles of association, our board of directors shall promptly register such transfer. Further, any director is authorized to confirm in writing addressed to the registered office to authorize a share transfer and to instruct that the register of members be updated accordingly;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transfer complies with the holder’s transfer obligations and restrictions set forth under applicable law and our articles of association and such holder is not the director who authorizes the transfer or an entity affiliated with such director. Any director is authorized to execute a share certificate in respect of such shares for and on behalf of our company.</w:t>
      </w:r>
    </w:p>
    <w:p>
      <w:pPr>
        <w:spacing w:after="0" w:line="187"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The registration of transfers may be suspended at such time and for such periods as our board of directors may from time to time determine;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registration of transfers shall not be suspended for more than 45 days in any year.</w:t>
      </w:r>
    </w:p>
    <w:p>
      <w:pPr>
        <w:spacing w:after="0" w:line="158" w:lineRule="exact"/>
        <w:rPr>
          <w:sz w:val="20"/>
          <w:szCs w:val="20"/>
          <w:color w:val="auto"/>
        </w:rPr>
      </w:pPr>
    </w:p>
    <w:p>
      <w:pPr>
        <w:jc w:val="both"/>
        <w:ind w:left="120" w:right="2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Liquidation</w:t>
      </w:r>
      <w:r>
        <w:rPr>
          <w:rFonts w:ascii="Times New Roman" w:cs="Times New Roman" w:eastAsia="Times New Roman" w:hAnsi="Times New Roman"/>
          <w:sz w:val="18"/>
          <w:szCs w:val="18"/>
          <w:color w:val="auto"/>
        </w:rPr>
        <w:t>. On a return of capital on winding up or otherwise (other than on conversion, redemption or purchase of shares), assets available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distribution among the holders of ordinary shares may be distributed among the holders of the ordinary shares as determined by the liquidator, subject to sanction of a special resolution of our company. If our assets available for distribution are insufficient to repay all of the paid-up capital, the assets will be distributed so that the losses are borne by our shareholders proportionately to the capital paid up, or which ought to have been paid up, at the commencement of the winding up on the shares held by such shareholders respectively.</w:t>
      </w:r>
    </w:p>
    <w:p>
      <w:pPr>
        <w:spacing w:after="0" w:line="179" w:lineRule="exact"/>
        <w:rPr>
          <w:sz w:val="20"/>
          <w:szCs w:val="20"/>
          <w:color w:val="auto"/>
        </w:rPr>
      </w:pPr>
    </w:p>
    <w:p>
      <w:pPr>
        <w:jc w:val="both"/>
        <w:ind w:left="120" w:right="2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Calls on Shares and Forfeiture of Shares</w:t>
      </w:r>
      <w:r>
        <w:rPr>
          <w:rFonts w:ascii="Times New Roman" w:cs="Times New Roman" w:eastAsia="Times New Roman" w:hAnsi="Times New Roman"/>
          <w:sz w:val="18"/>
          <w:szCs w:val="18"/>
          <w:color w:val="auto"/>
        </w:rPr>
        <w:t>. Our board of directors may from time to time make calls upon shareholders for any amounts unpaid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their shares in a notice served to such shareholders at least 14 days prior to the specified time and place of payment. The shares that have been called upon and remain unpaid on the specified time are subject to forfeiture.</w:t>
      </w:r>
    </w:p>
    <w:p>
      <w:pPr>
        <w:spacing w:after="0" w:line="171" w:lineRule="exact"/>
        <w:rPr>
          <w:sz w:val="20"/>
          <w:szCs w:val="20"/>
          <w:color w:val="auto"/>
        </w:rPr>
      </w:pPr>
    </w:p>
    <w:p>
      <w:pPr>
        <w:jc w:val="both"/>
        <w:ind w:left="12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Redemption of Shares</w:t>
      </w:r>
      <w:r>
        <w:rPr>
          <w:rFonts w:ascii="Times New Roman" w:cs="Times New Roman" w:eastAsia="Times New Roman" w:hAnsi="Times New Roman"/>
          <w:sz w:val="18"/>
          <w:szCs w:val="18"/>
          <w:color w:val="auto"/>
        </w:rPr>
        <w:t>. Subject to the provisions of the Companies Act and our articles of association, we may issue shares on terms that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subject to redemption, at our option or at the option of the holders, on such terms and in such manner as our board of directors may determine.</w:t>
      </w:r>
    </w:p>
    <w:p>
      <w:pPr>
        <w:spacing w:after="0" w:line="155" w:lineRule="exact"/>
        <w:rPr>
          <w:sz w:val="20"/>
          <w:szCs w:val="20"/>
          <w:color w:val="auto"/>
        </w:rPr>
      </w:pPr>
    </w:p>
    <w:p>
      <w:pPr>
        <w:jc w:val="both"/>
        <w:ind w:left="120" w:right="2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Repurchase of Shares</w:t>
      </w:r>
      <w:r>
        <w:rPr>
          <w:rFonts w:ascii="Times New Roman" w:cs="Times New Roman" w:eastAsia="Times New Roman" w:hAnsi="Times New Roman"/>
          <w:sz w:val="18"/>
          <w:szCs w:val="18"/>
          <w:color w:val="auto"/>
        </w:rPr>
        <w:t>. Subject to the provisions of the Companies Act and our articles of association, our board of directors may authorize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repurchase of our shares in accordance with the manner of purchase specified in our articles of association without seeking shareholder approval.</w:t>
      </w:r>
    </w:p>
    <w:p>
      <w:pPr>
        <w:spacing w:after="0" w:line="155" w:lineRule="exact"/>
        <w:rPr>
          <w:sz w:val="20"/>
          <w:szCs w:val="20"/>
          <w:color w:val="auto"/>
        </w:rPr>
      </w:pPr>
    </w:p>
    <w:p>
      <w:pPr>
        <w:jc w:val="both"/>
        <w:ind w:left="120" w:right="2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Variations of Rights of Shares</w:t>
      </w:r>
      <w:r>
        <w:rPr>
          <w:rFonts w:ascii="Times New Roman" w:cs="Times New Roman" w:eastAsia="Times New Roman" w:hAnsi="Times New Roman"/>
          <w:sz w:val="18"/>
          <w:szCs w:val="18"/>
          <w:color w:val="auto"/>
        </w:rPr>
        <w:t>. All or any of the special rights attached to any class of shares may, subject to the provisions of the Companies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Act, be varied either with the written consent of the holders of a majority of the issued shares of that class or with the sanction of a special resolution passed at a general meeting of the holders of the shares of that class.</w:t>
      </w:r>
    </w:p>
    <w:p>
      <w:pPr>
        <w:spacing w:after="0" w:line="171" w:lineRule="exact"/>
        <w:rPr>
          <w:sz w:val="20"/>
          <w:szCs w:val="20"/>
          <w:color w:val="auto"/>
        </w:rPr>
      </w:pPr>
    </w:p>
    <w:p>
      <w:pPr>
        <w:jc w:val="both"/>
        <w:ind w:left="120" w:right="2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Inspection of Books and Records</w:t>
      </w:r>
      <w:r>
        <w:rPr>
          <w:rFonts w:ascii="Times New Roman" w:cs="Times New Roman" w:eastAsia="Times New Roman" w:hAnsi="Times New Roman"/>
          <w:sz w:val="18"/>
          <w:szCs w:val="18"/>
          <w:color w:val="auto"/>
        </w:rPr>
        <w:t>. No holders of our ordinary shares who is not a director shall have any right of inspecting any of our accounts,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books or documents except as conferred by the Companies Act or authorized by the directors or by us in general meeting. However, we will make this annual report, which contains our audited financial statements, available to shareholders and ADS holders. See “Item 10.H. Additional Information— Documents on Display.”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Shares</w:t>
      </w:r>
    </w:p>
    <w:p>
      <w:pPr>
        <w:spacing w:after="0" w:line="121"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Our board of directors has the authority, without shareholder approval, to issue up to a total of 800,000,000 preferred shares in one or more series. Our board of directors may establish the number of shares to be included in each such series and may set the designations, preferences, powers and other rights of the shares of a series of preferred shares. While the issuance of preferred shares provides us with flexibility in connection with possible acquisitions or other corporate purposes, it could, among other things, have the effect of delaying, deferring or preventing a change of control transaction and could adversely affect the market price of our ADSs. We have no current plan to issue any preferred shares.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188</w:t>
      </w:r>
    </w:p>
    <w:p>
      <w:pPr>
        <w:sectPr>
          <w:pgSz w:w="11900" w:h="16838" w:orient="portrait"/>
          <w:cols w:equalWidth="0" w:num="1">
            <w:col w:w="11140"/>
          </w:cols>
          <w:pgMar w:left="320" w:top="482" w:right="43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Differences in Corporate Law</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Companies Act (As Revised) is derived, to a large extent, from the older Companies Acts of England but does not follow recent United Kingdom statutory enactments, and accordingly there are significant differences between the Companies Act (As Revised) and the current Companies Act of England.</w:t>
      </w:r>
    </w:p>
    <w:p>
      <w:pPr>
        <w:spacing w:after="0" w:line="176"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 addition, the Companies Act (As Revised) differs from laws applicable to United States corporations and their shareholders. Set forth below is a summary of certain significant differences between the provisions of the Companies Act (As Revised) applicable to us and the laws applicable to United States corporations and companies incorporated in the State of Delaware.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Mergers and Similar Arrangements</w:t>
      </w:r>
    </w:p>
    <w:p>
      <w:pPr>
        <w:spacing w:after="0" w:line="121"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Companies Act (As Revised) permits mergers and consolidations between Cayman Islands companies and between Cayman Islands companies and non-Cayman Islands companies. For these purposes, (1) “merger” means the merging of two or more constituent companies and the vesting of their undertaking, property and liabilities in one of such companies as the surviving company and (2) a “consolidation” means the combination of two or more constituent companies into a consolidated company and the vesting of the undertaking, property and liabilities of such companies in the consolidated company.</w:t>
      </w:r>
    </w:p>
    <w:p>
      <w:pPr>
        <w:spacing w:after="0" w:line="183"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In order to effect such a merger or consolidation, the directors of each constituent company must approve a written plan of merger or consolidation, which must then be authorized by (1) a special resolution of the shareholders of each constituent company, and (2) such other authorization, if any, as may be specified in such constituent company’s articles of association. The written plan of merger or consolidation must be filed with the Registrar of Companies together with a declaration as to the solvency of the consolidated or surviving company, a list of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Dissenting shareholders have the right to be paid the fair value of their shares (which, if not agreed between the parties, will be determined by the Cayman Islands court) if they follow the required procedures, subject to certain exceptions. Court approval is not required for a merger or consolidation which is effected in compliance with these statutory procedures.</w:t>
      </w:r>
    </w:p>
    <w:p>
      <w:pPr>
        <w:spacing w:after="0" w:line="188"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company is a “parent” of a subsidiary if it holds issued shares that together represent at least 90% of the votes at a general meeting of the subsidiary.</w:t>
      </w:r>
    </w:p>
    <w:p>
      <w:pPr>
        <w:spacing w:after="0" w:line="180"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consent of each holder of a fixed or floating security interest over a constituent company is required unless this requirement is waived by a court in the Cayman Islands.</w:t>
      </w:r>
    </w:p>
    <w:p>
      <w:pPr>
        <w:spacing w:after="0" w:line="162"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Save in certain limited circumstances, a shareholder of a Cayman constituent company who dissents from the merger or consolidation is entitled to payment of the fair value of his shares (which, if not agreed between the parties, will be determined by the Cayman Islands court) upon dissenting to the merger or consolidation, provide the dissenting shareholder complies strictly with the procedures set out in the Companies Act. The exercise of dissenter rights will preclude the exercise by the dissenting shareholder of any other rights to which he or she might otherwise be entitled by virtue of holding shares, save for the right to seek relief on the grounds that the merger or consolidation is void or unlawful.</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189</w:t>
      </w:r>
    </w:p>
    <w:p>
      <w:pPr>
        <w:sectPr>
          <w:pgSz w:w="11900" w:h="16838" w:orient="portrait"/>
          <w:cols w:equalWidth="0" w:num="1">
            <w:col w:w="11140"/>
          </w:cols>
          <w:pgMar w:left="320" w:top="482" w:right="43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Separate from the statutory provisions relating to mergers and consolidations, the Companies Act (As Revised) also contains statutory provisions that facilitate the reconstruction and amalgamation of companies by way of schemes of arrangement, provided that the arrangement is approved by (a) 75% in value of the shareholders or class of shareholders, as the case may be, or (b) a majority in number representing 75% in value of the creditors or each class of creditors, as the case may be, with whom the arrangement is to be made, that are, in each case,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Grand Court can be expected to approve the arrangement if it determines that:</w:t>
      </w:r>
    </w:p>
    <w:p>
      <w:pPr>
        <w:spacing w:after="0" w:line="94" w:lineRule="exact"/>
        <w:rPr>
          <w:sz w:val="20"/>
          <w:szCs w:val="20"/>
          <w:color w:val="auto"/>
        </w:rPr>
      </w:pPr>
    </w:p>
    <w:p>
      <w:pPr>
        <w:ind w:left="1080" w:hanging="424"/>
        <w:spacing w:after="0"/>
        <w:tabs>
          <w:tab w:leader="none" w:pos="10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statutory provisions as to the required majority vote have been met;</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have been fairly represented at the meeting in question and the statutory majority are acting bona fide without coercion of the minority to promote interests adverse to those of the class;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such that may be reasonably approved by an intelligent and honest man of that class acting in respect of his interest;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not one that would more properly be sanctioned under some other provision of the Companies Act.</w:t>
      </w:r>
    </w:p>
    <w:p>
      <w:pPr>
        <w:spacing w:after="0" w:line="225"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The Companies Act (As Revised) also contains a statutory power of compulsory acquisition which may facilitate the “squeeze out” of dissentient minority shareholder upon a tender offer. When a tender offer is made and accepted by holders of 90% of the shares affected within four months, the offeror may, within a two-month period commencing on the expiration of such four-month period, require the holders of the remaining shares to transfer such shares to the offeror on the terms of the offer. An objection can be made to the Grand Court of the Cayman Islands but this is unlikely to succeed in the case of an offer which has been so approved unless there is evidence of fraud, bad faith or collusion.</w:t>
      </w:r>
    </w:p>
    <w:p>
      <w:pPr>
        <w:spacing w:after="0" w:line="183"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If an arrangement and reconstruction by way of scheme of arrangement is thus approved, the dissenting shareholder would have no rights comparable to appraisal rights, which would otherwise ordinarily be available to dissenting shareholders of Delaware corporations, providing rights to receive payment in cash for the judicially determined value of the shares.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Shareholders’ Suits</w:t>
      </w:r>
    </w:p>
    <w:p>
      <w:pPr>
        <w:spacing w:after="0" w:line="121"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In principle, we will normally be the proper plaintiff to sue for a wrong done to us as a company, and as a general rule a derivative action may not be brought by a minority shareholder. However, based on English authorities, which would in all likelihood be of persuasive authority in the Cayman Islands, the Cayman Islands court can be expected to follow and apply the common law principles (namely the rule in Foss v. Harbottle and the exceptions thereto) so that a non-controlling shareholder may be permitted to commence a class action against or derivative actions in the name of our company to challenge actions where:</w:t>
      </w:r>
    </w:p>
    <w:p>
      <w:pPr>
        <w:spacing w:after="0" w:line="89" w:lineRule="exact"/>
        <w:rPr>
          <w:sz w:val="20"/>
          <w:szCs w:val="20"/>
          <w:color w:val="auto"/>
        </w:rPr>
      </w:pPr>
    </w:p>
    <w:p>
      <w:pPr>
        <w:ind w:left="1080" w:hanging="424"/>
        <w:spacing w:after="0"/>
        <w:tabs>
          <w:tab w:leader="none" w:pos="10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 which is ultra vires or illegal and is therefore incapable of ratification by the shareholders;</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 complained of, although not ultra vires, could only be effected duly if authorized by more than a simple majority vote that has not been obtained;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 which constitute a fraud against the minority where the wrongdoer are themselves in control of the company.</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of Directors and Executive Officers and Limitation of Liability</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w:t>
      </w:r>
    </w:p>
    <w:p>
      <w:pPr>
        <w:spacing w:after="0" w:line="176"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Our memorandum and articles of association permit indemnification of officers and directors for losses, damages, costs and expenses incurred in their capacities as such unless such losses or damages arise from dishonesty or fraud of such directors or officers. This standard of conduct is generally the same as permitted under the Delaware General Corporation Law for a Delaware corporation.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190</w:t>
      </w:r>
    </w:p>
    <w:p>
      <w:pPr>
        <w:sectPr>
          <w:pgSz w:w="11900" w:h="16838" w:orient="portrait"/>
          <w:cols w:equalWidth="0" w:num="1">
            <w:col w:w="11140"/>
          </w:cols>
          <w:pgMar w:left="320" w:top="482" w:right="43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In addition, we have entered into indemnification agreements with our directors and executive officers that provide such persons with additional indemnification beyond that provided in our memorandum and articles of association.</w:t>
      </w:r>
    </w:p>
    <w:p>
      <w:pPr>
        <w:spacing w:after="0" w:line="162"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Directors’ Fiduciary Duties</w:t>
      </w:r>
    </w:p>
    <w:p>
      <w:pPr>
        <w:spacing w:after="0" w:line="121"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Under Delaware corporate law, a director of a Delaware corporation has a 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w:t>
      </w:r>
    </w:p>
    <w:p>
      <w:pPr>
        <w:spacing w:after="0" w:line="180"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duty of loyalty requires that a director acts in a manner he or she reasonably believes to be in the best interests of the corporation. He or she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w:t>
      </w:r>
    </w:p>
    <w:p>
      <w:pPr>
        <w:spacing w:after="0" w:line="180"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spacing w:after="0" w:line="180"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As a matter of Cayman Islands law, a director of a Cayman Islands company is in the position of a fiduciary with respect to the company and therefore it is considered that he or she owes the following duties to the company:</w:t>
      </w:r>
    </w:p>
    <w:p>
      <w:pPr>
        <w:spacing w:after="0" w:line="67" w:lineRule="exact"/>
        <w:rPr>
          <w:sz w:val="20"/>
          <w:szCs w:val="20"/>
          <w:color w:val="auto"/>
        </w:rPr>
      </w:pPr>
    </w:p>
    <w:p>
      <w:pPr>
        <w:ind w:left="1080" w:hanging="424"/>
        <w:spacing w:after="0"/>
        <w:tabs>
          <w:tab w:leader="none" w:pos="10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duty to act in good faith in the best interests of the company,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duty not to make a personal profit based on his or her position as director (unless the company permits him or her to do so),</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duty not to put himself or herself in a position where the interests of the company conflict with his or her personal interest or his or her duty to a third party,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duty to exercise powers for the purpose for which such powers were intended.</w:t>
      </w:r>
    </w:p>
    <w:p>
      <w:pPr>
        <w:spacing w:after="0" w:line="225"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A director of a Cayman Islands company owes to the company a duty of care, diligence and skill. It was previously considered that a director need not exhibit in the performance of his or her duties a greater degree of skill than may reasonably be expected from a person of his or her knowledge and experience. However, English and Commonwealth courts have moved towards an objective standard with regard to the required skill and care and these authorities are likely to be followed in the Cayman Islands.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Shareholder Action by Written Consent</w:t>
      </w:r>
    </w:p>
    <w:p>
      <w:pPr>
        <w:spacing w:after="0" w:line="121"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Under the Delaware General Corporation Law, a corporation may eliminate the right of shareholders to act by written consent by amendment to its certificate of incorporation. Cayman Islands law and our currently effective memorandum and articles of association provide that our shareholders may approve corporate matters by way of a unanimous written resolution signed by or on behalf of all shareholders who would have been entitled to vote on such matter at a general meeting without a meeting being held.</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191</w:t>
      </w:r>
    </w:p>
    <w:p>
      <w:pPr>
        <w:sectPr>
          <w:pgSz w:w="11900" w:h="16838" w:orient="portrait"/>
          <w:cols w:equalWidth="0" w:num="1">
            <w:col w:w="11140"/>
          </w:cols>
          <w:pgMar w:left="320" w:top="482" w:right="43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Shareholder Proposals</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Under the Delaware General Corporation Law, a shareholder has the right to put any proposal before the annual meeting of 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spacing w:after="0" w:line="176"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Companies Act (As Revised) does not provide shareholders with an express right to put forth any proposal before a general meeting of the shareholders. However, the Companies Act (As Revised) may provide shareholders with limited rights to requisition a general meeting but such rights must be stipulated in the articles of association of the company.</w:t>
      </w:r>
    </w:p>
    <w:p>
      <w:pPr>
        <w:spacing w:after="0" w:line="176"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Any one or more shareholders holding not less than one-tenth of the voting rights on a one vote per share basis, in the share capital of the company at the date of deposit of the requisition shall at all times have the right, by written requisition to the board of directors or the secretary of the company, to require an extraordinary general meeting to be called by the board of directors for the transaction of any business specified in such requisition.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Cumulative Voting</w:t>
      </w:r>
    </w:p>
    <w:p>
      <w:pPr>
        <w:spacing w:after="0" w:line="121"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Under the Delaware General Corporation Law, cumulative voting for election of 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w:t>
      </w:r>
    </w:p>
    <w:p>
      <w:pPr>
        <w:spacing w:after="0" w:line="180"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There are no prohibitions relating to cumulative voting under the laws of the Cayman Islands, but our memorandum and articles of association do not provide for cumulative voting. As a result, our shareholders are not afforded any less protections or rights on this issue than shareholders of a Delaware corporation.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Removal of Directors</w:t>
      </w:r>
    </w:p>
    <w:p>
      <w:pPr>
        <w:spacing w:after="0" w:line="121"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Under the Delaware General Corporation Law, a director of a corporation with a classified board may be removed only for cause with the approval of a majority of the issued and outstanding shares entitled to vote, unless the certificate of incorporation provides otherwise. Under our memorandum and articles of association, directors may be removed with or without cause, by an ordinary resolution of our shareholders at any time before the expiration of his term of office notwithstanding anything in our memorandum and articles of association or in any agreement between our company and such director (but without prejudice to any claim for damages under any such agreement).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Interested Shareholders</w:t>
      </w:r>
    </w:p>
    <w:p>
      <w:pPr>
        <w:spacing w:after="0" w:line="121"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The Delaware General Corporation Law contains a business combination statute applicable to Delaware public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shares within the past three years.</w:t>
      </w:r>
    </w:p>
    <w:p>
      <w:pPr>
        <w:spacing w:after="0" w:line="183"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This statute has the effect of limiting the ability of a potential acquirer to make a two-tiered bid for the target in which all shareholders would not be treated equally. The statute does not apply if,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spacing w:after="0" w:line="180"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such transactions must be entered into bona fide in the best interests of the company and for a proper purpose and not with the effect of constituting a fraud on the minority shareholders.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192</w:t>
      </w:r>
    </w:p>
    <w:p>
      <w:pPr>
        <w:sectPr>
          <w:pgSz w:w="11900" w:h="16838" w:orient="portrait"/>
          <w:cols w:equalWidth="0" w:num="1">
            <w:col w:w="11140"/>
          </w:cols>
          <w:pgMar w:left="320" w:top="482" w:right="43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Restructuring</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A company may present a petition to the Grand Court of the Cayman Islands for the appointment of a restructuring officer on the grounds that the company:</w:t>
      </w:r>
    </w:p>
    <w:p>
      <w:pPr>
        <w:spacing w:after="0" w:line="67" w:lineRule="exact"/>
        <w:rPr>
          <w:sz w:val="20"/>
          <w:szCs w:val="20"/>
          <w:color w:val="auto"/>
        </w:rPr>
      </w:pPr>
    </w:p>
    <w:p>
      <w:pPr>
        <w:ind w:left="1540" w:hanging="439"/>
        <w:spacing w:after="0"/>
        <w:tabs>
          <w:tab w:leader="none" w:pos="154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or is likely to become unable to pay its debts; and</w:t>
      </w:r>
    </w:p>
    <w:p>
      <w:pPr>
        <w:spacing w:after="0" w:line="130" w:lineRule="exact"/>
        <w:rPr>
          <w:rFonts w:ascii="Times New Roman" w:cs="Times New Roman" w:eastAsia="Times New Roman" w:hAnsi="Times New Roman"/>
          <w:sz w:val="18"/>
          <w:szCs w:val="18"/>
          <w:color w:val="auto"/>
        </w:rPr>
      </w:pPr>
    </w:p>
    <w:p>
      <w:pPr>
        <w:ind w:left="1540" w:right="20" w:hanging="439"/>
        <w:spacing w:after="0" w:line="282" w:lineRule="auto"/>
        <w:tabs>
          <w:tab w:leader="none" w:pos="154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intends to present a compromise or arrangement to its creditors (or classes thereof) either pursuant to the Companies Act, the law of a foreign country or by way of a consensual restructuring.</w:t>
      </w:r>
    </w:p>
    <w:p>
      <w:pPr>
        <w:spacing w:after="0" w:line="162"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Grand Court may, among other things, make an order appointing a restructuring officer upon hearing of such petition, with such powers and to carry out such functions as the court may order. At any time (i) after the presentation of a petition for the appointment of a restructuring officer but before an order for the appointment of a restructuring officer has been made, and (ii) when an order for the appointment of a restructuring officer is made, until such order has been discharged, no suit, action or other proceedings (other than criminal proceedings) shall be proceeded with or commenced against the company, no resolution to wind up the company shall be passed, and no winding up petition may be presented against the company, except with the leave of the court.</w:t>
      </w:r>
    </w:p>
    <w:p>
      <w:pPr>
        <w:spacing w:after="0" w:line="187"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However, notwithstanding the presentation of a petition for the appointment of a restructuring officer or the appointment of a restructuring officer, a creditor who has security over the whole or part of the assets of the company is entitled to enforce the security without the leave of the court and without reference to the restructuring officer appointed.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Dissolution; Winding Up</w:t>
      </w:r>
    </w:p>
    <w:p>
      <w:pPr>
        <w:spacing w:after="0" w:line="121"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Under the Delaware General Corporation Law, unless the board of directors approves the proposal to dissolve, 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spacing w:after="0" w:line="180"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Variation of Rights of Shares</w:t>
      </w:r>
    </w:p>
    <w:p>
      <w:pPr>
        <w:spacing w:after="0" w:line="121"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Under the Delaware General Corporation Law, a corporation may vary the rights of a class of shares with the approval of a majority of the outstanding shares of such class, unless the certificate of incorporation provides otherwise. Under Cayman Islands law and our memorandum and articles of association, if our share capital is divided into more than one class of shares, we may vary the rights attached to any class with the sanction of a special resolution passed by a majority of not less than three-fourths of the votes cast at a separate meeting of the holders of the shares of that class.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Amendment of Governing Documents</w:t>
      </w:r>
    </w:p>
    <w:p>
      <w:pPr>
        <w:spacing w:after="0" w:line="121"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Under the Delaware General Corporation Law, a corporation’s governing documents may be amended with the approval of a majority of the outstanding shares entitled to vote, unless the certificate of incorporation provides otherwise.</w:t>
      </w:r>
    </w:p>
    <w:p>
      <w:pPr>
        <w:spacing w:after="0" w:line="162" w:lineRule="exact"/>
        <w:rPr>
          <w:sz w:val="20"/>
          <w:szCs w:val="20"/>
          <w:color w:val="auto"/>
        </w:rPr>
      </w:pPr>
    </w:p>
    <w:p>
      <w:pPr>
        <w:jc w:val="center"/>
        <w:ind w:left="420" w:right="460"/>
        <w:spacing w:after="0" w:line="454" w:lineRule="auto"/>
        <w:rPr>
          <w:sz w:val="20"/>
          <w:szCs w:val="20"/>
          <w:color w:val="auto"/>
        </w:rPr>
      </w:pPr>
      <w:r>
        <w:rPr>
          <w:rFonts w:ascii="Times New Roman" w:cs="Times New Roman" w:eastAsia="Times New Roman" w:hAnsi="Times New Roman"/>
          <w:sz w:val="18"/>
          <w:szCs w:val="18"/>
          <w:color w:val="auto"/>
        </w:rPr>
        <w:t>Under Cayman Islands law, our memorandum and articles of association may only be amended with a special resolution of our shareholders. 193</w:t>
      </w:r>
    </w:p>
    <w:p>
      <w:pPr>
        <w:sectPr>
          <w:pgSz w:w="11900" w:h="16838" w:orient="portrait"/>
          <w:cols w:equalWidth="0" w:num="1">
            <w:col w:w="11140"/>
          </w:cols>
          <w:pgMar w:left="320" w:top="482" w:right="43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Rights of Non-resident or Foreign Shareholders</w:t>
      </w:r>
    </w:p>
    <w:p>
      <w:pPr>
        <w:spacing w:after="0" w:line="121"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There are no limitations imposed by our memorandum and articles of association on the rights of non-resident or foreign shareholders to hold or exercise voting rights on our shares.</w:t>
      </w:r>
    </w:p>
    <w:p>
      <w:pPr>
        <w:spacing w:after="0" w:line="162"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In addition, there are no provisions in our memorandum and articles of association governing the ownership threshold above which shareholder ownership must be disclosed.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Inspection of Books and Records</w:t>
      </w:r>
    </w:p>
    <w:p>
      <w:pPr>
        <w:spacing w:after="0" w:line="121"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Under the Delaware General Corporation Law, any shareholder of a corporation may for any proper purpose inspect or make copies of the corporation’s stock ledger, list of shareholders and other books and records.</w:t>
      </w:r>
    </w:p>
    <w:p>
      <w:pPr>
        <w:spacing w:after="0" w:line="162" w:lineRule="exact"/>
        <w:rPr>
          <w:sz w:val="20"/>
          <w:szCs w:val="20"/>
          <w:color w:val="auto"/>
        </w:rPr>
      </w:pPr>
    </w:p>
    <w:p>
      <w:pPr>
        <w:jc w:val="both"/>
        <w:ind w:left="120" w:firstLine="440"/>
        <w:spacing w:after="0" w:line="281" w:lineRule="auto"/>
        <w:rPr>
          <w:sz w:val="20"/>
          <w:szCs w:val="20"/>
          <w:color w:val="auto"/>
        </w:rPr>
      </w:pPr>
      <w:r>
        <w:rPr>
          <w:rFonts w:ascii="Times New Roman" w:cs="Times New Roman" w:eastAsia="Times New Roman" w:hAnsi="Times New Roman"/>
          <w:sz w:val="17"/>
          <w:szCs w:val="17"/>
          <w:color w:val="auto"/>
        </w:rPr>
        <w:t>Shareholders of Cayman Islands exempted companies like us have no general right under Cayman Islands law to inspect corporate records (other than the memorandum and articles of association, the register of mortgages and charges and any special resolutions passed by our shareholders) or obtain copies of the list of shareholders of these companies. Under Cayman Islands law, the names of our current directors can be obtained from a search conducted at the Registrar of Companies. However, we intend to provide our shareholders with annual reports containing audited financial statements.</w:t>
      </w:r>
    </w:p>
    <w:p>
      <w:pPr>
        <w:spacing w:after="0" w:line="309" w:lineRule="exact"/>
        <w:rPr>
          <w:sz w:val="20"/>
          <w:szCs w:val="20"/>
          <w:color w:val="auto"/>
        </w:rPr>
      </w:pPr>
    </w:p>
    <w:p>
      <w:pPr>
        <w:ind w:left="540" w:hanging="424"/>
        <w:spacing w:after="0"/>
        <w:tabs>
          <w:tab w:leader="none" w:pos="540" w:val="left"/>
        </w:tabs>
        <w:numPr>
          <w:ilvl w:val="0"/>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Material Contracts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have not entered into any material contracts other than in the ordinary course of business and other than those described in “Item 4.</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Information on the Company” or elsewhere in this annual report on Form 20-F.</w:t>
      </w:r>
    </w:p>
    <w:p>
      <w:pPr>
        <w:spacing w:after="0" w:line="351" w:lineRule="exact"/>
        <w:rPr>
          <w:sz w:val="20"/>
          <w:szCs w:val="20"/>
          <w:color w:val="auto"/>
        </w:rPr>
      </w:pPr>
    </w:p>
    <w:p>
      <w:pPr>
        <w:ind w:left="540" w:hanging="424"/>
        <w:spacing w:after="0"/>
        <w:tabs>
          <w:tab w:leader="none" w:pos="540" w:val="left"/>
        </w:tabs>
        <w:numPr>
          <w:ilvl w:val="0"/>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Exchange Controls</w:t>
      </w:r>
    </w:p>
    <w:p>
      <w:pPr>
        <w:spacing w:after="0" w:line="121" w:lineRule="exact"/>
        <w:rPr>
          <w:rFonts w:ascii="Times New Roman" w:cs="Times New Roman" w:eastAsia="Times New Roman" w:hAnsi="Times New Roman"/>
          <w:sz w:val="18"/>
          <w:szCs w:val="18"/>
          <w:b w:val="1"/>
          <w:bCs w:val="1"/>
          <w:color w:val="auto"/>
        </w:rPr>
      </w:pPr>
    </w:p>
    <w:p>
      <w:pPr>
        <w:ind w:left="5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See “Item 4.B. Information on the Company—Business Overview—Regulations—Regulations on Foreign Exchange.”</w:t>
      </w:r>
    </w:p>
    <w:p>
      <w:pPr>
        <w:spacing w:after="0" w:line="369" w:lineRule="exact"/>
        <w:rPr>
          <w:rFonts w:ascii="Times New Roman" w:cs="Times New Roman" w:eastAsia="Times New Roman" w:hAnsi="Times New Roman"/>
          <w:sz w:val="18"/>
          <w:szCs w:val="18"/>
          <w:b w:val="1"/>
          <w:bCs w:val="1"/>
          <w:color w:val="auto"/>
        </w:rPr>
      </w:pPr>
    </w:p>
    <w:p>
      <w:pPr>
        <w:ind w:left="540" w:hanging="424"/>
        <w:spacing w:after="0"/>
        <w:tabs>
          <w:tab w:leader="none" w:pos="540" w:val="left"/>
        </w:tabs>
        <w:numPr>
          <w:ilvl w:val="0"/>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Taxation</w:t>
      </w:r>
    </w:p>
    <w:p>
      <w:pPr>
        <w:spacing w:after="0" w:line="121"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following summary of the material Cayman Islands, People’s Republic of China and U.S. federal income tax consequences of an investment in our ADSs or ordinary shares is based upon the laws and interpretations thereof in effect as of the date of this annual report, all of which are subject to change. This summary does not deal with all possible tax consequences relating to an investment in our ADSs or ordinary shares, such as the tax consequences under state, local and other tax laws.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Cayman Islands Tax Considerations</w:t>
      </w:r>
    </w:p>
    <w:p>
      <w:pPr>
        <w:spacing w:after="0" w:line="121"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According to Maples and Calder (Hong Kong) LLP, our Cayman Islands counsel, the Cayman Islands currently levies no taxes on individuals or corporations based upon profits, income, gains or appreciation and there is no taxation in the nature of inheritance tax or estate duty. There are no other taxes likely to be material to shareholders or ADS holders levied by the Government of the Cayman Islands except for stamp duties which may be applicable on instruments executed in, or brought within, the jurisdiction of the Cayman Islands. The Cayman Islands is not party to any double tax treaties that are applicable to any payments made to or by our company. There are no exchange control regulations or currency restrictions in the Cayman Islands.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Chinese Mainland Tax Considerations</w:t>
      </w:r>
    </w:p>
    <w:p>
      <w:pPr>
        <w:spacing w:after="0" w:line="121" w:lineRule="exact"/>
        <w:rPr>
          <w:sz w:val="20"/>
          <w:szCs w:val="20"/>
          <w:color w:val="auto"/>
        </w:rPr>
      </w:pPr>
    </w:p>
    <w:p>
      <w:pPr>
        <w:jc w:val="both"/>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If we are considered a Chinese mainland resident enterprise under the EIT Law, our shareholders and ADS holders who are deemed non-resident enterprises may be subject to the 10% enterprise income tax on the dividends payable by us or any gains realized from the transfer of our shares or ADSs, if such income is deemed derived from Chinese mainland;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such foreign enterprise investor has no establishment or premises in Chinese mainland, or (ii) it has establishment or premises in Chinese mainland but its income derived from Chinese mainland has no real connection with such establishment or premises. Furthermore, if we are considered a Chinese mainland resident enterprise and the PRC tax authorities consider the dividends we pay with respect to our shares or ADSs and the gains realized from the transfer of our shares or ADSs to be income derived from sources within Chinese mainland, it is also possible that such dividends and gains earned by non-resident individuals may be subject to the 20% Chinese mainland individual income tax. It is uncertain whether, if we are considered a Chinese mainland resident enterprise, holders of our shares or ADSs would be able to claim the benefit of tax treaties or arrangements entered into between Chinese mainland and other jurisdictions.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194</w:t>
      </w:r>
    </w:p>
    <w:p>
      <w:pPr>
        <w:sectPr>
          <w:pgSz w:w="11900" w:h="16838" w:orient="portrait"/>
          <w:cols w:equalWidth="0" w:num="1">
            <w:col w:w="11140"/>
          </w:cols>
          <w:pgMar w:left="320" w:top="482" w:right="43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firstLine="440"/>
        <w:spacing w:after="0" w:line="263" w:lineRule="auto"/>
        <w:rPr>
          <w:sz w:val="20"/>
          <w:szCs w:val="20"/>
          <w:color w:val="auto"/>
        </w:rPr>
      </w:pPr>
      <w:r>
        <w:rPr>
          <w:rFonts w:ascii="Times New Roman" w:cs="Times New Roman" w:eastAsia="Times New Roman" w:hAnsi="Times New Roman"/>
          <w:sz w:val="18"/>
          <w:szCs w:val="18"/>
          <w:color w:val="auto"/>
        </w:rPr>
        <w:t>If we are required under the tax law of Chinese mainland to withhold Chinese mainland income tax on our dividends payable to our non-resident shareholders and ADS holders, or if any gains realized from the transfer of our shares or ADSs by our non-resident shareholders and ADS holders are subject to the enterprise income tax or the individual income tax, your investment in our shares or ADSs could be materially and adversely affected.</w:t>
      </w:r>
    </w:p>
    <w:p>
      <w:pPr>
        <w:spacing w:after="0" w:line="200" w:lineRule="exact"/>
        <w:rPr>
          <w:sz w:val="20"/>
          <w:szCs w:val="20"/>
          <w:color w:val="auto"/>
        </w:rPr>
      </w:pPr>
    </w:p>
    <w:p>
      <w:pPr>
        <w:spacing w:after="0" w:line="3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U.S. Federal Income Tax Considerations</w:t>
      </w:r>
    </w:p>
    <w:p>
      <w:pPr>
        <w:spacing w:after="0" w:line="121"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The following discussion is a summary of U.S. federal income tax considerations under present law of the ownership and disposition of the ADSs or ordinary shares. This summary applies only to investors that are U.S. Holders (as defined below) and that hold the ADSs or ordinary shares as capital assets (generally, property held for investment) under the U.S. Internal Revenue Code of 1986, as amended. This discussion is based on the existing federal tax laws of the United States as in effect on the date of this annual report on Form 20-F and on U.S. Treasury regulations in effect or, in some cases, proposed, as of the date of this annual report on Form 20-F, as well as judicial and administrative interpretations thereof available on or before such date. All of the foregoing authorities are subject to differing interpretations or change, which change could apply retroactively and there can be no assurance that the U.S. Internal Revenue Service or a court will not take a contrary position.</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discussion does not deal with the tax consequences to any particular investor or to persons in special tax situations such as:</w:t>
      </w:r>
    </w:p>
    <w:p>
      <w:pPr>
        <w:spacing w:after="0" w:line="131" w:lineRule="exact"/>
        <w:rPr>
          <w:sz w:val="20"/>
          <w:szCs w:val="20"/>
          <w:color w:val="auto"/>
        </w:rPr>
      </w:pPr>
    </w:p>
    <w:p>
      <w:pPr>
        <w:ind w:left="1080" w:hanging="424"/>
        <w:spacing w:after="0"/>
        <w:tabs>
          <w:tab w:leader="none" w:pos="10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 dealers;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plans;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cooperatives;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that are not U.S. Holders;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elect to mark their securities to market;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liable for any minimum tax;</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expatriates or former long-term residents of the United States;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governments or agencies or instrumentalities thereof;</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an ADS or ordinary share as part of a straddle, hedging, conversion, constructive sale, or integrated transaction;</w:t>
      </w:r>
    </w:p>
    <w:p>
      <w:pPr>
        <w:spacing w:after="0" w:line="157" w:lineRule="exact"/>
        <w:rPr>
          <w:rFonts w:ascii="Times New Roman" w:cs="Times New Roman" w:eastAsia="Times New Roman" w:hAnsi="Times New Roman"/>
          <w:sz w:val="18"/>
          <w:szCs w:val="18"/>
          <w:color w:val="auto"/>
        </w:rPr>
      </w:pPr>
    </w:p>
    <w:p>
      <w:pPr>
        <w:ind w:left="5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195</w:t>
      </w:r>
    </w:p>
    <w:p>
      <w:pPr>
        <w:sectPr>
          <w:pgSz w:w="11900" w:h="16838" w:orient="portrait"/>
          <w:cols w:equalWidth="0" w:num="1">
            <w:col w:w="11140"/>
          </w:cols>
          <w:pgMar w:left="320" w:top="482" w:right="43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actually or constructively own ADSs or ordinary shares representing 10% or more of our stock (by vote or value);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ADSs or ordinary shares through partnerships or other pass-through entities or arrangements;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whose functional currency is other than the U.S. dollar;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acquired our ADSs or ordinary shares pursuant to the exercise of any employee share option or otherwise as compensation.</w:t>
      </w:r>
    </w:p>
    <w:p>
      <w:pPr>
        <w:spacing w:after="0" w:line="221" w:lineRule="exact"/>
        <w:rPr>
          <w:sz w:val="20"/>
          <w:szCs w:val="20"/>
          <w:color w:val="auto"/>
        </w:rPr>
      </w:pPr>
    </w:p>
    <w:p>
      <w:pPr>
        <w:jc w:val="both"/>
        <w:ind w:left="120" w:right="20"/>
        <w:spacing w:after="0" w:line="268" w:lineRule="auto"/>
        <w:rPr>
          <w:sz w:val="20"/>
          <w:szCs w:val="20"/>
          <w:color w:val="auto"/>
        </w:rPr>
      </w:pPr>
      <w:r>
        <w:rPr>
          <w:rFonts w:ascii="Times New Roman" w:cs="Times New Roman" w:eastAsia="Times New Roman" w:hAnsi="Times New Roman"/>
          <w:sz w:val="18"/>
          <w:szCs w:val="18"/>
          <w:b w:val="1"/>
          <w:bCs w:val="1"/>
          <w:color w:val="auto"/>
        </w:rPr>
        <w:t>U.S. Holders are urged to consult their tax advisors about the application of the U.S. federal tax rules to their particular circumstances as well as the state, local and foreign tax, Medicare tax and non-income tax (such as the U.S. federal estate or gift tax) consequences to them of ownership and disposition of our ADSs or ordinary shares.</w:t>
      </w:r>
    </w:p>
    <w:p>
      <w:pPr>
        <w:spacing w:after="0" w:line="67"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discussion below of the U.S. federal income tax consequences will apply if you are a “U.S. Holder.” You are a “U.S. Holder” if you are the beneficial owner of our ADSs or ordinary shares and you are, for U.S. federal income tax purposes,</w:t>
      </w:r>
    </w:p>
    <w:p>
      <w:pPr>
        <w:spacing w:after="0" w:line="67" w:lineRule="exact"/>
        <w:rPr>
          <w:sz w:val="20"/>
          <w:szCs w:val="20"/>
          <w:color w:val="auto"/>
        </w:rPr>
      </w:pPr>
    </w:p>
    <w:p>
      <w:pPr>
        <w:ind w:left="1080" w:hanging="424"/>
        <w:spacing w:after="0"/>
        <w:tabs>
          <w:tab w:leader="none" w:pos="10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citizen or individual resident of the United States;</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subject to tax as a corporation for U.S. federal income tax purposes) that is created or organized in or under the laws of the United States, any State or the District of Columbia;</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whose income is subject to U.S. federal income taxation regardless of its source; or</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that (i) is subject to the supervision of a court within the United States and the control of one or more U.S. persons or (ii) has a valid election in effect under applicable U.S. Treasury regulations to be treated as a U.S. person.</w:t>
      </w:r>
    </w:p>
    <w:p>
      <w:pPr>
        <w:spacing w:after="0" w:line="162"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This discussion does not consider the tax treatment of partnerships or other pass-through entities or arrangements that hold the ADSs or ordinary shares, or of persons who hold the ADSs or ordinary shares through such entities or arrangements. If a partnership (or other entity or arrangement classified as a partnership for U.S. federal income tax purposes) is the beneficial owner of the ADSs or ordinary shares, the U.S. federal income tax treatment of a partner in the partnership will generally depend on the status of the partner and the activities of the partnership. Partners in a partnership holding our ordinary shares or ADSs should consult their tax advisors regarding the United States federal income tax considerations relating to the ownership or disposition of our ordinary shares or ADSs.</w:t>
      </w:r>
    </w:p>
    <w:p>
      <w:pPr>
        <w:spacing w:after="0" w:line="187"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The discussion below assumes that the representations contained in the deposit agreement are true and that the obligations in the deposit agreement and any related agreement will be complied with in accordance with their terms. If you hold our ADSs, you will be treated as the holder of the underlying ordinary shares represented by those ADSs for U.S. federal income tax purposes.</w:t>
      </w:r>
    </w:p>
    <w:p>
      <w:pPr>
        <w:spacing w:after="0" w:line="176"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This discussion does not address any aspect of U.S. federal non-income tax laws, such as gift or estate tax laws, minimum tax considerations, or state, local or foreign tax laws or the Medicare tax on certain net investment income. The U.S. Internal Revenue Service may disagree with the discussion herein, and its determination may be upheld by a court.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Taxation of Dividends and Other Distributions on the ADSs or Ordinary Shares</w:t>
      </w:r>
    </w:p>
    <w:p>
      <w:pPr>
        <w:spacing w:after="0" w:line="121"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Subject to the passive foreign investment company rules discussed below, the gross amount of all our distributions to you with respect to the ADSs or ordinary shares will be included in your gross income as dividend income on the date actually or constructively received by the depositary, in the case of our ADSs, or by you, in the case of ordinary shares, but only to the extent that the distribution is paid out of our current or accumulated earnings and profits (computed under U.S. federal income tax principles). Because we do not intend to determine our earnings and profits on the basis of U.S. federal income tax principles, any distribution paid will generally be treated as a “dividend” for U.S. federal income tax purposes. Dividends paid by us will not be eligible for the dividends-received deduction allowed to corporations in respect of dividends received from U.S. corporations.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196</w:t>
      </w:r>
    </w:p>
    <w:p>
      <w:pPr>
        <w:sectPr>
          <w:pgSz w:w="11900" w:h="16838" w:orient="portrait"/>
          <w:cols w:equalWidth="0" w:num="1">
            <w:col w:w="11140"/>
          </w:cols>
          <w:pgMar w:left="320" w:top="482" w:right="43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With respect to non-corporate U.S. Holders (including individual U.S. Holders), dividends may be taxed at the lower applicable capital gains rate provided that (i) the ADSs or ordinary shares are readily tradable on an established securities market in the United States or we are eligible for the benefit of the income tax treaty between the United States and Chinese mainland, or the Treaty, (ii) we are not a passive foreign investment company for either our taxable year in which the dividend was paid or for the preceding taxable year, (iii) certain holding period requirements are met and</w:t>
      </w:r>
    </w:p>
    <w:p>
      <w:pPr>
        <w:spacing w:after="0" w:line="3" w:lineRule="exact"/>
        <w:rPr>
          <w:sz w:val="20"/>
          <w:szCs w:val="20"/>
          <w:color w:val="auto"/>
        </w:rPr>
      </w:pPr>
    </w:p>
    <w:p>
      <w:pPr>
        <w:jc w:val="both"/>
        <w:ind w:left="120" w:right="20" w:hanging="4"/>
        <w:spacing w:after="0" w:line="253" w:lineRule="auto"/>
        <w:tabs>
          <w:tab w:leader="none" w:pos="434"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non-corporate U.S. Holders are not under an obligation to make related payments with respect to positions in substantially similar or related property. For this purpose, ADSs listed on the Nasdaq Global Select Market will generally be considered to be readily tradable on an established securities market in the United States. Even if the ADSs are listed on NASDAQ, there can be no assurance that our ADSs will be considered readily tradable on an established securities market in future years.</w:t>
      </w:r>
    </w:p>
    <w:p>
      <w:pPr>
        <w:spacing w:after="0" w:line="189"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For U.S. foreign tax credit purposes, dividends paid on the ADSs or ordinary shares will generally be treated as income from foreign sources and will generally constitute passive category income. If Chinese mainland withholding taxes apply to dividends paid to you with respect to the ADSs or ordinary shares, you may be able to obtain a reduced rate of Chinese mainland withholding taxes under the Treaty. In addition, subject to certain conditions and limitations, Chinese mainland withholding taxes on dividends that are non-refundable under the Treaty may be treated as foreign taxes eligible for credit against your U.S. federal income tax liability. If you do not elect to claim a foreign tax credit, you may instead claim a deduction for U.S. federal income tax purposes in respect of such withholding, but only for a year in which you elect to do so for all creditable foreign income taxes.</w:t>
      </w:r>
    </w:p>
    <w:p>
      <w:pPr>
        <w:spacing w:after="0" w:line="187"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Based on the market price of our ADSs and ordinary shares, the value of our assets, and the composition of our assets and income, we believe that we were a PFIC for the taxable year ended December 31, 2025 and no assurance can be given with respect to our PFIC status in the current taxable year or foreseeable tax years. U.S. Holders are urged to consult their tax advisors regarding the availability of the reduced tax rate and foreign tax credit on dividends with respect to our ADSs or ordinary shares under their particular circumstances.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Sale, Exchange or Other Disposition of the ADSs or Ordinary Shares</w:t>
      </w:r>
    </w:p>
    <w:p>
      <w:pPr>
        <w:spacing w:after="0" w:line="121"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Subject to the passive foreign investment company rules discussed below, you will generally recognize gain or loss on any sale, exchange or other taxable disposition of an ADS or ordinary share equal to the difference between the amount realized for the ADS or ordinary share and your tax basis in the ADS or ordinary share. The gain or loss will generally be capital gain or loss. If you are a non-corporate U.S. Holder, including an individual U.S. Holder, who has held the ADS or ordinary share for more than one year, you will generally be eligible for reduced capital gains tax rates. The deductibility of capital losses is subject to limitations. Any such gain or loss that you recognize will generally be treated as U.S. source income or loss for foreign tax credit limitation purposes, which will generally limit the availability of foreign tax credits. However, in the event we are deemed to be a Chinese mainland “resident enterprise” under Chinese mainland tax law, we may be eligible for the benefits of the Treaty. In such event, if Chinese mainland tax were to be imposed on any gain from the disposition of the ADSs or ordinary shares, a U.S. Holder that is eligible for the benefits of the Treaty may elect to treat such gain as Chinese mainland source income.</w:t>
      </w:r>
    </w:p>
    <w:p>
      <w:pPr>
        <w:spacing w:after="0" w:line="188"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As discussed above, we believe that we were a PFIC for the taxable year ended December 31, 2025 and no assurance can be given with respect to our PFIC status in the current taxable year or foreseeable tax years. U.S. Holders are urged to consult their tax advisors regarding the tax considerations of the sale or other disposition of our ADSs or ordinary shares under their particular circumstances.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 non-U.S. corporation, such as us, is considered a PFIC for any taxable year if either (i) at least 75% of its gross income is passive income, or</w:t>
      </w:r>
    </w:p>
    <w:p>
      <w:pPr>
        <w:spacing w:after="0" w:line="27" w:lineRule="exact"/>
        <w:rPr>
          <w:sz w:val="20"/>
          <w:szCs w:val="20"/>
          <w:color w:val="auto"/>
        </w:rPr>
      </w:pPr>
    </w:p>
    <w:p>
      <w:pPr>
        <w:jc w:val="both"/>
        <w:ind w:left="120" w:hanging="4"/>
        <w:spacing w:after="0" w:line="251" w:lineRule="auto"/>
        <w:tabs>
          <w:tab w:leader="none" w:pos="396"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50% of the value of its assets (based on an average of the quarterly values of the assets during a taxable year) is attributable to assets that produce or are held for the production of passive income (the “asset test”). For this purpose, cash and assets that are readily convertible into cash are categorized as passive assets and the company’s goodwill and other unbooked intangibles associated with active business activities may generally be classified as active assets. We will be treated as owning our proportionate share of the assets and earning our proportionate share of the income of any other corporation in which we own, directly or indirectly, at least 25% (by value) of the shares. Although the law in this regard is not entirely clear, we treat the variable interest entities as being owned by us for U.S. federal income tax purposes because we control their management decisions and we are entitled to receive economic benefits that could potentially be significant to them and, as a result, we consolidate their results of operations in our consolidated U.S. GAAP financial statements. If it were determined, however, that we are not the owner of the variable interest entities for U.S. federal income tax purposes, we would likely be treated as a PFIC for our current taxable year and for subsequent taxable years.</w:t>
      </w:r>
    </w:p>
    <w:p>
      <w:pPr>
        <w:spacing w:after="0" w:line="1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197</w:t>
      </w:r>
    </w:p>
    <w:p>
      <w:pPr>
        <w:sectPr>
          <w:pgSz w:w="11900" w:h="16838" w:orient="portrait"/>
          <w:cols w:equalWidth="0" w:num="1">
            <w:col w:w="11140"/>
          </w:cols>
          <w:pgMar w:left="320" w:top="482" w:right="43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firstLine="440"/>
        <w:spacing w:after="0" w:line="269" w:lineRule="auto"/>
        <w:rPr>
          <w:sz w:val="20"/>
          <w:szCs w:val="20"/>
          <w:color w:val="auto"/>
        </w:rPr>
      </w:pPr>
      <w:r>
        <w:rPr>
          <w:rFonts w:ascii="Times New Roman" w:cs="Times New Roman" w:eastAsia="Times New Roman" w:hAnsi="Times New Roman"/>
          <w:sz w:val="17"/>
          <w:szCs w:val="17"/>
          <w:color w:val="auto"/>
        </w:rPr>
        <w:t>Assuming that we are the owner of the VIEs for U.S. federal income tax purposes, and based on the market price of our ADSs and ordinary shares, the value of our assets, and the composition of our assets and income (in particular, the retention of substantial amounts of cash and investments), we believe that we were a PFIC for our taxable year ended December 31, 2025. No assurance can be given with respect to our PFIC status in the current taxable year or foreseeable taxable years, because the determination of whether we will be or become a PFIC is a factual determination made annually that will depend, in part, upon the composition of our income and assets. Fluctuations in the market price of our ordinary shares and/or ADSs may also cause us to be a PFIC for the current or future taxable years because the value of our assets for purposes of the asset test, including the value of our goodwill and other unbooked intangibles, may be determined by reference to the market price of our ordinary shares and/or ADSs from time to time (which may be volatile). The composition of our income and assets will also be affected by how, and how quickly, we use our liquid assets. If we deploy significant amounts of cash and investments for active purposes, we may be less likely to be classified as a PFIC for the current or future taxable years. If we are a PFIC for any year during which you hold the ADSs or ordinary shares, we will generally continue to be treated as a PFIC for all succeeding years during which you hold such ADSs or ordinary shares even if we cease to be a PFIC in subsequent years, unless certain elections are made.</w:t>
      </w:r>
    </w:p>
    <w:p>
      <w:pPr>
        <w:spacing w:after="0" w:line="182"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If we are a PFIC for any taxable year during which you hold our ADSs or ordinary shares, you will be subject to special tax rules, regardless of whether we remain a PFIC, with respect to any “excess distribution” that you receive and any gain you realize from a sale or other disposition (including a pledge under proposed regulations) of the ADSs or ordinary shares, unless you make a mark-to-market election as discussed below. Distributions you receive in a taxable year that are greater than 125% of the average annual distributions you received during the shorter of the three preceding taxable years or your holding period for the ADSs or ordinary shares will be treated as an excess distribution. Under these special tax rules:</w:t>
      </w:r>
    </w:p>
    <w:p>
      <w:pPr>
        <w:spacing w:after="0" w:line="89" w:lineRule="exact"/>
        <w:rPr>
          <w:sz w:val="20"/>
          <w:szCs w:val="20"/>
          <w:color w:val="auto"/>
        </w:rPr>
      </w:pPr>
    </w:p>
    <w:p>
      <w:pPr>
        <w:ind w:left="1080" w:hanging="424"/>
        <w:spacing w:after="0"/>
        <w:tabs>
          <w:tab w:leader="none" w:pos="10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excess distribution or gain will be allocated ratably over your holding period for the ADSs or ordinary shares,</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the current taxable year, and any taxable year prior to the first taxable year in which we became a PFIC, will be treated as ordinary income, and</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each of the other taxable years would be subject to tax at the highest rate of tax in effect for you for such year and would be increased by an additional tax equal to interest on the resulting tax deemed deferred with respect to each such other taxable year.</w:t>
      </w:r>
    </w:p>
    <w:p>
      <w:pPr>
        <w:spacing w:after="0" w:line="162"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The tax liability for amounts allocated to years prior to the year of disposition or “excess distribution” cannot be offset by any net operating losses for such years, and gains (but not losses) realized on the sale of the ADSs or ordinary shares cannot be treated as capital, even if you hold the ADSs or ordinary shares as capital assets.</w:t>
      </w:r>
    </w:p>
    <w:p>
      <w:pPr>
        <w:spacing w:after="0" w:line="176"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If we are a PFIC for any taxable year during which you hold our ADSs or ordinary shares and any of our non-U.S. subsidiaries is also a PFIC (i.e., a lower-tier PFIC), you will be treated as owning a proportionate amount (by value) of the shares of the lower-tier PFIC and would be subject to the rules described above on certain distributions by a lower-tier PFIC and a disposition of shares of a lower-tier PFIC even though you would not receive the proceeds of those distributions or dispositions. You are advised to consult your tax advisors regarding the application of the PFIC rules to any of our subsidiaries.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198</w:t>
      </w:r>
    </w:p>
    <w:p>
      <w:pPr>
        <w:sectPr>
          <w:pgSz w:w="11900" w:h="16838" w:orient="portrait"/>
          <w:cols w:equalWidth="0" w:num="1">
            <w:col w:w="11140"/>
          </w:cols>
          <w:pgMar w:left="320" w:top="482" w:right="43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firstLine="440"/>
        <w:spacing w:after="0" w:line="252" w:lineRule="auto"/>
        <w:rPr>
          <w:sz w:val="20"/>
          <w:szCs w:val="20"/>
          <w:color w:val="auto"/>
        </w:rPr>
      </w:pPr>
      <w:r>
        <w:rPr>
          <w:rFonts w:ascii="Times New Roman" w:cs="Times New Roman" w:eastAsia="Times New Roman" w:hAnsi="Times New Roman"/>
          <w:sz w:val="18"/>
          <w:szCs w:val="18"/>
          <w:color w:val="auto"/>
        </w:rPr>
        <w:t>Alternatively, a U.S. Holder of “marketable stock” (as defined below) in a PFIC may make a mark-to-market election for such stock of a PFIC to elect out of the tax treatment discussed above. The mark-to-market election is available only for “marketable stock,” which is stock that is traded in other than de minimis quantities on at least 15 days during each calendar quarter, or “regularly traded,” on a qualified exchange or other market, as defined in applicable Treasury regulations. Our ADSs, but not our ordinary shares, are listed on the Nasdaq Global Select Market, which is a qualified exchange for these purposes. Our ordinary shares are listed on the Hong Kong Stock Exchange, which is expected to meet the requirements of a qualified exchange or market for these purposes. We anticipate that our ADSs and ordinary shares should qualify as being regularly traded, but no assurances may be given in this regard. Assuming that the ADSs and ordinary shares are regularly traded, if you are a holder of our ADSs or ordinary shares, it is expected that the mark-to-market election would be available to you if we are a PFIC. If you make a valid mark-to-market election for the ADSs or ordinary shares, you will generally include in income each year an amount equal to the excess, if any, of the fair market value of the ADSs as of the close of your taxable year over your adjusted basis in such ADSs or ordinary shares. You are allowed a deduction for the excess, if any, of the adjusted basis of the ADSs or ordinary shares over their fair market value as of the close of the taxable year. Such deductions, however, are allowable only to the extent of any net mark-to-market gains on the ADSs or ordinary shares included in your income for prior taxable years. Amounts included in your income under a mark-to-market election, as well as gain on the actual sale or other disposition of the ADSs or ordinary shares, are treated as ordinary income. Ordinary loss treatment also applies to the deductible portion of any mark-to-market loss on the ADSs or ordinary shares, as well as to any loss realized on the actual sale or disposition of the ADSs or ordinary shares, to the extent that the amount of such loss does not exceed the net mark-to-market gains previously included for such ADSs. Your basis in the ADSs or ordinary shares will be adjusted to reflect any such income or loss amounts. If you make such a mark-to-market election in respect of a corporation classified as a PFIC and such corporation ceases to be classified as a PFIC, you will not be required to take into account the gain or loss described above during any period that such corporation is not classified as a PFIC.</w:t>
      </w:r>
    </w:p>
    <w:p>
      <w:pPr>
        <w:spacing w:after="0" w:line="192"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Because, as a technical matter, a mark-to-market election cannot be made for any lower-tier PFICs that we may own, a U.S. Holder may continue to be subject to the general PFIC rules described above with respect to such U.S. Holder’s indirect interest in any investments held by us that are treated as an equity interest in a PFIC for U.S. federal income tax purposes.</w:t>
      </w:r>
    </w:p>
    <w:p>
      <w:pPr>
        <w:spacing w:after="0" w:line="176"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Alternatively, a U.S. Holder may avoid the PFIC tax consequences described above in respect to its ADSs and ordinary shares by making a timely “qualified electing fund,” or QEF, election. To comply with the requirements of a QEF election, a U.S. Holder must receive certain information from us. Because we do not intend to provide such information, however, such election will not be available to you with respect to the ADSs or ordinary shares.</w:t>
      </w:r>
    </w:p>
    <w:p>
      <w:pPr>
        <w:spacing w:after="0" w:line="176" w:lineRule="exact"/>
        <w:rPr>
          <w:sz w:val="20"/>
          <w:szCs w:val="20"/>
          <w:color w:val="auto"/>
        </w:rPr>
      </w:pPr>
    </w:p>
    <w:p>
      <w:pPr>
        <w:jc w:val="both"/>
        <w:ind w:left="120" w:firstLine="440"/>
        <w:spacing w:after="0" w:line="282" w:lineRule="auto"/>
        <w:rPr>
          <w:sz w:val="20"/>
          <w:szCs w:val="20"/>
          <w:color w:val="auto"/>
        </w:rPr>
      </w:pPr>
      <w:r>
        <w:rPr>
          <w:rFonts w:ascii="Times New Roman" w:cs="Times New Roman" w:eastAsia="Times New Roman" w:hAnsi="Times New Roman"/>
          <w:sz w:val="18"/>
          <w:szCs w:val="18"/>
          <w:color w:val="auto"/>
        </w:rPr>
        <w:t>If you hold our ADSs or ordinary shares in any year in which we are a PFIC, you will be required to file an annual information report containing such information as the U.S. Treasury may require.</w:t>
      </w:r>
    </w:p>
    <w:p>
      <w:pPr>
        <w:spacing w:after="0" w:line="162"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You are urged to consult your tax advisor regarding the reporting requirements that may apply and the U.S. federal income tax consequences of holding and disposing of our ADSs or ordinary shares if we are treated as a PFIC, including the possibility of making a mark-to-market election and the unavailability of the election to treat us as a qualified electing fund.</w:t>
      </w:r>
    </w:p>
    <w:p>
      <w:pPr>
        <w:spacing w:after="0" w:line="320" w:lineRule="exact"/>
        <w:rPr>
          <w:sz w:val="20"/>
          <w:szCs w:val="20"/>
          <w:color w:val="auto"/>
        </w:rPr>
      </w:pPr>
    </w:p>
    <w:p>
      <w:pPr>
        <w:ind w:left="560" w:right="8340" w:hanging="444"/>
        <w:spacing w:after="0" w:line="412" w:lineRule="auto"/>
        <w:tabs>
          <w:tab w:leader="none" w:pos="552" w:val="left"/>
        </w:tabs>
        <w:numPr>
          <w:ilvl w:val="0"/>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 xml:space="preserve">Dividends and Paying Agents </w:t>
      </w:r>
      <w:r>
        <w:rPr>
          <w:rFonts w:ascii="Times New Roman" w:cs="Times New Roman" w:eastAsia="Times New Roman" w:hAnsi="Times New Roman"/>
          <w:sz w:val="18"/>
          <w:szCs w:val="18"/>
          <w:color w:val="auto"/>
        </w:rPr>
        <w:t>Not applicable.</w:t>
      </w:r>
    </w:p>
    <w:p>
      <w:pPr>
        <w:spacing w:after="0" w:line="193" w:lineRule="exact"/>
        <w:rPr>
          <w:rFonts w:ascii="Times New Roman" w:cs="Times New Roman" w:eastAsia="Times New Roman" w:hAnsi="Times New Roman"/>
          <w:sz w:val="18"/>
          <w:szCs w:val="18"/>
          <w:b w:val="1"/>
          <w:bCs w:val="1"/>
          <w:color w:val="auto"/>
        </w:rPr>
      </w:pPr>
    </w:p>
    <w:p>
      <w:pPr>
        <w:ind w:left="560" w:right="8940" w:hanging="444"/>
        <w:spacing w:after="0" w:line="450" w:lineRule="auto"/>
        <w:tabs>
          <w:tab w:leader="none" w:pos="552" w:val="left"/>
        </w:tabs>
        <w:numPr>
          <w:ilvl w:val="0"/>
          <w:numId w:val="11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 xml:space="preserve">Statement by Experts </w:t>
      </w:r>
      <w:r>
        <w:rPr>
          <w:rFonts w:ascii="Times New Roman" w:cs="Times New Roman" w:eastAsia="Times New Roman" w:hAnsi="Times New Roman"/>
          <w:sz w:val="17"/>
          <w:szCs w:val="17"/>
          <w:color w:val="auto"/>
        </w:rPr>
        <w:t>Not applicable.</w:t>
      </w:r>
    </w:p>
    <w:p>
      <w:pPr>
        <w:spacing w:after="0" w:line="171" w:lineRule="exact"/>
        <w:rPr>
          <w:rFonts w:ascii="Times New Roman" w:cs="Times New Roman" w:eastAsia="Times New Roman" w:hAnsi="Times New Roman"/>
          <w:sz w:val="17"/>
          <w:szCs w:val="17"/>
          <w:b w:val="1"/>
          <w:bCs w:val="1"/>
          <w:color w:val="auto"/>
        </w:rPr>
      </w:pPr>
    </w:p>
    <w:p>
      <w:pPr>
        <w:ind w:left="540" w:hanging="424"/>
        <w:spacing w:after="0"/>
        <w:tabs>
          <w:tab w:leader="none" w:pos="540" w:val="left"/>
        </w:tabs>
        <w:numPr>
          <w:ilvl w:val="0"/>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Documents on Display</w:t>
      </w:r>
    </w:p>
    <w:p>
      <w:pPr>
        <w:spacing w:after="0" w:line="121"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We are subject to the periodic reporting and other informational requirements of the Exchange Act, and are required to file reports and other information with the SEC. Specifically, we are required to file annually a Form 20-F within four months after the end of each fiscal year, which is December 31. All information filed with the SEC can be obtained over the internet at the SEC’s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As a foreign private issuer, we are exempt from the rules under the Exchange Act prescribing the furnishing and content of quarterly reports and proxy statements, and our officers, directors and principal shareholders are exempt from the short-swing profit recovery provisions contained in Section 16 of the Exchange Act. Our principal shareholders are also exempt from the reporting requirement contained in Section 16 of the Exchange Act.</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199</w:t>
      </w:r>
    </w:p>
    <w:p>
      <w:pPr>
        <w:sectPr>
          <w:pgSz w:w="11900" w:h="16838" w:orient="portrait"/>
          <w:cols w:equalWidth="0" w:num="1">
            <w:col w:w="11140"/>
          </w:cols>
          <w:pgMar w:left="320" w:top="482" w:right="43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We will furnish The Bank of New York Mellon, the depositary of our ADSs, with our annual reports, which will include a review of operations and annual audited consolidated financial statements prepared in conformity with U.S. GAAP, and all notices of shareholders’ meetings and other reports and communications that are made generally available to our shareholders. The depositary will make such notices, reports and communications available to holders of ADSs and, upon our request, will mail to all record holders of ADSs the information contained in any notice of a shareholders’ meeting received by the depositary from us.</w:t>
      </w:r>
    </w:p>
    <w:p>
      <w:pPr>
        <w:spacing w:after="0" w:line="183" w:lineRule="exact"/>
        <w:rPr>
          <w:sz w:val="20"/>
          <w:szCs w:val="20"/>
          <w:color w:val="auto"/>
        </w:rPr>
      </w:pPr>
    </w:p>
    <w:p>
      <w:pPr>
        <w:jc w:val="both"/>
        <w:ind w:left="1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In accordance with Nasdaq Stock Market Rule 5250(d), we will post this annual report on Form 20-F on our website at </w:t>
      </w:r>
      <w:r>
        <w:rPr>
          <w:rFonts w:ascii="Times New Roman" w:cs="Times New Roman" w:eastAsia="Times New Roman" w:hAnsi="Times New Roman"/>
          <w:sz w:val="18"/>
          <w:szCs w:val="18"/>
          <w:u w:val="single" w:color="auto"/>
          <w:color w:val="auto"/>
        </w:rPr>
        <w:t>http://ir.baidu.com</w:t>
      </w:r>
      <w:r>
        <w:rPr>
          <w:rFonts w:ascii="Times New Roman" w:cs="Times New Roman" w:eastAsia="Times New Roman" w:hAnsi="Times New Roman"/>
          <w:sz w:val="18"/>
          <w:szCs w:val="18"/>
          <w:color w:val="auto"/>
        </w:rPr>
        <w:t>. In addition, we will provide hardcopies of our annual report free of charge to shareholders and ADS holders upon request.</w:t>
      </w:r>
    </w:p>
    <w:p>
      <w:pPr>
        <w:spacing w:after="0" w:line="306" w:lineRule="exact"/>
        <w:rPr>
          <w:sz w:val="20"/>
          <w:szCs w:val="20"/>
          <w:color w:val="auto"/>
        </w:rPr>
      </w:pPr>
    </w:p>
    <w:p>
      <w:pPr>
        <w:ind w:left="560" w:right="8780" w:hanging="444"/>
        <w:spacing w:after="0" w:line="450" w:lineRule="auto"/>
        <w:tabs>
          <w:tab w:leader="none" w:pos="552" w:val="left"/>
        </w:tabs>
        <w:numPr>
          <w:ilvl w:val="0"/>
          <w:numId w:val="11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 xml:space="preserve">Subsidiary Information </w:t>
      </w:r>
      <w:r>
        <w:rPr>
          <w:rFonts w:ascii="Times New Roman" w:cs="Times New Roman" w:eastAsia="Times New Roman" w:hAnsi="Times New Roman"/>
          <w:sz w:val="17"/>
          <w:szCs w:val="17"/>
          <w:color w:val="auto"/>
        </w:rPr>
        <w:t>Not applicable.</w:t>
      </w:r>
    </w:p>
    <w:p>
      <w:pPr>
        <w:spacing w:after="0" w:line="171" w:lineRule="exact"/>
        <w:rPr>
          <w:rFonts w:ascii="Times New Roman" w:cs="Times New Roman" w:eastAsia="Times New Roman" w:hAnsi="Times New Roman"/>
          <w:sz w:val="17"/>
          <w:szCs w:val="17"/>
          <w:b w:val="1"/>
          <w:bCs w:val="1"/>
          <w:color w:val="auto"/>
        </w:rPr>
      </w:pPr>
    </w:p>
    <w:p>
      <w:pPr>
        <w:ind w:left="540" w:hanging="424"/>
        <w:spacing w:after="0"/>
        <w:tabs>
          <w:tab w:leader="none" w:pos="540" w:val="left"/>
        </w:tabs>
        <w:numPr>
          <w:ilvl w:val="0"/>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Annual Report to Security Holders</w:t>
      </w:r>
    </w:p>
    <w:p>
      <w:pPr>
        <w:spacing w:after="0" w:line="121"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We intend to submit the annual report provided to security holders in electronic format pursuant to the Rules Governing the Listing of Securities on The Stock Exchange of Hong Kong Limited as an exhibit to a current report on Form 6-K.</w:t>
      </w:r>
    </w:p>
    <w:p>
      <w:pPr>
        <w:spacing w:after="0" w:line="306" w:lineRule="exact"/>
        <w:rPr>
          <w:sz w:val="20"/>
          <w:szCs w:val="20"/>
          <w:color w:val="auto"/>
        </w:rPr>
      </w:pPr>
    </w:p>
    <w:p>
      <w:pPr>
        <w:ind w:left="120" w:right="3480"/>
        <w:spacing w:after="0" w:line="378" w:lineRule="auto"/>
        <w:rPr>
          <w:sz w:val="20"/>
          <w:szCs w:val="20"/>
          <w:color w:val="auto"/>
        </w:rPr>
      </w:pPr>
      <w:r>
        <w:rPr>
          <w:rFonts w:ascii="Times New Roman" w:cs="Times New Roman" w:eastAsia="Times New Roman" w:hAnsi="Times New Roman"/>
          <w:sz w:val="18"/>
          <w:szCs w:val="18"/>
          <w:b w:val="1"/>
          <w:bCs w:val="1"/>
          <w:color w:val="auto"/>
        </w:rPr>
        <w:t>ITEM 11. QUANTITATIVE AND QUALITATIVE DISCLOSURES ABOUT MARKET RISK Interest Rate Risk</w:t>
      </w: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Our exposure to interest rate risk primarily relates to excess cash invested in short-term investments, long-term investments and bank facilities that have a floating rate of interest.</w:t>
      </w:r>
    </w:p>
    <w:p>
      <w:pPr>
        <w:spacing w:after="0" w:line="162" w:lineRule="exact"/>
        <w:rPr>
          <w:sz w:val="20"/>
          <w:szCs w:val="20"/>
          <w:color w:val="auto"/>
        </w:rPr>
      </w:pPr>
    </w:p>
    <w:p>
      <w:pPr>
        <w:jc w:val="both"/>
        <w:ind w:left="120" w:firstLine="440"/>
        <w:spacing w:after="0" w:line="252" w:lineRule="auto"/>
        <w:rPr>
          <w:sz w:val="20"/>
          <w:szCs w:val="20"/>
          <w:color w:val="auto"/>
        </w:rPr>
      </w:pPr>
      <w:r>
        <w:rPr>
          <w:rFonts w:ascii="Times New Roman" w:cs="Times New Roman" w:eastAsia="Times New Roman" w:hAnsi="Times New Roman"/>
          <w:sz w:val="18"/>
          <w:szCs w:val="18"/>
          <w:color w:val="auto"/>
        </w:rPr>
        <w:t>Investments in both fixed rate and floating rate interest earning instruments carry a degree of interest rate risk. Fixed rate investments may have their fair market value adversely impacted due to a rise in interest rates, while floating rate investments may produce less income than expected if interest rates fall. Due in part to these factors, our future investment income may fall short of expectations due to changes in interest rates, or we may suffer losses in principal if we have to sell securities which have declined in market value due to changes in interest rates. For example, as of December 31, 2025, we had RMB214.5 billion (US$30.7 billion) of short-term investments and long-term time deposits and held-to-maturity investments, with a weighted average duration of 1.5 years. A hypothetical one percentage point (100 basis-point) increase in interest rates would have resulted in a decrease of RMB1.3 billion (US$190 million) in the fair value of our short-term investments and long-term time deposits and held-to-maturity investments as of December 31, 2025. We have not been, and do not expect to be, exposed to material interest rate risks relating to our short-term investments and long-term time deposits and held-to-maturity investments, and therefore have not used any derivative financial instruments to manage such interest risk exposure. Our exposure to interest rate risk also arises from our bank facilities that have a floating rate of interest. The costs of floating rate borrowings may be affected by the fluctuations in the interest rates. We manage this risk through the use of interest rate swap contracts. In connection with the loan facilities entered into in April 2021, we entered into two interest rate swap agreements, as amended, which effectively convert the term loans from a variable interest rate to a fixed rate, thereby managing our exposure to changes in market interest rates under the term loans. See “Item 5.B. Operating and Financial Review and Prospects—Liquidity and Capital Resources.”</w:t>
      </w:r>
    </w:p>
    <w:p>
      <w:pPr>
        <w:spacing w:after="0" w:line="30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Foreign Exchange Risk</w:t>
      </w:r>
    </w:p>
    <w:p>
      <w:pPr>
        <w:spacing w:after="0" w:line="121"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Most of our revenue and costs are denominated in RMB, while a portion of our material assets and liabilities, such as cash and cash equivalents, restricted cash, short-term investments, long-term investments, long-term time deposits and held-to-maturity investments, notes payable, long-term loans and convertible senior notes, are denominated in U.S. dollars. Any significant revaluation of RMB against the U.S. dollar may materially affect our cash flows, revenue, earnings and financial position, and the value of, and any dividends payable on, our ADS in U.S. dollars. See “Item 3.D. Key Information—Risk Factors—Risks Related to Doing Business in China—Fluctuation in exchange rates could have a material and adverse effect on our results of operations and the value of your investment.” In addition, we have operations in Japan. We may need to make capital injections into our Japan operations by converting U.S. dollars into Japanese Yen, and we have JPY-denominated revenue and expenses that we may need to translate into U.S. dollars, which will expose us to the fluctuations in the exchange rate between the U.S. dollar and the Japanese Yen. In 2025, we entered into some hedging transactions in an effort to reduce our exposure to foreign currency exchange risk. The value of your investment in our ADSs or Class A ordinary shares will be affected by the exchange rate between the U.S. dollar and the Renminbi or the Hong Kong dollar and the Renminbi, as applicable, because the value of our business is effectively denominated in RMB, while our ADSs or Class A ordinary shares will be traded in U.S. dollars or Hong Kong dollars, as applicable.</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200</w:t>
      </w:r>
    </w:p>
    <w:p>
      <w:pPr>
        <w:sectPr>
          <w:pgSz w:w="11900" w:h="16838" w:orient="portrait"/>
          <w:cols w:equalWidth="0" w:num="1">
            <w:col w:w="11140"/>
          </w:cols>
          <w:pgMar w:left="320" w:top="482" w:right="43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The conversion of Renminbi into foreign currencies, including U.S. dollars, is based on rates set by the People’s Bank of China. The Renminbi has fluctuated against the U.S. dollar, at times significantly and unpredictably. It is difficult to predict how market forces or PRC or U.S. government policy may impact the exchange rate between Renminbi and U.S. dollar in the future.</w:t>
      </w:r>
    </w:p>
    <w:p>
      <w:pPr>
        <w:spacing w:after="0" w:line="176"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To the extent that we need to convert U.S. dollars into Renminbi for our operations, appreciation of the Renminbi against the U.S. dollar would have an adverse effect on the RMB amount we receive from the conversion. Conversely, if we decide to convert Renminbi into U.S. dollars for the purpose of making payments for dividends on our ordinary shares or ADSs, repaying indebtedness denominated in U.S. dollars, or for other business purposes, appreciation of the U.S. dollar against the Renminbi would have a negative effect on the U.S. dollar amounts available to us.</w:t>
      </w:r>
    </w:p>
    <w:p>
      <w:pPr>
        <w:spacing w:after="0" w:line="180"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As of December 31, 2025, we had RMB-denominated cash and cash equivalents, restricted cash, short-term investments and long-term time deposits and held-to-maturity investments of RMB150.4 billion, and U.S. dollar-denominated cash and cash equivalents, restricted cash, short-term investments and long-term time deposits and held-to-maturity investments of US$12.5 billion. Assuming we had converted RMB150.4 billion into U.S. dollars at the exchange rate of RMB6.9931 for US$1.00 as of December 31, 2025, our U.S. dollar cash balance would have been US$34.0 billion. If the RMB had depreciated by 10% against the U.S. dollar, our U.S. dollar cash balance would have been US$31.9 billion instead. In addition, we had U.S. dollar-denominated long-term loans (including current portion), notes payable (including current portion) and convertible senior notes (including current portion) of US$8.9 billion as of December 31, 2025. A hypothetical 10% increase in the exchange rate of the U.S. dollar against the RMB would have resulted in an increase of RMB6.2 billion (US$893 million) in the value of our U.S. dollar-denominated long-term loans (including current portion), notes payable (including current portion) and convertible senior notes (including current portion) as of December 31, 2025.</w:t>
      </w:r>
    </w:p>
    <w:p>
      <w:pPr>
        <w:spacing w:after="0" w:line="333"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8"/>
          <w:szCs w:val="18"/>
          <w:b w:val="1"/>
          <w:bCs w:val="1"/>
          <w:color w:val="auto"/>
        </w:rPr>
        <w:t>DESCRIPTION OF SECURITIES OTHER THAN EQUITY SECURITIES</w:t>
      </w:r>
    </w:p>
    <w:p>
      <w:pPr>
        <w:spacing w:after="0" w:line="131" w:lineRule="exact"/>
        <w:rPr>
          <w:sz w:val="20"/>
          <w:szCs w:val="20"/>
          <w:color w:val="auto"/>
        </w:rPr>
      </w:pPr>
    </w:p>
    <w:p>
      <w:pPr>
        <w:jc w:val="both"/>
        <w:ind w:left="560" w:right="9420" w:hanging="444"/>
        <w:spacing w:after="0" w:line="412" w:lineRule="auto"/>
        <w:tabs>
          <w:tab w:leader="none" w:pos="552" w:val="left"/>
        </w:tabs>
        <w:numPr>
          <w:ilvl w:val="0"/>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 xml:space="preserve">Debt Securities </w:t>
      </w:r>
      <w:r>
        <w:rPr>
          <w:rFonts w:ascii="Times New Roman" w:cs="Times New Roman" w:eastAsia="Times New Roman" w:hAnsi="Times New Roman"/>
          <w:sz w:val="18"/>
          <w:szCs w:val="18"/>
          <w:color w:val="auto"/>
        </w:rPr>
        <w:t>Not applicable.</w:t>
      </w:r>
    </w:p>
    <w:p>
      <w:pPr>
        <w:spacing w:after="0" w:line="193" w:lineRule="exact"/>
        <w:rPr>
          <w:rFonts w:ascii="Times New Roman" w:cs="Times New Roman" w:eastAsia="Times New Roman" w:hAnsi="Times New Roman"/>
          <w:sz w:val="18"/>
          <w:szCs w:val="18"/>
          <w:b w:val="1"/>
          <w:bCs w:val="1"/>
          <w:color w:val="auto"/>
        </w:rPr>
      </w:pPr>
    </w:p>
    <w:p>
      <w:pPr>
        <w:ind w:left="560" w:right="8980" w:hanging="444"/>
        <w:spacing w:after="0" w:line="450" w:lineRule="auto"/>
        <w:tabs>
          <w:tab w:leader="none" w:pos="552" w:val="left"/>
        </w:tabs>
        <w:numPr>
          <w:ilvl w:val="0"/>
          <w:numId w:val="11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 xml:space="preserve">Warrants and Rights </w:t>
      </w:r>
      <w:r>
        <w:rPr>
          <w:rFonts w:ascii="Times New Roman" w:cs="Times New Roman" w:eastAsia="Times New Roman" w:hAnsi="Times New Roman"/>
          <w:sz w:val="17"/>
          <w:szCs w:val="17"/>
          <w:color w:val="auto"/>
        </w:rPr>
        <w:t>Not applicable.</w:t>
      </w:r>
    </w:p>
    <w:p>
      <w:pPr>
        <w:spacing w:after="0" w:line="171" w:lineRule="exact"/>
        <w:rPr>
          <w:rFonts w:ascii="Times New Roman" w:cs="Times New Roman" w:eastAsia="Times New Roman" w:hAnsi="Times New Roman"/>
          <w:sz w:val="17"/>
          <w:szCs w:val="17"/>
          <w:b w:val="1"/>
          <w:bCs w:val="1"/>
          <w:color w:val="auto"/>
        </w:rPr>
      </w:pPr>
    </w:p>
    <w:p>
      <w:pPr>
        <w:ind w:left="560" w:right="9340" w:hanging="444"/>
        <w:spacing w:after="0" w:line="450" w:lineRule="auto"/>
        <w:tabs>
          <w:tab w:leader="none" w:pos="552" w:val="left"/>
        </w:tabs>
        <w:numPr>
          <w:ilvl w:val="0"/>
          <w:numId w:val="11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 xml:space="preserve">Other Securities </w:t>
      </w:r>
      <w:r>
        <w:rPr>
          <w:rFonts w:ascii="Times New Roman" w:cs="Times New Roman" w:eastAsia="Times New Roman" w:hAnsi="Times New Roman"/>
          <w:sz w:val="17"/>
          <w:szCs w:val="17"/>
          <w:color w:val="auto"/>
        </w:rPr>
        <w:t>Not applicable.</w:t>
      </w:r>
    </w:p>
    <w:p>
      <w:pPr>
        <w:spacing w:after="0" w:line="171" w:lineRule="exact"/>
        <w:rPr>
          <w:rFonts w:ascii="Times New Roman" w:cs="Times New Roman" w:eastAsia="Times New Roman" w:hAnsi="Times New Roman"/>
          <w:sz w:val="17"/>
          <w:szCs w:val="17"/>
          <w:b w:val="1"/>
          <w:bCs w:val="1"/>
          <w:color w:val="auto"/>
        </w:rPr>
      </w:pPr>
    </w:p>
    <w:p>
      <w:pPr>
        <w:ind w:left="540" w:hanging="424"/>
        <w:spacing w:after="0"/>
        <w:tabs>
          <w:tab w:leader="none" w:pos="540" w:val="left"/>
        </w:tabs>
        <w:numPr>
          <w:ilvl w:val="0"/>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American Depositary Shares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Fees and Charges Our ADS holders May Have to Pay</w:t>
      </w:r>
    </w:p>
    <w:p>
      <w:pPr>
        <w:spacing w:after="0" w:line="121"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The Bank of New York Mellon is the depositary of our ADS program. A holder of ADSs may have to pay certain fees of The Bank of New York Mellon, as depositary, and certain taxes, registration and transfer charges and fees and governmental charges and fees. The depositary collects fees for delivery and surrender of ADSs directly from holders depositing shares or surrendering ADSs for the purpose of withdrawal or from intermediaries acting for them or to whom ADSs are issued (including, without limitation, issuances pursuant to a stock dividend or stock split declared by us or an exchange of stock regarding the ADSs or deposited shares or a distribution of ADSs). The depositary collects fees for making distributions to holders by deducting those fees from the amounts distributed or by selling a portion of distributable property to pay the fees. The depositary may collect its annual fee for depositary services by deductions from cash distributions or by directly billing holders or by charging the book-entry system accounts of participants acting for them. The depositary may generally refuse to deliver ADSs or deposited shares or to forward any distributions until its fees for those services are paid. The Depositary’s Office is located at 240 Greenwich Street, New York, New York 10286.</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201</w:t>
      </w:r>
    </w:p>
    <w:p>
      <w:pPr>
        <w:sectPr>
          <w:pgSz w:w="11900" w:h="16838" w:orient="portrait"/>
          <w:cols w:equalWidth="0" w:num="1">
            <w:col w:w="11140"/>
          </w:cols>
          <w:pgMar w:left="320" w:top="482" w:right="43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7" w:lineRule="exact"/>
        <w:rPr>
          <w:sz w:val="20"/>
          <w:szCs w:val="20"/>
          <w:color w:val="auto"/>
        </w:rPr>
      </w:pPr>
    </w:p>
    <w:p>
      <w:pPr>
        <w:ind w:left="120"/>
        <w:spacing w:after="0"/>
        <w:tabs>
          <w:tab w:leader="none" w:pos="5940" w:val="left"/>
        </w:tabs>
        <w:rPr>
          <w:sz w:val="20"/>
          <w:szCs w:val="20"/>
          <w:color w:val="auto"/>
        </w:rPr>
      </w:pPr>
      <w:r>
        <w:rPr>
          <w:rFonts w:ascii="Times New Roman" w:cs="Times New Roman" w:eastAsia="Times New Roman" w:hAnsi="Times New Roman"/>
          <w:sz w:val="14"/>
          <w:szCs w:val="14"/>
          <w:b w:val="1"/>
          <w:bCs w:val="1"/>
          <w:color w:val="auto"/>
        </w:rPr>
        <w:t>Persons depositing or withdrawing shares must pay:</w:t>
      </w:r>
      <w:r>
        <w:rPr>
          <w:sz w:val="20"/>
          <w:szCs w:val="20"/>
          <w:color w:val="auto"/>
        </w:rPr>
        <w:tab/>
      </w:r>
      <w:r>
        <w:rPr>
          <w:rFonts w:ascii="Times New Roman" w:cs="Times New Roman" w:eastAsia="Times New Roman" w:hAnsi="Times New Roman"/>
          <w:sz w:val="14"/>
          <w:szCs w:val="14"/>
          <w:b w:val="1"/>
          <w:bCs w:val="1"/>
          <w:color w:val="auto"/>
        </w:rPr>
        <w:t>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16510</wp:posOffset>
            </wp:positionV>
            <wp:extent cx="699516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20"/>
          </w:cols>
          <w:pgMar w:left="320" w:top="482" w:right="459" w:bottom="1440" w:gutter="0" w:footer="0" w:header="0"/>
        </w:sectPr>
      </w:pP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US$5.00 or less per 100 ADSs (or portion thereof)</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hanging="359"/>
        <w:spacing w:after="0" w:line="272" w:lineRule="auto"/>
        <w:rPr>
          <w:sz w:val="20"/>
          <w:szCs w:val="20"/>
          <w:color w:val="auto"/>
        </w:rPr>
      </w:pPr>
      <w:r>
        <w:rPr>
          <w:rFonts w:ascii="Times New Roman" w:cs="Times New Roman" w:eastAsia="Times New Roman" w:hAnsi="Times New Roman"/>
          <w:sz w:val="18"/>
          <w:szCs w:val="18"/>
          <w:color w:val="auto"/>
        </w:rPr>
        <w:t>•     Issuance</w:t>
      </w:r>
      <w:r>
        <w:rPr>
          <w:sz w:val="20"/>
          <w:szCs w:val="20"/>
          <w:color w:val="auto"/>
        </w:rPr>
        <w:t xml:space="preserve"> </w:t>
      </w:r>
      <w:r>
        <w:rPr>
          <w:rFonts w:ascii="Times New Roman" w:cs="Times New Roman" w:eastAsia="Times New Roman" w:hAnsi="Times New Roman"/>
          <w:sz w:val="18"/>
          <w:szCs w:val="18"/>
          <w:color w:val="auto"/>
        </w:rPr>
        <w:t>of ADSs, including issuances resulting from a distribution of shares or rights or other property</w:t>
      </w:r>
    </w:p>
    <w:p>
      <w:pPr>
        <w:spacing w:after="0" w:line="62" w:lineRule="exact"/>
        <w:rPr>
          <w:sz w:val="20"/>
          <w:szCs w:val="20"/>
          <w:color w:val="auto"/>
        </w:rPr>
      </w:pPr>
    </w:p>
    <w:p>
      <w:pPr>
        <w:sectPr>
          <w:pgSz w:w="11900" w:h="16838" w:orient="portrait"/>
          <w:cols w:equalWidth="0" w:num="2">
            <w:col w:w="5600" w:space="720"/>
            <w:col w:w="4800"/>
          </w:cols>
          <w:pgMar w:left="320" w:top="482" w:right="45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color w:val="auto"/>
        </w:rPr>
        <w:t>US$5.00 or less per 100 ADS (or portion thereof)</w:t>
      </w:r>
    </w:p>
    <w:p>
      <w:pPr>
        <w:spacing w:after="0" w:line="20" w:lineRule="exact"/>
        <w:rPr>
          <w:sz w:val="20"/>
          <w:szCs w:val="20"/>
          <w:color w:val="auto"/>
        </w:rPr>
      </w:pPr>
      <w:r>
        <w:rPr>
          <w:sz w:val="20"/>
          <w:szCs w:val="20"/>
          <w:color w:val="auto"/>
        </w:rPr>
        <w:br w:type="column"/>
      </w:r>
    </w:p>
    <w:p>
      <w:pPr>
        <w:ind w:hanging="359"/>
        <w:spacing w:after="0" w:line="282" w:lineRule="auto"/>
        <w:rPr>
          <w:sz w:val="20"/>
          <w:szCs w:val="20"/>
          <w:color w:val="auto"/>
        </w:rPr>
      </w:pPr>
      <w:r>
        <w:rPr>
          <w:rFonts w:ascii="Times New Roman" w:cs="Times New Roman" w:eastAsia="Times New Roman" w:hAnsi="Times New Roman"/>
          <w:sz w:val="18"/>
          <w:szCs w:val="18"/>
          <w:color w:val="auto"/>
        </w:rPr>
        <w:t>•     Cancellation of ADSs for the purpose of withdrawal, including if the deposit agreement terminates</w:t>
      </w:r>
    </w:p>
    <w:p>
      <w:pPr>
        <w:spacing w:after="0" w:line="54" w:lineRule="exact"/>
        <w:rPr>
          <w:sz w:val="20"/>
          <w:szCs w:val="20"/>
          <w:color w:val="auto"/>
        </w:rPr>
      </w:pPr>
    </w:p>
    <w:p>
      <w:pPr>
        <w:sectPr>
          <w:pgSz w:w="11900" w:h="16838" w:orient="portrait"/>
          <w:cols w:equalWidth="0" w:num="2">
            <w:col w:w="5600" w:space="720"/>
            <w:col w:w="4800"/>
          </w:cols>
          <w:pgMar w:left="320" w:top="482" w:right="459" w:bottom="1440" w:gutter="0" w:footer="0" w:header="0"/>
          <w:type w:val="continuous"/>
        </w:sectPr>
      </w:pPr>
    </w:p>
    <w:tbl>
      <w:tblPr>
        <w:tblLayout w:type="fixed"/>
        <w:tblInd w:w="120" w:type="dxa"/>
        <w:tblCellMar>
          <w:top w:w="0" w:type="dxa"/>
          <w:left w:w="0" w:type="dxa"/>
          <w:bottom w:w="0" w:type="dxa"/>
          <w:right w:w="0" w:type="dxa"/>
        </w:tblCellMar>
      </w:tblPr>
      <w:tr>
        <w:trPr>
          <w:trHeight w:val="234"/>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US$0.02 or less per ADS (or portion thereof)</w:t>
            </w:r>
          </w:p>
        </w:tc>
        <w:tc>
          <w:tcPr>
            <w:tcW w:w="28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73"/>
              </w:rPr>
              <w:t>• </w:t>
            </w:r>
          </w:p>
        </w:tc>
        <w:tc>
          <w:tcPr>
            <w:tcW w:w="4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 Any cash distribution to ADS holders</w:t>
            </w:r>
          </w:p>
        </w:tc>
      </w:tr>
      <w:tr>
        <w:trPr>
          <w:trHeight w:val="30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A fee equivalent to the fee that would be payable if securities distributed to</w:t>
            </w:r>
          </w:p>
        </w:tc>
        <w:tc>
          <w:tcPr>
            <w:tcW w:w="28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73"/>
              </w:rPr>
              <w:t>• </w:t>
            </w:r>
          </w:p>
        </w:tc>
        <w:tc>
          <w:tcPr>
            <w:tcW w:w="4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 Distribution  of  securities  distributed  to  holders  of  deposited</w:t>
            </w: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ADS holders had been shares and the shares had been deposited for issuance</w:t>
            </w:r>
          </w:p>
        </w:tc>
        <w:tc>
          <w:tcPr>
            <w:tcW w:w="280" w:type="dxa"/>
            <w:vAlign w:val="bottom"/>
          </w:tcPr>
          <w:p>
            <w:pPr>
              <w:spacing w:after="0"/>
              <w:rPr>
                <w:sz w:val="18"/>
                <w:szCs w:val="18"/>
                <w:color w:val="auto"/>
              </w:rPr>
            </w:pPr>
          </w:p>
        </w:tc>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securities which are distributed by the depositary to ADS holders</w:t>
            </w:r>
          </w:p>
        </w:tc>
      </w:tr>
      <w:tr>
        <w:trPr>
          <w:trHeight w:val="234"/>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of ADSs</w:t>
            </w:r>
          </w:p>
        </w:tc>
        <w:tc>
          <w:tcPr>
            <w:tcW w:w="280" w:type="dxa"/>
            <w:vAlign w:val="bottom"/>
          </w:tcPr>
          <w:p>
            <w:pPr>
              <w:spacing w:after="0"/>
              <w:rPr>
                <w:sz w:val="20"/>
                <w:szCs w:val="20"/>
                <w:color w:val="auto"/>
              </w:rPr>
            </w:pPr>
          </w:p>
        </w:tc>
        <w:tc>
          <w:tcPr>
            <w:tcW w:w="4980" w:type="dxa"/>
            <w:vAlign w:val="bottom"/>
          </w:tcPr>
          <w:p>
            <w:pPr>
              <w:spacing w:after="0"/>
              <w:rPr>
                <w:sz w:val="20"/>
                <w:szCs w:val="20"/>
                <w:color w:val="auto"/>
              </w:rPr>
            </w:pPr>
          </w:p>
        </w:tc>
      </w:tr>
      <w:tr>
        <w:trPr>
          <w:trHeight w:val="30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US$0.02 or less per ADS (or portion thereof) per calendar year (to the extent</w:t>
            </w:r>
          </w:p>
        </w:tc>
        <w:tc>
          <w:tcPr>
            <w:tcW w:w="28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73"/>
              </w:rPr>
              <w:t>• </w:t>
            </w:r>
          </w:p>
        </w:tc>
        <w:tc>
          <w:tcPr>
            <w:tcW w:w="4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 Depositary services</w:t>
            </w: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that a fee of $0.02 was not charged as a result of any cash distribution during</w:t>
            </w:r>
          </w:p>
        </w:tc>
        <w:tc>
          <w:tcPr>
            <w:tcW w:w="280" w:type="dxa"/>
            <w:vAlign w:val="bottom"/>
          </w:tcPr>
          <w:p>
            <w:pPr>
              <w:spacing w:after="0"/>
              <w:rPr>
                <w:sz w:val="18"/>
                <w:szCs w:val="18"/>
                <w:color w:val="auto"/>
              </w:rPr>
            </w:pPr>
          </w:p>
        </w:tc>
        <w:tc>
          <w:tcPr>
            <w:tcW w:w="4980" w:type="dxa"/>
            <w:vAlign w:val="bottom"/>
          </w:tcPr>
          <w:p>
            <w:pPr>
              <w:spacing w:after="0"/>
              <w:rPr>
                <w:sz w:val="18"/>
                <w:szCs w:val="18"/>
                <w:color w:val="auto"/>
              </w:rPr>
            </w:pPr>
          </w:p>
        </w:tc>
      </w:tr>
      <w:tr>
        <w:trPr>
          <w:trHeight w:val="234"/>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that calendar year)</w:t>
            </w:r>
          </w:p>
        </w:tc>
        <w:tc>
          <w:tcPr>
            <w:tcW w:w="280" w:type="dxa"/>
            <w:vAlign w:val="bottom"/>
          </w:tcPr>
          <w:p>
            <w:pPr>
              <w:spacing w:after="0"/>
              <w:rPr>
                <w:sz w:val="20"/>
                <w:szCs w:val="20"/>
                <w:color w:val="auto"/>
              </w:rPr>
            </w:pPr>
          </w:p>
        </w:tc>
        <w:tc>
          <w:tcPr>
            <w:tcW w:w="4980" w:type="dxa"/>
            <w:vAlign w:val="bottom"/>
          </w:tcPr>
          <w:p>
            <w:pPr>
              <w:spacing w:after="0"/>
              <w:rPr>
                <w:sz w:val="20"/>
                <w:szCs w:val="20"/>
                <w:color w:val="auto"/>
              </w:rPr>
            </w:pPr>
          </w:p>
        </w:tc>
      </w:tr>
      <w:tr>
        <w:trPr>
          <w:trHeight w:val="30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Expenses of the depositary</w:t>
            </w:r>
          </w:p>
        </w:tc>
        <w:tc>
          <w:tcPr>
            <w:tcW w:w="28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73"/>
              </w:rPr>
              <w:t>• </w:t>
            </w:r>
          </w:p>
        </w:tc>
        <w:tc>
          <w:tcPr>
            <w:tcW w:w="498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8"/>
              </w:rPr>
              <w:t>   Cable, telex and facsimile transmissions (when expressly provided</w:t>
            </w:r>
          </w:p>
        </w:tc>
      </w:tr>
      <w:tr>
        <w:trPr>
          <w:trHeight w:val="234"/>
        </w:trPr>
        <w:tc>
          <w:tcPr>
            <w:tcW w:w="5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 the deposit agreement)</w:t>
            </w:r>
          </w:p>
        </w:tc>
      </w:tr>
      <w:tr>
        <w:trPr>
          <w:trHeight w:val="338"/>
        </w:trPr>
        <w:tc>
          <w:tcPr>
            <w:tcW w:w="5740" w:type="dxa"/>
            <w:vAlign w:val="bottom"/>
          </w:tcPr>
          <w:p>
            <w:pPr>
              <w:spacing w:after="0"/>
              <w:rPr>
                <w:sz w:val="24"/>
                <w:szCs w:val="24"/>
                <w:color w:val="auto"/>
              </w:rPr>
            </w:pPr>
          </w:p>
        </w:tc>
        <w:tc>
          <w:tcPr>
            <w:tcW w:w="28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73"/>
              </w:rPr>
              <w:t>• </w:t>
            </w:r>
          </w:p>
        </w:tc>
        <w:tc>
          <w:tcPr>
            <w:tcW w:w="4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 Converting foreign currency to U.S. dollars</w:t>
            </w:r>
          </w:p>
        </w:tc>
      </w:tr>
      <w:tr>
        <w:trPr>
          <w:trHeight w:val="319"/>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Registration fees</w:t>
            </w:r>
          </w:p>
        </w:tc>
        <w:tc>
          <w:tcPr>
            <w:tcW w:w="28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73"/>
              </w:rPr>
              <w:t>• </w:t>
            </w:r>
          </w:p>
        </w:tc>
        <w:tc>
          <w:tcPr>
            <w:tcW w:w="498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   Transfer and registration of shares on our share register to or from</w:t>
            </w:r>
          </w:p>
        </w:tc>
      </w:tr>
      <w:tr>
        <w:trPr>
          <w:trHeight w:val="216"/>
        </w:trPr>
        <w:tc>
          <w:tcPr>
            <w:tcW w:w="5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name of the depositary or its nominee or the custodian or its</w:t>
            </w:r>
          </w:p>
        </w:tc>
      </w:tr>
      <w:tr>
        <w:trPr>
          <w:trHeight w:val="234"/>
        </w:trPr>
        <w:tc>
          <w:tcPr>
            <w:tcW w:w="5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nominee when you deposit or withdraw shares</w:t>
            </w:r>
          </w:p>
        </w:tc>
      </w:tr>
      <w:tr>
        <w:trPr>
          <w:trHeight w:val="30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Taxes and other governmental charges the depositary or the custodian have to</w:t>
            </w:r>
          </w:p>
        </w:tc>
        <w:tc>
          <w:tcPr>
            <w:tcW w:w="28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73"/>
              </w:rPr>
              <w:t>• </w:t>
            </w:r>
          </w:p>
        </w:tc>
        <w:tc>
          <w:tcPr>
            <w:tcW w:w="4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 As necessary</w:t>
            </w: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pay on any ADS or share underlying an ADS, for example, stock transfer</w:t>
            </w:r>
          </w:p>
        </w:tc>
        <w:tc>
          <w:tcPr>
            <w:tcW w:w="280" w:type="dxa"/>
            <w:vAlign w:val="bottom"/>
          </w:tcPr>
          <w:p>
            <w:pPr>
              <w:spacing w:after="0"/>
              <w:rPr>
                <w:sz w:val="18"/>
                <w:szCs w:val="18"/>
                <w:color w:val="auto"/>
              </w:rPr>
            </w:pPr>
          </w:p>
        </w:tc>
        <w:tc>
          <w:tcPr>
            <w:tcW w:w="4980" w:type="dxa"/>
            <w:vAlign w:val="bottom"/>
          </w:tcPr>
          <w:p>
            <w:pPr>
              <w:spacing w:after="0"/>
              <w:rPr>
                <w:sz w:val="18"/>
                <w:szCs w:val="18"/>
                <w:color w:val="auto"/>
              </w:rPr>
            </w:pPr>
          </w:p>
        </w:tc>
      </w:tr>
      <w:tr>
        <w:trPr>
          <w:trHeight w:val="234"/>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taxes, stamp duty or withholding taxes</w:t>
            </w:r>
          </w:p>
        </w:tc>
        <w:tc>
          <w:tcPr>
            <w:tcW w:w="280" w:type="dxa"/>
            <w:vAlign w:val="bottom"/>
          </w:tcPr>
          <w:p>
            <w:pPr>
              <w:spacing w:after="0"/>
              <w:rPr>
                <w:sz w:val="20"/>
                <w:szCs w:val="20"/>
                <w:color w:val="auto"/>
              </w:rPr>
            </w:pPr>
          </w:p>
        </w:tc>
        <w:tc>
          <w:tcPr>
            <w:tcW w:w="4980" w:type="dxa"/>
            <w:vAlign w:val="bottom"/>
          </w:tcPr>
          <w:p>
            <w:pPr>
              <w:spacing w:after="0"/>
              <w:rPr>
                <w:sz w:val="20"/>
                <w:szCs w:val="20"/>
                <w:color w:val="auto"/>
              </w:rPr>
            </w:pPr>
          </w:p>
        </w:tc>
      </w:tr>
      <w:tr>
        <w:trPr>
          <w:trHeight w:val="324"/>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Expenses of depositary incurred in the conversion of foreign currency</w:t>
            </w:r>
          </w:p>
        </w:tc>
        <w:tc>
          <w:tcPr>
            <w:tcW w:w="28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73"/>
              </w:rPr>
              <w:t>• </w:t>
            </w:r>
          </w:p>
        </w:tc>
        <w:tc>
          <w:tcPr>
            <w:tcW w:w="4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 As necessary</w:t>
            </w:r>
          </w:p>
        </w:tc>
      </w:tr>
      <w:tr>
        <w:trPr>
          <w:trHeight w:val="30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Any charges incurred by the depositary or its agents for servicing the</w:t>
            </w:r>
          </w:p>
        </w:tc>
        <w:tc>
          <w:tcPr>
            <w:tcW w:w="28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73"/>
              </w:rPr>
              <w:t>• </w:t>
            </w:r>
          </w:p>
        </w:tc>
        <w:tc>
          <w:tcPr>
            <w:tcW w:w="4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 As necessary</w:t>
            </w:r>
          </w:p>
        </w:tc>
      </w:tr>
      <w:tr>
        <w:trPr>
          <w:trHeight w:val="234"/>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deposited securities</w:t>
            </w:r>
          </w:p>
        </w:tc>
        <w:tc>
          <w:tcPr>
            <w:tcW w:w="280" w:type="dxa"/>
            <w:vAlign w:val="bottom"/>
          </w:tcPr>
          <w:p>
            <w:pPr>
              <w:spacing w:after="0"/>
              <w:rPr>
                <w:sz w:val="20"/>
                <w:szCs w:val="20"/>
                <w:color w:val="auto"/>
              </w:rPr>
            </w:pPr>
          </w:p>
        </w:tc>
        <w:tc>
          <w:tcPr>
            <w:tcW w:w="4980" w:type="dxa"/>
            <w:vAlign w:val="bottom"/>
          </w:tcPr>
          <w:p>
            <w:pPr>
              <w:spacing w:after="0"/>
              <w:rPr>
                <w:sz w:val="20"/>
                <w:szCs w:val="20"/>
                <w:color w:val="auto"/>
              </w:rPr>
            </w:pP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Fees and Other Payments Made by the Depositary to Us</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The depositary has agreed to reimburse us certain expenses annually and we incur expenses related to the establishment and maintenance of the ADR program, including expenses related to our listing in the U.S. and Hong Kong, compliance, and investor relations activities. In 2026, we expect to receive certain insignificant amount of reimbursement from the depositary.</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202</w:t>
      </w:r>
    </w:p>
    <w:p>
      <w:pPr>
        <w:sectPr>
          <w:pgSz w:w="11900" w:h="16838" w:orient="portrait"/>
          <w:cols w:equalWidth="0" w:num="1">
            <w:col w:w="11120"/>
          </w:cols>
          <w:pgMar w:left="320" w:top="482" w:right="459" w:bottom="1440" w:gutter="0" w:footer="0" w:header="0"/>
          <w:type w:val="continuous"/>
        </w:sectPr>
      </w:pPr>
    </w:p>
    <w:bookmarkStart w:id="204" w:name="page205"/>
    <w:bookmarkEnd w:id="2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Conversion between Class A ordinary shares and ADSs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Dealings and Settlement of Class A Ordinary Shares in Hong Kong</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Class A ordinary shares commenced trading on the Hong Kong Stock Exchange in board lots of 50 Class A ordinary shares on March 23,</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2021. Dealings in our Class A ordinary shares on the Hong Kong Stock Exchange are conducted in Hong Kong dollars.</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transaction costs of dealings in our Class A ordinary shares on the Hong Kong Stock Exchange include:</w:t>
      </w:r>
    </w:p>
    <w:p>
      <w:pPr>
        <w:spacing w:after="0" w:line="131" w:lineRule="exact"/>
        <w:rPr>
          <w:sz w:val="20"/>
          <w:szCs w:val="20"/>
          <w:color w:val="auto"/>
        </w:rPr>
      </w:pPr>
    </w:p>
    <w:p>
      <w:pPr>
        <w:ind w:left="1080" w:hanging="424"/>
        <w:spacing w:after="0"/>
        <w:tabs>
          <w:tab w:leader="none" w:pos="10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Hong Kong Stock Exchange trading fee of 0.00565% of the consideration of the transaction, charged to each of the buyer and seller;</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and Futures Commission of Hong Kong transaction levy of 0.0027% of the consideration of the transaction, charged to each of the buyer and seller;</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Accounting and Financial Reporting Council of Hong Kong transaction levy of 0.00015% of the consideration of the transaction, charged to each of the buyer and seller;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deed stamp duty of HK$5.00 per transfer deed (if applicable), payable by the seller;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transaction stamp duty at a total rate of 0.2% of the value of the transaction, with 0.1% payable by each of the buyer and the seller;</w:t>
      </w:r>
    </w:p>
    <w:p>
      <w:pPr>
        <w:spacing w:after="0" w:line="130" w:lineRule="exact"/>
        <w:rPr>
          <w:rFonts w:ascii="Times New Roman" w:cs="Times New Roman" w:eastAsia="Times New Roman" w:hAnsi="Times New Roman"/>
          <w:sz w:val="18"/>
          <w:szCs w:val="18"/>
          <w:color w:val="auto"/>
        </w:rPr>
      </w:pPr>
    </w:p>
    <w:p>
      <w:pPr>
        <w:jc w:val="both"/>
        <w:ind w:left="1080" w:right="20" w:hanging="424"/>
        <w:spacing w:after="0" w:line="266" w:lineRule="auto"/>
        <w:tabs>
          <w:tab w:leader="none" w:pos="10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brokerage commission, which is freely negotiable with the broker (other than brokerage commissions for IPO transactions which are currently set at 1% of the subscription or purchase price and will be payable by the person subscribing for or purchasing the securities); and</w:t>
      </w:r>
    </w:p>
    <w:p>
      <w:pPr>
        <w:spacing w:after="0" w:line="81" w:lineRule="exact"/>
        <w:rPr>
          <w:rFonts w:ascii="Times New Roman" w:cs="Times New Roman" w:eastAsia="Times New Roman" w:hAnsi="Times New Roman"/>
          <w:sz w:val="18"/>
          <w:szCs w:val="18"/>
          <w:color w:val="auto"/>
        </w:rPr>
      </w:pPr>
    </w:p>
    <w:p>
      <w:pPr>
        <w:jc w:val="both"/>
        <w:ind w:left="1080" w:right="20" w:hanging="424"/>
        <w:spacing w:after="0" w:line="261" w:lineRule="auto"/>
        <w:tabs>
          <w:tab w:leader="none" w:pos="10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Hong Kong share registrar will charge between HK$2.50 to 0.05% of the market value of the shares, depending on the speed of service (or such higher fee as may from time to time be permitted under the Hong Kong Listing Rules), for each transfer of ordinary shares from one registered owner to another, each share certificate canceled or issued by it and any applicable fee as stated in the share transfer forms used in Hong Kong.</w:t>
      </w:r>
    </w:p>
    <w:p>
      <w:pPr>
        <w:spacing w:after="0" w:line="180"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Investors must settle their trades executed on the Hong Kong Stock Exchange through their brokers directly or through custodians. For an investor who has deposited his or her Class A ordinary shares in his or her stock account or in his or her designated CCASS participant’s stock account maintained with CCASS, settlement will be effected in CCASS in accordance with the General Rules of CCASS and CCASS Operational Procedures in effect from time to time. For an investor who holds the physical certificates, settlement certificates and the duly executed transfer forms must be delivered to his or her broker or custodian before the settlement date.</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Conversion between Class A Ordinary Shares Trading in Hong Kong and ADSs</w:t>
      </w:r>
    </w:p>
    <w:p>
      <w:pPr>
        <w:spacing w:after="0" w:line="119"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 connection with the initial public offering of Class A ordinary shares in Hong Kong, we have established a branch register of members in Hong Kong, or the Hong Kong share register, which will be maintained by our Hong Kong share registrar, Computershare Hong Kong Investor Services Limited. Our principal register of members, or the Cayman share register, will continue to be maintained by our principal share registrar, Maples Fund Services (Cayman) Limited.</w:t>
      </w:r>
    </w:p>
    <w:p>
      <w:pPr>
        <w:spacing w:after="0" w:line="180"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All Class A ordinary shares offered in the initial public offering in Hong Kong are registered on the Hong Kong share register in order to be listed and traded on the Hong Kong Stock Exchange. As described in further detail below, holders of Class A ordinary shares registered on the Hong Kong share register will be able to deposit these ordinary shares into ADSs, and vice versa.</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Depositing Class A Ordinary Shares Trading in Hong Kong for delivery of ADSs</w:t>
      </w:r>
    </w:p>
    <w:p>
      <w:pPr>
        <w:spacing w:after="0" w:line="119"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An investor who holds Class A ordinary shares registered in Hong Kong and who intends to convert them to ADSs to trade on Nasdaq must deposit or have his or her broker deposit the Class A ordinary shares with the depositary’s Hong Kong custodian, The Hong Kong and Shanghai Banking Corporation Limited, Hong Kong, or the custodian, in exchange for ADSs.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203</w:t>
      </w:r>
    </w:p>
    <w:p>
      <w:pPr>
        <w:sectPr>
          <w:pgSz w:w="11900" w:h="16838" w:orient="portrait"/>
          <w:cols w:equalWidth="0" w:num="1">
            <w:col w:w="11140"/>
          </w:cols>
          <w:pgMar w:left="320" w:top="482" w:right="43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 deposit of Class A ordinary shares trading in Hong Kong in exchange for ADSs involves the following procedures:</w:t>
      </w:r>
    </w:p>
    <w:p>
      <w:pPr>
        <w:spacing w:after="0" w:line="131" w:lineRule="exact"/>
        <w:rPr>
          <w:sz w:val="20"/>
          <w:szCs w:val="20"/>
          <w:color w:val="auto"/>
        </w:rPr>
      </w:pPr>
    </w:p>
    <w:p>
      <w:pPr>
        <w:jc w:val="both"/>
        <w:ind w:left="1080" w:right="20" w:hanging="424"/>
        <w:spacing w:after="0" w:line="266" w:lineRule="auto"/>
        <w:tabs>
          <w:tab w:leader="none" w:pos="10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Class A ordinary shares have been deposited with CCASS, the investor must transfer Class A ordinary shares to the depositary’s account with the custodian within CCASS by following the CCASS procedures for transfer and submit and deliver a duly completed and signed ADS delivery form to the custodian via his or her broker.</w:t>
      </w:r>
    </w:p>
    <w:p>
      <w:pPr>
        <w:spacing w:after="0" w:line="81" w:lineRule="exact"/>
        <w:rPr>
          <w:rFonts w:ascii="Times New Roman" w:cs="Times New Roman" w:eastAsia="Times New Roman" w:hAnsi="Times New Roman"/>
          <w:sz w:val="18"/>
          <w:szCs w:val="18"/>
          <w:color w:val="auto"/>
        </w:rPr>
      </w:pPr>
    </w:p>
    <w:p>
      <w:pPr>
        <w:jc w:val="both"/>
        <w:ind w:left="1080" w:right="20" w:hanging="424"/>
        <w:spacing w:after="0" w:line="258" w:lineRule="auto"/>
        <w:tabs>
          <w:tab w:leader="none" w:pos="10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Class A ordinary shares are held outside CCASS, the investor must arrange for the registration of a transfer of his or her Class A ordinary shares into the depositary’s name and the delivery of a share certificate evidencing such registration to the custodian and must sign and deliver an ADS delivery form to the depositary, as well as any applicable required documentation as required by the depositary. Investor shall contact the depositary for applicable documentation, if any, prior to depositing Class A ordinary shares for issuance into ADSs.</w:t>
      </w:r>
    </w:p>
    <w:p>
      <w:pPr>
        <w:spacing w:after="0" w:line="88"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payment of its fees and expenses and of any taxes or charges, such as stamp taxes or stock transfer taxes or fees, if applicable, the depositary will issue the corresponding number of ADSs and will deliver the ADSs as instructed in the ADS delivery form.</w:t>
      </w:r>
    </w:p>
    <w:p>
      <w:pPr>
        <w:spacing w:after="0" w:line="162"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For Class A ordinary shares deposited in CCASS for issuance of ADSs, under normal circumstances, the above steps may take approximately two business days turnaround time, or more, provided that the investor has provided timely and complete instructions. Additional time will be required if the ADSs are to be issued in registered form in the books and records of the depositary. For Class A ordinary shares held outside CCASS in physical form, the above steps may take 30 days, or more, to complete. Temporary delays may arise. For example, the transfer books of the depositary may from time to time be closed to ADS issuances. The investor will be unable to deposit Class A ordinary shares and receive ADSs until the procedures are completed.</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Surrender of ADSs for Delivery of Class A Ordinary Shares Trading in Hong Kong</w:t>
      </w:r>
    </w:p>
    <w:p>
      <w:pPr>
        <w:spacing w:after="0" w:line="119"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An investor who holds ADSs and wishes to receive Class A ordinary shares that trade on the Hong Kong Stock Exchange must cancel the ADSs the investor holds and withdraw Class A ordinary shares from our ADS program and cause his or her broker or other financial institution to trade such Class A ordinary shares on the Hong Kong Stock Exchange.</w:t>
      </w:r>
    </w:p>
    <w:p>
      <w:pPr>
        <w:spacing w:after="0" w:line="176"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An investor that holds ADSs indirectly through a broker or other financial institution should follow the procedure of the broker or financial institution and instruct the broker to arrange for cancelation of the ADSs, and transfer of the underlying Class A ordinary shares from the depositary’s account with the custodian within the CCASS system to the investor’s Hong Kong stock account.</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investors holding ADSs directly, the following steps must be taken:</w:t>
      </w:r>
    </w:p>
    <w:p>
      <w:pPr>
        <w:spacing w:after="0" w:line="131" w:lineRule="exact"/>
        <w:rPr>
          <w:sz w:val="20"/>
          <w:szCs w:val="20"/>
          <w:color w:val="auto"/>
        </w:rPr>
      </w:pPr>
    </w:p>
    <w:p>
      <w:pPr>
        <w:jc w:val="both"/>
        <w:ind w:left="1080" w:right="20" w:hanging="424"/>
        <w:spacing w:after="0" w:line="266" w:lineRule="auto"/>
        <w:tabs>
          <w:tab w:leader="none" w:pos="10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withdraw Class A ordinary shares from our ADS program, an investor who holds ADSs must turn in such ADSs at the office of the depositary (and the applicable ADR(s) if the ADSs are held in certificated form), and send an instruction to cancel such ADSs to the depositary. Those instructions must have a Medallion signature guarantee.</w:t>
      </w:r>
    </w:p>
    <w:p>
      <w:pPr>
        <w:spacing w:after="0" w:line="81" w:lineRule="exact"/>
        <w:rPr>
          <w:rFonts w:ascii="Times New Roman" w:cs="Times New Roman" w:eastAsia="Times New Roman" w:hAnsi="Times New Roman"/>
          <w:sz w:val="18"/>
          <w:szCs w:val="18"/>
          <w:color w:val="auto"/>
        </w:rPr>
      </w:pPr>
    </w:p>
    <w:p>
      <w:pPr>
        <w:jc w:val="both"/>
        <w:ind w:left="1080" w:right="20" w:hanging="424"/>
        <w:spacing w:after="0" w:line="266" w:lineRule="auto"/>
        <w:tabs>
          <w:tab w:leader="none" w:pos="10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payment of its fees and expenses and of any taxes or charges, such as stamp taxes or stock transfer taxes or fees, if applicable, the depositary will instruct the custodian to deliver Class A ordinary shares underlying the canceled ADSs to the CCASS account designated by an investor.</w:t>
      </w:r>
    </w:p>
    <w:p>
      <w:pPr>
        <w:spacing w:after="0" w:line="81"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investor prefers to receive Class A ordinary shares outside CCASS, he or she must so indicate in the instruction delivered to the depositary.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204</w:t>
      </w:r>
    </w:p>
    <w:p>
      <w:pPr>
        <w:sectPr>
          <w:pgSz w:w="11900" w:h="16838" w:orient="portrait"/>
          <w:cols w:equalWidth="0" w:num="1">
            <w:col w:w="11140"/>
          </w:cols>
          <w:pgMar w:left="320" w:top="482" w:right="43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For Class A ordinary shares to be received in CCASS, under normal circumstances, the above steps may take approximately two business days turnaround time, or more, provided that the investor has provided timely and complete instructions. For Class A ordinary shares to be received outside CCASS in physical form, the above steps may take 14 business days, or more, to complete. The investor will be unable to receive the Class A ordinary shares until the procedures are completed.</w:t>
      </w:r>
    </w:p>
    <w:p>
      <w:pPr>
        <w:spacing w:after="0" w:line="180"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Temporary delays may arise. For example, the transfer books of the depositary may from time to time be closed to ADS cancellations. In addition, completion of the above steps and procedures for delivery of Class A ordinary shares in a CCASS account is subject to there being a sufficient number of Class A ordinary shares on the Hong Kong share register to facilitate a withdrawal from the ADS program directly into the CCASS system. Further, completion of the above steps and procedures for delivery of Class A ordinary shares outside CCASS is subject to there being a sufficient number of Class A ordinary shares on the Cayman share register to facilitate a withdrawal from the ADS program outside CCASS. We are not under any obligation to maintain or increase the number of Class A ordinary shares on the Hong Kong or Cayman share register, as the case may be, to facilitate such withdrawals.</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Depositary Requirements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Before the depositary delivers ADSs or permits withdrawal of Class A ordinary shares, the depositary may require:</w:t>
      </w:r>
    </w:p>
    <w:p>
      <w:pPr>
        <w:spacing w:after="0" w:line="131" w:lineRule="exact"/>
        <w:rPr>
          <w:sz w:val="20"/>
          <w:szCs w:val="20"/>
          <w:color w:val="auto"/>
        </w:rPr>
      </w:pPr>
    </w:p>
    <w:p>
      <w:pPr>
        <w:ind w:left="1080" w:hanging="424"/>
        <w:spacing w:after="0"/>
        <w:tabs>
          <w:tab w:leader="none" w:pos="10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of satisfactory proof of the identity and genuineness of any signature or other information it deems necessary; and</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procedures it may establish, from time to time, consistent with the deposit agreement, including completion and presentation of transfer documents.</w:t>
      </w:r>
    </w:p>
    <w:p>
      <w:pPr>
        <w:spacing w:after="0" w:line="162"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depositary may refuse to deliver, transfer, or register issuances, transfers and cancelations of ADSs generally when the transfer books of the depositary or our Hong Kong or Cayman share registrar are closed or at any time if the depositary or we determine it advisable to do so.</w:t>
      </w:r>
    </w:p>
    <w:p>
      <w:pPr>
        <w:spacing w:after="0" w:line="162"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All costs attributable to the transfer of Class A ordinary shares to effect a withdrawal from or deposit of Class A ordinary shares into our ADS program will be borne by the investor requesting the transfer or deposit. In particular, holders of ordinary shares and ADSs should note that the Hong Kong share registrar will charge between HK$2.50 to 0.05% of the market value of the shares, depending on the speed of service (or such higher fee as may from time to time be permitted under the Hong Kong Listing Rules), for each transfer of Class A ordinary shares from one registered owner to another, each share certificate canceled or issued by it and any applicable fee as stated in the share transfer forms used in Hong Kong. In addition, holders of Class A ordinary shares and ADSs must pay up to US$5.00 per 100 ADSs (or portion thereof) for each issuance of ADSs and each cancelation of ADSs, as the case may be, in connection with the deposit of Class A ordinary shares into, or withdrawal of ordinary shares from, the ADS facility.</w:t>
      </w:r>
    </w:p>
    <w:p>
      <w:pPr>
        <w:sectPr>
          <w:pgSz w:w="11900" w:h="16838" w:orient="portrait"/>
          <w:cols w:equalWidth="0" w:num="1">
            <w:col w:w="11140"/>
          </w:cols>
          <w:pgMar w:left="320" w:top="482"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ITEM 13.</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DEFAULTS, DIVIDEND ARREARAGES AND DELINQUENCIES</w:t>
      </w:r>
    </w:p>
    <w:p>
      <w:pPr>
        <w:spacing w:after="0" w:line="133" w:lineRule="exact"/>
        <w:rPr>
          <w:sz w:val="20"/>
          <w:szCs w:val="20"/>
          <w:color w:val="auto"/>
        </w:rPr>
      </w:pPr>
    </w:p>
    <w:p>
      <w:pPr>
        <w:sectPr>
          <w:pgSz w:w="11900" w:h="16838" w:orient="portrait"/>
          <w:cols w:equalWidth="0" w:num="2">
            <w:col w:w="860" w:space="340"/>
            <w:col w:w="9940"/>
          </w:cols>
          <w:pgMar w:left="320" w:top="482" w:right="439" w:bottom="1440" w:gutter="0" w:footer="0" w:header="0"/>
          <w:type w:val="continuous"/>
        </w:sectPr>
      </w:pPr>
    </w:p>
    <w:p>
      <w:pPr>
        <w:ind w:left="560"/>
        <w:spacing w:after="0"/>
        <w:rPr>
          <w:sz w:val="20"/>
          <w:szCs w:val="20"/>
          <w:color w:val="auto"/>
        </w:rPr>
      </w:pPr>
      <w:r>
        <w:rPr>
          <w:rFonts w:ascii="Times New Roman" w:cs="Times New Roman" w:eastAsia="Times New Roman" w:hAnsi="Times New Roman"/>
          <w:sz w:val="18"/>
          <w:szCs w:val="18"/>
          <w:color w:val="auto"/>
        </w:rPr>
        <w:t>None.</w:t>
      </w:r>
    </w:p>
    <w:p>
      <w:pPr>
        <w:sectPr>
          <w:pgSz w:w="11900" w:h="16838" w:orient="portrait"/>
          <w:cols w:equalWidth="0" w:num="1">
            <w:col w:w="11140"/>
          </w:cols>
          <w:pgMar w:left="320" w:top="482" w:right="439" w:bottom="1440" w:gutter="0" w:footer="0" w:header="0"/>
          <w:type w:val="continuous"/>
        </w:sectPr>
      </w:pPr>
    </w:p>
    <w:p>
      <w:pPr>
        <w:spacing w:after="0" w:line="3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ITEM 14.</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MATERIAL MODIFICATIONS TO THE RIGHTS OF SECURITY HOLDERS AND USE OF PROCEEDS.</w:t>
      </w:r>
    </w:p>
    <w:p>
      <w:pPr>
        <w:spacing w:after="0" w:line="133" w:lineRule="exact"/>
        <w:rPr>
          <w:sz w:val="20"/>
          <w:szCs w:val="20"/>
          <w:color w:val="auto"/>
        </w:rPr>
      </w:pPr>
    </w:p>
    <w:p>
      <w:pPr>
        <w:sectPr>
          <w:pgSz w:w="11900" w:h="16838" w:orient="portrait"/>
          <w:cols w:equalWidth="0" w:num="2">
            <w:col w:w="860" w:space="340"/>
            <w:col w:w="9940"/>
          </w:cols>
          <w:pgMar w:left="320" w:top="482" w:right="439" w:bottom="1440" w:gutter="0" w:footer="0" w:header="0"/>
          <w:type w:val="continuous"/>
        </w:sectPr>
      </w:pPr>
    </w:p>
    <w:p>
      <w:pPr>
        <w:ind w:left="560"/>
        <w:spacing w:after="0"/>
        <w:rPr>
          <w:sz w:val="20"/>
          <w:szCs w:val="20"/>
          <w:color w:val="auto"/>
        </w:rPr>
      </w:pPr>
      <w:r>
        <w:rPr>
          <w:rFonts w:ascii="Times New Roman" w:cs="Times New Roman" w:eastAsia="Times New Roman" w:hAnsi="Times New Roman"/>
          <w:sz w:val="18"/>
          <w:szCs w:val="18"/>
          <w:color w:val="auto"/>
        </w:rPr>
        <w:t>None.</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205</w:t>
      </w:r>
    </w:p>
    <w:p>
      <w:pPr>
        <w:sectPr>
          <w:pgSz w:w="11900" w:h="16838" w:orient="portrait"/>
          <w:cols w:equalWidth="0" w:num="1">
            <w:col w:w="11140"/>
          </w:cols>
          <w:pgMar w:left="320" w:top="482" w:right="439" w:bottom="1440" w:gutter="0" w:footer="0" w:header="0"/>
          <w:type w:val="continuous"/>
        </w:sectPr>
      </w:pPr>
    </w:p>
    <w:bookmarkStart w:id="207" w:name="page208"/>
    <w:bookmarkEnd w:id="2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8"/>
          <w:szCs w:val="18"/>
          <w:b w:val="1"/>
          <w:bCs w:val="1"/>
          <w:color w:val="auto"/>
        </w:rPr>
        <w:t>CONTROLS AND PROCEDURES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performed an evaluation of the effectiveness of our disclosure controls and procedures (as defined in Rule 13a-15(e) under the Exchange Act) as of the end of the period covered by this report, as required by Rule 13a-15(b) under the Exchange Act.</w:t>
      </w:r>
    </w:p>
    <w:p>
      <w:pPr>
        <w:spacing w:after="0" w:line="176"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Based upon that evaluation, our management has concluded that, as of December 31, 2025, our disclosure controls and procedures were effective in ensuring that the information required to be disclosed by us in the reports that we file and furnish under the Exchange Act was recorded, processed, summarized and reported, within the time periods specified in the SEC’s rules and forms, and that the information required to be disclosed by us in the reports that we file or submit under the Exchange Act is accumulated and communicated to our management, including our chief executive officer and chief financial officer, to allow timely decisions regarding required disclosure.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121"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 13a-15(f) under the Exchange Act. Our management evaluated the effectiveness of our internal control over financial reporting, as required by Rule 13a-15(c) of the Exchange Act, based on criteria established in the framework in Internal Control-Integrated Framework (2013) issued by the Committee of Sponsoring Organizations of the Treadway Commission.</w:t>
      </w:r>
    </w:p>
    <w:p>
      <w:pPr>
        <w:spacing w:after="0" w:line="180"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Management’s assessment of and conclusion on the effectiveness of internal control over financial reporting did not include the internal controls of YY Live that was acquired in 2025, which is included in our 2025 consolidated financial statements and constituted less than 1% of total assets as of December 31, 2025 and less than 3% of revenues for the year then ended.</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Based on this evaluation, our management has concluded that our internal control over financial reporting was effective as of December 31, 2025.</w:t>
      </w:r>
    </w:p>
    <w:p>
      <w:pPr>
        <w:spacing w:after="0" w:line="225"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In addition, projections of any evaluation of effectiveness of our internal control over financial reporting to future periods are subject to the risk that controls may become inadequate because of changes in conditions, or that the degree of compliance with the policies and procedures may deteriorate.</w:t>
      </w:r>
    </w:p>
    <w:p>
      <w:pPr>
        <w:spacing w:after="0" w:line="176"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Our independent registered public accounting firm, Ernst &amp; Young Hua Ming LLP, has audited the effectiveness of our internal control over financial reporting as of December 31, 2025, as stated in its report, which appears on page F-4 of this annual report on Form 20-F.</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ind w:left="120" w:firstLine="440"/>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controls over financial reporting that occurred during the period covered by this annual report on Form 20-F that have materially affected, or are reasonably likely to materially affect, our internal control over financial reporting.</w:t>
      </w:r>
    </w:p>
    <w:p>
      <w:pPr>
        <w:spacing w:after="0" w:line="30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16.</w:t>
      </w:r>
    </w:p>
    <w:p>
      <w:pPr>
        <w:spacing w:after="0" w:line="131"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16A.</w:t>
        <w:tab/>
        <w:t>AUDIT COMMITTEE FINANCIAL EXPERT</w:t>
      </w:r>
    </w:p>
    <w:p>
      <w:pPr>
        <w:spacing w:after="0" w:line="121"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Our board of directors has determined that Ms. Xiaodan Liu, an independent director (under the standards set forth in Nasdaq Stock Market Rule 5605(a)(2) and Rule 10A-3 under the Exchange Act) and chairman of our audit committee, is an audit committee financial expert.</w:t>
      </w:r>
    </w:p>
    <w:p>
      <w:pPr>
        <w:spacing w:after="0" w:line="306"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16B.</w:t>
        <w:tab/>
        <w:t>CODE OF ETHICS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July 2005, our board of directors adopted a code of business conduct and ethics that applies to our directors, officers, employees and advisors.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have posted a copy of our code of business conduct and ethics on our website at http://ir.baidu.com.</w:t>
      </w:r>
    </w:p>
    <w:p>
      <w:pPr>
        <w:spacing w:after="0" w:line="351"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16C.</w:t>
        <w:tab/>
        <w:t>PRINCIPAL ACCOUNTANT FEES AND SERVICES</w:t>
      </w:r>
    </w:p>
    <w:p>
      <w:pPr>
        <w:spacing w:after="0" w:line="121"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aggregate fees by categories specified below in connection with certain professional services rendered by our principal accountant for the respective period including any associated or affiliated organizations or entities.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206</w:t>
      </w:r>
    </w:p>
    <w:p>
      <w:pPr>
        <w:sectPr>
          <w:pgSz w:w="11900" w:h="16838" w:orient="portrait"/>
          <w:cols w:equalWidth="0" w:num="1">
            <w:col w:w="11140"/>
          </w:cols>
          <w:pgMar w:left="320" w:top="482" w:right="43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460" w:type="dxa"/>
            <w:vAlign w:val="bottom"/>
          </w:tcPr>
          <w:p>
            <w:pPr>
              <w:spacing w:after="0"/>
              <w:rPr>
                <w:sz w:val="13"/>
                <w:szCs w:val="13"/>
                <w:color w:val="auto"/>
              </w:rPr>
            </w:pPr>
          </w:p>
        </w:tc>
        <w:tc>
          <w:tcPr>
            <w:tcW w:w="1240" w:type="dxa"/>
            <w:vAlign w:val="bottom"/>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20" w:type="dxa"/>
            <w:vAlign w:val="bottom"/>
          </w:tcPr>
          <w:p>
            <w:pPr>
              <w:spacing w:after="0"/>
              <w:rPr>
                <w:sz w:val="13"/>
                <w:szCs w:val="13"/>
                <w:color w:val="auto"/>
              </w:rPr>
            </w:pPr>
          </w:p>
        </w:tc>
        <w:tc>
          <w:tcPr>
            <w:tcW w:w="1260" w:type="dxa"/>
            <w:vAlign w:val="bottom"/>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3"/>
                <w:szCs w:val="13"/>
                <w:color w:val="auto"/>
              </w:rPr>
            </w:pPr>
          </w:p>
        </w:tc>
      </w:tr>
      <w:tr>
        <w:trPr>
          <w:trHeight w:val="173"/>
        </w:trPr>
        <w:tc>
          <w:tcPr>
            <w:tcW w:w="6460" w:type="dxa"/>
            <w:vAlign w:val="bottom"/>
          </w:tcPr>
          <w:p>
            <w:pPr>
              <w:spacing w:after="0"/>
              <w:rPr>
                <w:sz w:val="15"/>
                <w:szCs w:val="15"/>
                <w:color w:val="auto"/>
              </w:rPr>
            </w:pPr>
          </w:p>
        </w:tc>
        <w:tc>
          <w:tcPr>
            <w:tcW w:w="2360" w:type="dxa"/>
            <w:vAlign w:val="bottom"/>
            <w:gridSpan w:val="2"/>
          </w:tcPr>
          <w:p>
            <w:pPr>
              <w:jc w:val="right"/>
              <w:ind w:right="1120"/>
              <w:spacing w:after="0"/>
              <w:rPr>
                <w:sz w:val="20"/>
                <w:szCs w:val="20"/>
                <w:color w:val="auto"/>
              </w:rPr>
            </w:pPr>
            <w:r>
              <w:rPr>
                <w:rFonts w:ascii="Times New Roman" w:cs="Times New Roman" w:eastAsia="Times New Roman" w:hAnsi="Times New Roman"/>
                <w:sz w:val="14"/>
                <w:szCs w:val="14"/>
                <w:b w:val="1"/>
                <w:bCs w:val="1"/>
                <w:color w:val="auto"/>
              </w:rPr>
              <w:t>(RMB in thousands)</w:t>
            </w:r>
          </w:p>
        </w:tc>
        <w:tc>
          <w:tcPr>
            <w:tcW w:w="13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(RMB in thousands)</w:t>
            </w:r>
          </w:p>
        </w:tc>
      </w:tr>
      <w:tr>
        <w:trPr>
          <w:trHeight w:val="210"/>
        </w:trPr>
        <w:tc>
          <w:tcPr>
            <w:tcW w:w="6460" w:type="dxa"/>
            <w:vAlign w:val="bottom"/>
            <w:tcBorders>
              <w:top w:val="single" w:sz="8" w:color="CCEEFF"/>
            </w:tcBorders>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Audit fees</w:t>
            </w:r>
            <w:r>
              <w:rPr>
                <w:rFonts w:ascii="Times New Roman" w:cs="Times New Roman" w:eastAsia="Times New Roman" w:hAnsi="Times New Roman"/>
                <w:sz w:val="24"/>
                <w:szCs w:val="24"/>
                <w:color w:val="auto"/>
                <w:vertAlign w:val="superscript"/>
              </w:rPr>
              <w:t>(1)</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41,354</w:t>
            </w:r>
          </w:p>
        </w:tc>
        <w:tc>
          <w:tcPr>
            <w:tcW w:w="11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46,402</w:t>
            </w:r>
          </w:p>
        </w:tc>
        <w:tc>
          <w:tcPr>
            <w:tcW w:w="40" w:type="dxa"/>
            <w:vAlign w:val="bottom"/>
            <w:tcBorders>
              <w:top w:val="single" w:sz="8" w:color="CCEEFF"/>
            </w:tcBorders>
            <w:shd w:val="clear" w:color="auto" w:fill="CCEEFF"/>
          </w:tcPr>
          <w:p>
            <w:pPr>
              <w:spacing w:after="0"/>
              <w:rPr>
                <w:sz w:val="18"/>
                <w:szCs w:val="18"/>
                <w:color w:val="auto"/>
              </w:rPr>
            </w:pPr>
          </w:p>
        </w:tc>
      </w:tr>
      <w:tr>
        <w:trPr>
          <w:trHeight w:val="355"/>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r>
              <w:rPr>
                <w:rFonts w:ascii="Times New Roman" w:cs="Times New Roman" w:eastAsia="Times New Roman" w:hAnsi="Times New Roman"/>
                <w:sz w:val="26"/>
                <w:szCs w:val="26"/>
                <w:color w:val="auto"/>
                <w:vertAlign w:val="superscript"/>
              </w:rPr>
              <w:t>(2)</w:t>
            </w:r>
          </w:p>
        </w:tc>
        <w:tc>
          <w:tcPr>
            <w:tcW w:w="2360" w:type="dxa"/>
            <w:vAlign w:val="bottom"/>
            <w:gridSpan w:val="2"/>
          </w:tcPr>
          <w:p>
            <w:pPr>
              <w:jc w:val="right"/>
              <w:ind w:right="1100"/>
              <w:spacing w:after="0"/>
              <w:rPr>
                <w:sz w:val="20"/>
                <w:szCs w:val="20"/>
                <w:color w:val="auto"/>
              </w:rPr>
            </w:pPr>
            <w:r>
              <w:rPr>
                <w:rFonts w:ascii="Times New Roman" w:cs="Times New Roman" w:eastAsia="Times New Roman" w:hAnsi="Times New Roman"/>
                <w:sz w:val="18"/>
                <w:szCs w:val="18"/>
                <w:color w:val="auto"/>
              </w:rPr>
              <w:t>4,812</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wp:posOffset>
            </wp:positionV>
            <wp:extent cx="77152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8" w:lineRule="exact"/>
        <w:rPr>
          <w:sz w:val="20"/>
          <w:szCs w:val="20"/>
          <w:color w:val="auto"/>
        </w:rPr>
      </w:pPr>
    </w:p>
    <w:p>
      <w:pPr>
        <w:ind w:left="540" w:right="20" w:hanging="424"/>
        <w:spacing w:after="0" w:line="233" w:lineRule="auto"/>
        <w:tabs>
          <w:tab w:leader="none" w:pos="540"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“Audit fees” means the aggregate fees in each of the fiscal years listed for professional services rendered by our principal auditors for the audit of our annual statements and assistance with and review of documents filed with the SEC.</w:t>
      </w:r>
    </w:p>
    <w:p>
      <w:pPr>
        <w:ind w:left="540" w:hanging="424"/>
        <w:spacing w:after="0"/>
        <w:tabs>
          <w:tab w:leader="none" w:pos="540"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other fees” represents the aggregate fees in each of the fiscal years listed for services rendered by our principal auditors, other than services reported under “Audit fees”.</w:t>
      </w:r>
    </w:p>
    <w:p>
      <w:pPr>
        <w:spacing w:after="0" w:line="192"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All audit and non-audit services provided by our independent auditors must be pre-approved by our audit committee. Our audit committee has adopted a combination of two approaches in pre-approving proposed services: general pre-approval and specific pre-approval. With general approval, the engagement to render services is entered into pursuant to pre-approval policies and procedures established by the audit committee. The policies and procedures are detailed as to the particular service (not broad categories), and the audit committee is informed of each specific service quarterly. With specific approval, the audit committee pre-approves the specific engagement to be rendered. Unless a type of service has received general pre-approval, it will require specific pre-approval by our audit committee. Any proposed services exceeding pre-approved cost levels or budgeted amounts will also require specific pre-approval by our audit committee.</w:t>
      </w:r>
    </w:p>
    <w:p>
      <w:pPr>
        <w:spacing w:after="0" w:line="189"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Requests or applications to provide services that require specific approval by our audit committee will be submitted to the audit committee by both our independent auditors and our chief financial officer and must include an assessment as to whether, in their view, the request or application is consistent with the SEC’s rules on auditor independence.</w:t>
      </w:r>
    </w:p>
    <w:p>
      <w:pPr>
        <w:spacing w:after="0" w:line="32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16D.</w:t>
        <w:tab/>
        <w:t>EXEMPTIONS FROM THE LISTING STANDARDS FOR AUDIT COMMITTEES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16E.</w:t>
        <w:tab/>
        <w:t>PURCHASES OF EQUITY SECURITIES BY THE ISSUER AND AFFILIATED PURCHASERS</w:t>
      </w:r>
    </w:p>
    <w:p>
      <w:pPr>
        <w:spacing w:after="0" w:line="121"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In February 2023, our board of directors authorized a share repurchase program, or the 2023 Program, under which we may repurchase up to US$5.0 billion of our ADSs or shares, effective until December 31, 2025. In the first quarter of 2026, our board of directors authorized a new share repurchase program, under which we may repurchase up to US$5.0 billion of our ADSs or shares, effective until December 31, 2028. The table below is a summary of our repurchases in 2025, which were all conducted in the open market pursuant to the 2023 Program.</w:t>
      </w:r>
    </w:p>
    <w:p>
      <w:pPr>
        <w:spacing w:after="0" w:line="18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20" w:type="dxa"/>
            <w:vAlign w:val="bottom"/>
          </w:tcPr>
          <w:p>
            <w:pPr>
              <w:spacing w:after="0"/>
              <w:rPr>
                <w:sz w:val="13"/>
                <w:szCs w:val="13"/>
                <w:color w:val="auto"/>
              </w:rPr>
            </w:pPr>
          </w:p>
        </w:tc>
        <w:tc>
          <w:tcPr>
            <w:tcW w:w="5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200" w:type="dxa"/>
            <w:vAlign w:val="bottom"/>
          </w:tcPr>
          <w:p>
            <w:pPr>
              <w:spacing w:after="0"/>
              <w:rPr>
                <w:sz w:val="13"/>
                <w:szCs w:val="13"/>
                <w:color w:val="auto"/>
              </w:rPr>
            </w:pPr>
          </w:p>
        </w:tc>
        <w:tc>
          <w:tcPr>
            <w:tcW w:w="15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of ADSs</w:t>
            </w:r>
          </w:p>
        </w:tc>
        <w:tc>
          <w:tcPr>
            <w:tcW w:w="20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9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80" w:type="dxa"/>
            <w:vAlign w:val="bottom"/>
          </w:tcPr>
          <w:p>
            <w:pPr>
              <w:spacing w:after="0"/>
              <w:rPr>
                <w:sz w:val="12"/>
                <w:szCs w:val="12"/>
                <w:color w:val="auto"/>
              </w:rPr>
            </w:pPr>
          </w:p>
        </w:tc>
        <w:tc>
          <w:tcPr>
            <w:tcW w:w="980" w:type="dxa"/>
            <w:vAlign w:val="bottom"/>
            <w:gridSpan w:val="3"/>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0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w:t>
            </w:r>
          </w:p>
        </w:tc>
        <w:tc>
          <w:tcPr>
            <w:tcW w:w="200" w:type="dxa"/>
            <w:vAlign w:val="bottom"/>
          </w:tcPr>
          <w:p>
            <w:pPr>
              <w:spacing w:after="0"/>
              <w:rPr>
                <w:sz w:val="12"/>
                <w:szCs w:val="12"/>
                <w:color w:val="auto"/>
              </w:rPr>
            </w:pPr>
          </w:p>
        </w:tc>
        <w:tc>
          <w:tcPr>
            <w:tcW w:w="15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Dollar Value</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10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Part of the</w:t>
            </w:r>
          </w:p>
        </w:tc>
        <w:tc>
          <w:tcPr>
            <w:tcW w:w="200" w:type="dxa"/>
            <w:vAlign w:val="bottom"/>
          </w:tcPr>
          <w:p>
            <w:pPr>
              <w:spacing w:after="0"/>
              <w:rPr>
                <w:sz w:val="12"/>
                <w:szCs w:val="12"/>
                <w:color w:val="auto"/>
              </w:rPr>
            </w:pPr>
          </w:p>
        </w:tc>
        <w:tc>
          <w:tcPr>
            <w:tcW w:w="15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of ADSs that May</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10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Share</w:t>
            </w:r>
          </w:p>
        </w:tc>
        <w:tc>
          <w:tcPr>
            <w:tcW w:w="200" w:type="dxa"/>
            <w:vAlign w:val="bottom"/>
          </w:tcPr>
          <w:p>
            <w:pPr>
              <w:spacing w:after="0"/>
              <w:rPr>
                <w:sz w:val="12"/>
                <w:szCs w:val="12"/>
                <w:color w:val="auto"/>
              </w:rPr>
            </w:pPr>
          </w:p>
        </w:tc>
        <w:tc>
          <w:tcPr>
            <w:tcW w:w="15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Yet Be Purchased</w:t>
            </w:r>
          </w:p>
        </w:tc>
        <w:tc>
          <w:tcPr>
            <w:tcW w:w="0" w:type="dxa"/>
            <w:vAlign w:val="bottom"/>
          </w:tcPr>
          <w:p>
            <w:pPr>
              <w:spacing w:after="0"/>
              <w:rPr>
                <w:sz w:val="1"/>
                <w:szCs w:val="1"/>
                <w:color w:val="auto"/>
              </w:rPr>
            </w:pPr>
          </w:p>
        </w:tc>
      </w:tr>
      <w:tr>
        <w:trPr>
          <w:trHeight w:val="148"/>
        </w:trPr>
        <w:tc>
          <w:tcPr>
            <w:tcW w:w="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5720" w:type="dxa"/>
            <w:vAlign w:val="bottom"/>
            <w:vMerge w:val="restart"/>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ADSs</w:t>
            </w:r>
          </w:p>
        </w:tc>
        <w:tc>
          <w:tcPr>
            <w:tcW w:w="180" w:type="dxa"/>
            <w:vAlign w:val="bottom"/>
          </w:tcPr>
          <w:p>
            <w:pPr>
              <w:spacing w:after="0"/>
              <w:rPr>
                <w:sz w:val="12"/>
                <w:szCs w:val="12"/>
                <w:color w:val="auto"/>
              </w:rPr>
            </w:pPr>
          </w:p>
        </w:tc>
        <w:tc>
          <w:tcPr>
            <w:tcW w:w="980" w:type="dxa"/>
            <w:vAlign w:val="bottom"/>
            <w:gridSpan w:val="3"/>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Paid Per</w:t>
            </w:r>
          </w:p>
        </w:tc>
        <w:tc>
          <w:tcPr>
            <w:tcW w:w="10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Repurchase</w:t>
            </w:r>
          </w:p>
        </w:tc>
        <w:tc>
          <w:tcPr>
            <w:tcW w:w="200" w:type="dxa"/>
            <w:vAlign w:val="bottom"/>
          </w:tcPr>
          <w:p>
            <w:pPr>
              <w:spacing w:after="0"/>
              <w:rPr>
                <w:sz w:val="12"/>
                <w:szCs w:val="12"/>
                <w:color w:val="auto"/>
              </w:rPr>
            </w:pPr>
          </w:p>
        </w:tc>
        <w:tc>
          <w:tcPr>
            <w:tcW w:w="15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Under the Share</w:t>
            </w:r>
          </w:p>
        </w:tc>
        <w:tc>
          <w:tcPr>
            <w:tcW w:w="0" w:type="dxa"/>
            <w:vAlign w:val="bottom"/>
          </w:tcPr>
          <w:p>
            <w:pPr>
              <w:spacing w:after="0"/>
              <w:rPr>
                <w:sz w:val="1"/>
                <w:szCs w:val="1"/>
                <w:color w:val="auto"/>
              </w:rPr>
            </w:pPr>
          </w:p>
        </w:tc>
      </w:tr>
      <w:tr>
        <w:trPr>
          <w:trHeight w:val="180"/>
        </w:trPr>
        <w:tc>
          <w:tcPr>
            <w:tcW w:w="420" w:type="dxa"/>
            <w:vAlign w:val="bottom"/>
            <w:tcBorders>
              <w:bottom w:val="single" w:sz="8" w:color="auto"/>
            </w:tcBorders>
            <w:vMerge w:val="continue"/>
          </w:tcPr>
          <w:p>
            <w:pPr>
              <w:spacing w:after="0"/>
              <w:rPr>
                <w:sz w:val="15"/>
                <w:szCs w:val="15"/>
                <w:color w:val="auto"/>
              </w:rPr>
            </w:pPr>
          </w:p>
        </w:tc>
        <w:tc>
          <w:tcPr>
            <w:tcW w:w="5720" w:type="dxa"/>
            <w:vAlign w:val="bottom"/>
            <w:vMerge w:val="continue"/>
          </w:tcPr>
          <w:p>
            <w:pPr>
              <w:spacing w:after="0"/>
              <w:rPr>
                <w:sz w:val="15"/>
                <w:szCs w:val="15"/>
                <w:color w:val="auto"/>
              </w:rPr>
            </w:pPr>
          </w:p>
        </w:tc>
        <w:tc>
          <w:tcPr>
            <w:tcW w:w="98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center"/>
              <w:ind w:right="480"/>
              <w:spacing w:after="0" w:line="160" w:lineRule="exact"/>
              <w:rPr>
                <w:sz w:val="20"/>
                <w:szCs w:val="20"/>
                <w:color w:val="auto"/>
              </w:rPr>
            </w:pPr>
            <w:r>
              <w:rPr>
                <w:rFonts w:ascii="Times New Roman" w:cs="Times New Roman" w:eastAsia="Times New Roman" w:hAnsi="Times New Roman"/>
                <w:sz w:val="14"/>
                <w:szCs w:val="14"/>
                <w:b w:val="1"/>
                <w:bCs w:val="1"/>
                <w:color w:val="auto"/>
                <w:w w:val="99"/>
              </w:rPr>
              <w:t>ADS</w:t>
            </w:r>
          </w:p>
        </w:tc>
        <w:tc>
          <w:tcPr>
            <w:tcW w:w="104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Program</w:t>
            </w:r>
          </w:p>
        </w:tc>
        <w:tc>
          <w:tcPr>
            <w:tcW w:w="200" w:type="dxa"/>
            <w:vAlign w:val="bottom"/>
          </w:tcPr>
          <w:p>
            <w:pPr>
              <w:spacing w:after="0"/>
              <w:rPr>
                <w:sz w:val="15"/>
                <w:szCs w:val="15"/>
                <w:color w:val="auto"/>
              </w:rPr>
            </w:pPr>
          </w:p>
        </w:tc>
        <w:tc>
          <w:tcPr>
            <w:tcW w:w="1500" w:type="dxa"/>
            <w:vAlign w:val="bottom"/>
            <w:gridSpan w:val="2"/>
          </w:tcPr>
          <w:p>
            <w:pPr>
              <w:jc w:val="center"/>
              <w:ind w:right="140"/>
              <w:spacing w:after="0" w:line="160" w:lineRule="exact"/>
              <w:rPr>
                <w:sz w:val="20"/>
                <w:szCs w:val="20"/>
                <w:color w:val="auto"/>
              </w:rPr>
            </w:pPr>
            <w:r>
              <w:rPr>
                <w:rFonts w:ascii="Times New Roman" w:cs="Times New Roman" w:eastAsia="Times New Roman" w:hAnsi="Times New Roman"/>
                <w:sz w:val="14"/>
                <w:szCs w:val="14"/>
                <w:b w:val="1"/>
                <w:bCs w:val="1"/>
                <w:color w:val="auto"/>
              </w:rPr>
              <w:t>Repurchase Program</w:t>
            </w:r>
          </w:p>
        </w:tc>
        <w:tc>
          <w:tcPr>
            <w:tcW w:w="0" w:type="dxa"/>
            <w:vAlign w:val="bottom"/>
          </w:tcPr>
          <w:p>
            <w:pPr>
              <w:spacing w:after="0"/>
              <w:rPr>
                <w:sz w:val="1"/>
                <w:szCs w:val="1"/>
                <w:color w:val="auto"/>
              </w:rPr>
            </w:pPr>
          </w:p>
        </w:tc>
      </w:tr>
      <w:tr>
        <w:trPr>
          <w:trHeight w:val="203"/>
        </w:trPr>
        <w:tc>
          <w:tcPr>
            <w:tcW w:w="61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January 2025</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1,675,941</w:t>
            </w: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83.40</w:t>
            </w:r>
          </w:p>
        </w:tc>
        <w:tc>
          <w:tcPr>
            <w:tcW w:w="3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1,675,941</w:t>
            </w: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US$3,306,109,203</w:t>
            </w: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2025</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367,224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89.68</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367,224</w:t>
            </w:r>
          </w:p>
        </w:tc>
        <w:tc>
          <w:tcPr>
            <w:tcW w:w="17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US$3,273,175,095</w:t>
            </w:r>
          </w:p>
        </w:tc>
        <w:tc>
          <w:tcPr>
            <w:tcW w:w="0" w:type="dxa"/>
            <w:vAlign w:val="bottom"/>
          </w:tcPr>
          <w:p>
            <w:pPr>
              <w:spacing w:after="0"/>
              <w:rPr>
                <w:sz w:val="1"/>
                <w:szCs w:val="1"/>
                <w:color w:val="auto"/>
              </w:rPr>
            </w:pPr>
          </w:p>
        </w:tc>
      </w:tr>
      <w:tr>
        <w:trPr>
          <w:trHeight w:val="216"/>
        </w:trPr>
        <w:tc>
          <w:tcPr>
            <w:tcW w:w="6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2025</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1,390,427</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95.02</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1,390,427</w:t>
            </w:r>
          </w:p>
        </w:tc>
        <w:tc>
          <w:tcPr>
            <w:tcW w:w="170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US$3,141,059,731</w:t>
            </w:r>
          </w:p>
        </w:tc>
        <w:tc>
          <w:tcPr>
            <w:tcW w:w="0" w:type="dxa"/>
            <w:vAlign w:val="bottom"/>
          </w:tcPr>
          <w:p>
            <w:pPr>
              <w:spacing w:after="0"/>
              <w:rPr>
                <w:sz w:val="1"/>
                <w:szCs w:val="1"/>
                <w:color w:val="auto"/>
              </w:rPr>
            </w:pPr>
          </w:p>
        </w:tc>
      </w:tr>
      <w:tr>
        <w:trPr>
          <w:trHeight w:val="216"/>
        </w:trPr>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April 2025</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2,662,051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79.12</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2,662,051</w:t>
            </w:r>
          </w:p>
        </w:tc>
        <w:tc>
          <w:tcPr>
            <w:tcW w:w="17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US$2,930,438,121</w:t>
            </w:r>
          </w:p>
        </w:tc>
        <w:tc>
          <w:tcPr>
            <w:tcW w:w="0" w:type="dxa"/>
            <w:vAlign w:val="bottom"/>
          </w:tcPr>
          <w:p>
            <w:pPr>
              <w:spacing w:after="0"/>
              <w:rPr>
                <w:sz w:val="1"/>
                <w:szCs w:val="1"/>
                <w:color w:val="auto"/>
              </w:rPr>
            </w:pPr>
          </w:p>
        </w:tc>
      </w:tr>
      <w:tr>
        <w:trPr>
          <w:trHeight w:val="216"/>
        </w:trPr>
        <w:tc>
          <w:tcPr>
            <w:tcW w:w="6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2025</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869,001</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84.18</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869,001</w:t>
            </w:r>
          </w:p>
        </w:tc>
        <w:tc>
          <w:tcPr>
            <w:tcW w:w="170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US$2,857,286,506</w:t>
            </w:r>
          </w:p>
        </w:tc>
        <w:tc>
          <w:tcPr>
            <w:tcW w:w="0" w:type="dxa"/>
            <w:vAlign w:val="bottom"/>
          </w:tcPr>
          <w:p>
            <w:pPr>
              <w:spacing w:after="0"/>
              <w:rPr>
                <w:sz w:val="1"/>
                <w:szCs w:val="1"/>
                <w:color w:val="auto"/>
              </w:rPr>
            </w:pPr>
          </w:p>
        </w:tc>
      </w:tr>
      <w:tr>
        <w:trPr>
          <w:trHeight w:val="216"/>
        </w:trPr>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2025</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1,594,372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84.25</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1,594,372</w:t>
            </w:r>
          </w:p>
        </w:tc>
        <w:tc>
          <w:tcPr>
            <w:tcW w:w="17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US$2,722,962,595</w:t>
            </w:r>
          </w:p>
        </w:tc>
        <w:tc>
          <w:tcPr>
            <w:tcW w:w="0" w:type="dxa"/>
            <w:vAlign w:val="bottom"/>
          </w:tcPr>
          <w:p>
            <w:pPr>
              <w:spacing w:after="0"/>
              <w:rPr>
                <w:sz w:val="1"/>
                <w:szCs w:val="1"/>
                <w:color w:val="auto"/>
              </w:rPr>
            </w:pPr>
          </w:p>
        </w:tc>
      </w:tr>
      <w:tr>
        <w:trPr>
          <w:trHeight w:val="216"/>
        </w:trPr>
        <w:tc>
          <w:tcPr>
            <w:tcW w:w="6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2025</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208,821</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85.80</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208,821</w:t>
            </w:r>
          </w:p>
        </w:tc>
        <w:tc>
          <w:tcPr>
            <w:tcW w:w="170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US$2,705,046,163</w:t>
            </w:r>
          </w:p>
        </w:tc>
        <w:tc>
          <w:tcPr>
            <w:tcW w:w="0" w:type="dxa"/>
            <w:vAlign w:val="bottom"/>
          </w:tcPr>
          <w:p>
            <w:pPr>
              <w:spacing w:after="0"/>
              <w:rPr>
                <w:sz w:val="1"/>
                <w:szCs w:val="1"/>
                <w:color w:val="auto"/>
              </w:rPr>
            </w:pPr>
          </w:p>
        </w:tc>
      </w:tr>
      <w:tr>
        <w:trPr>
          <w:trHeight w:val="216"/>
        </w:trPr>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August 2025</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90,267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87.04</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90,267</w:t>
            </w:r>
          </w:p>
        </w:tc>
        <w:tc>
          <w:tcPr>
            <w:tcW w:w="17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US$2,697,189,588</w:t>
            </w:r>
          </w:p>
        </w:tc>
        <w:tc>
          <w:tcPr>
            <w:tcW w:w="0" w:type="dxa"/>
            <w:vAlign w:val="bottom"/>
          </w:tcPr>
          <w:p>
            <w:pPr>
              <w:spacing w:after="0"/>
              <w:rPr>
                <w:sz w:val="1"/>
                <w:szCs w:val="1"/>
                <w:color w:val="auto"/>
              </w:rPr>
            </w:pPr>
          </w:p>
        </w:tc>
      </w:tr>
      <w:tr>
        <w:trPr>
          <w:trHeight w:val="216"/>
        </w:trPr>
        <w:tc>
          <w:tcPr>
            <w:tcW w:w="6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2025</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19,611</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89.84</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19,611</w:t>
            </w:r>
          </w:p>
        </w:tc>
        <w:tc>
          <w:tcPr>
            <w:tcW w:w="170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US$2,695,427,664</w:t>
            </w:r>
          </w:p>
        </w:tc>
        <w:tc>
          <w:tcPr>
            <w:tcW w:w="0" w:type="dxa"/>
            <w:vAlign w:val="bottom"/>
          </w:tcPr>
          <w:p>
            <w:pPr>
              <w:spacing w:after="0"/>
              <w:rPr>
                <w:sz w:val="1"/>
                <w:szCs w:val="1"/>
                <w:color w:val="auto"/>
              </w:rPr>
            </w:pPr>
          </w:p>
        </w:tc>
      </w:tr>
      <w:tr>
        <w:trPr>
          <w:trHeight w:val="216"/>
        </w:trPr>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2025</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69,260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w w:val="96"/>
              </w:rPr>
              <w:t>112.09</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69,260</w:t>
            </w:r>
          </w:p>
        </w:tc>
        <w:tc>
          <w:tcPr>
            <w:tcW w:w="17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US$2,687,664,164</w:t>
            </w:r>
          </w:p>
        </w:tc>
        <w:tc>
          <w:tcPr>
            <w:tcW w:w="0" w:type="dxa"/>
            <w:vAlign w:val="bottom"/>
          </w:tcPr>
          <w:p>
            <w:pPr>
              <w:spacing w:after="0"/>
              <w:rPr>
                <w:sz w:val="1"/>
                <w:szCs w:val="1"/>
                <w:color w:val="auto"/>
              </w:rPr>
            </w:pPr>
          </w:p>
        </w:tc>
      </w:tr>
      <w:tr>
        <w:trPr>
          <w:trHeight w:val="216"/>
        </w:trPr>
        <w:tc>
          <w:tcPr>
            <w:tcW w:w="6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2025</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106,156</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w w:val="96"/>
              </w:rPr>
              <w:t>119.87</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106,156</w:t>
            </w:r>
          </w:p>
        </w:tc>
        <w:tc>
          <w:tcPr>
            <w:tcW w:w="170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US$2,674,939,693</w:t>
            </w:r>
          </w:p>
        </w:tc>
        <w:tc>
          <w:tcPr>
            <w:tcW w:w="0" w:type="dxa"/>
            <w:vAlign w:val="bottom"/>
          </w:tcPr>
          <w:p>
            <w:pPr>
              <w:spacing w:after="0"/>
              <w:rPr>
                <w:sz w:val="1"/>
                <w:szCs w:val="1"/>
                <w:color w:val="auto"/>
              </w:rPr>
            </w:pPr>
          </w:p>
        </w:tc>
      </w:tr>
      <w:tr>
        <w:trPr>
          <w:trHeight w:val="238"/>
        </w:trPr>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9,053,131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85.16</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9,053,131</w:t>
            </w:r>
          </w:p>
        </w:tc>
        <w:tc>
          <w:tcPr>
            <w:tcW w:w="17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US$2,674,939,693*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80010</wp:posOffset>
            </wp:positionV>
            <wp:extent cx="77152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2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w:t>
      </w:r>
    </w:p>
    <w:p>
      <w:pPr>
        <w:spacing w:after="0" w:line="27" w:lineRule="exact"/>
        <w:rPr>
          <w:sz w:val="20"/>
          <w:szCs w:val="20"/>
          <w:color w:val="auto"/>
        </w:rPr>
      </w:pPr>
    </w:p>
    <w:p>
      <w:pPr>
        <w:ind w:left="340" w:hanging="224"/>
        <w:spacing w:after="0"/>
        <w:tabs>
          <w:tab w:leader="none" w:pos="340"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balance of the ADSs that may be purchased under the 2023 Program has expired on December 31, 2025.</w:t>
      </w:r>
    </w:p>
    <w:p>
      <w:pPr>
        <w:spacing w:after="0" w:line="148" w:lineRule="exact"/>
        <w:rPr>
          <w:rFonts w:ascii="Times New Roman" w:cs="Times New Roman" w:eastAsia="Times New Roman" w:hAnsi="Times New Roman"/>
          <w:sz w:val="16"/>
          <w:szCs w:val="16"/>
          <w:color w:val="auto"/>
        </w:rPr>
      </w:pPr>
    </w:p>
    <w:p>
      <w:pPr>
        <w:ind w:left="54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207</w:t>
      </w:r>
    </w:p>
    <w:p>
      <w:pPr>
        <w:sectPr>
          <w:pgSz w:w="11900" w:h="16838" w:orient="portrait"/>
          <w:cols w:equalWidth="0" w:num="1">
            <w:col w:w="11140"/>
          </w:cols>
          <w:pgMar w:left="320" w:top="482" w:right="43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16F.</w:t>
        <w:tab/>
        <w:t>CHANGE IN REGISTRANT’S CERTIFYING ACCOUNTANT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16G.</w:t>
        <w:tab/>
        <w:t>CORPORATE GOVERNANCE</w:t>
      </w:r>
    </w:p>
    <w:p>
      <w:pPr>
        <w:spacing w:after="0" w:line="121"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Nasdaq Stock Market Rule 5615(a)(3) permits foreign private issuers like us to follow “home country practice” in certain corporate governance matters. In July 2018 and August 2023, our board of directors approved the 2018 share incentive plan and the 2023 share incentive plan, respectively. We relied on home country practice exemption and did not convene a shareholder meeting to approve the 2018 and 2023 share incentive plans. In addition, we relied on the home country practice exemption regarding the composition of our audit committee. Our audit committee currently consists of two independent directors, in lieu of the Nasdaq requirement for an audit committee of at least three independent directors. Maples and Calder (Hong Kong) LLP, our Cayman Islands counsel, has provided a letter to the Nasdaq Stock Market certifying that under Cayman Islands law, we are not required to obtain shareholder approval in respect of the adoption of a stock option or other equity compensation arrangement, or an amendment to the stock option or other equity compensation plan.</w:t>
      </w:r>
    </w:p>
    <w:p>
      <w:pPr>
        <w:spacing w:after="0" w:line="192"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Other than the practice described above, there are no significant differences between our corporate governance practices and those followed by U.S. domestic companies under Nasdaq Stock Market Rules.</w:t>
      </w:r>
    </w:p>
    <w:p>
      <w:pPr>
        <w:spacing w:after="0" w:line="306"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16H.</w:t>
        <w:tab/>
        <w:t>MINE SAFETY DISCLOSURE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16I.</w:t>
        <w:tab/>
        <w:t>DISCLOSURE REGARDING FOREIGN JURISDICTIONS THAT PREVENT INSPECTIONS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208</w:t>
      </w:r>
    </w:p>
    <w:p>
      <w:pPr>
        <w:sectPr>
          <w:pgSz w:w="11900" w:h="16838" w:orient="portrait"/>
          <w:cols w:equalWidth="0" w:num="1">
            <w:col w:w="11140"/>
          </w:cols>
          <w:pgMar w:left="320" w:top="482" w:right="43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16J.</w:t>
      </w:r>
      <w:r>
        <w:rPr>
          <w:sz w:val="20"/>
          <w:szCs w:val="20"/>
          <w:color w:val="auto"/>
        </w:rPr>
        <w:tab/>
      </w:r>
      <w:r>
        <w:rPr>
          <w:rFonts w:ascii="Times New Roman" w:cs="Times New Roman" w:eastAsia="Times New Roman" w:hAnsi="Times New Roman"/>
          <w:sz w:val="18"/>
          <w:szCs w:val="18"/>
          <w:b w:val="1"/>
          <w:bCs w:val="1"/>
          <w:color w:val="auto"/>
        </w:rPr>
        <w:t>INSIDER TRADING POLICIES</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Our board of directors has established insider trading policies and procedures to provide guidance on the purchases, sales, and other dispositions of our securities by our directors, officers, employees and other relevant persons, with the goal of promoting compliance with applicable laws, rules and regulations, and the listing standards of Nasdaq and the Hong Kong Stock Exchange relating to insider trading.</w:t>
      </w:r>
    </w:p>
    <w:p>
      <w:pPr>
        <w:spacing w:after="0" w:line="176"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Third Amended and Restated Statement of Policies Governing Material, Non-Public Information and the Prevention of Insider Trading is filed as Exhibit 11.2 to this annual report on Form 20-F.</w:t>
      </w:r>
    </w:p>
    <w:p>
      <w:pPr>
        <w:spacing w:after="0" w:line="306" w:lineRule="exact"/>
        <w:rPr>
          <w:sz w:val="20"/>
          <w:szCs w:val="20"/>
          <w:color w:val="auto"/>
        </w:rPr>
      </w:pPr>
    </w:p>
    <w:p>
      <w:pPr>
        <w:ind w:left="120"/>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16K.</w:t>
      </w:r>
      <w:r>
        <w:rPr>
          <w:sz w:val="20"/>
          <w:szCs w:val="20"/>
          <w:color w:val="auto"/>
        </w:rPr>
        <w:tab/>
      </w:r>
      <w:r>
        <w:rPr>
          <w:rFonts w:ascii="Times New Roman" w:cs="Times New Roman" w:eastAsia="Times New Roman" w:hAnsi="Times New Roman"/>
          <w:sz w:val="18"/>
          <w:szCs w:val="18"/>
          <w:b w:val="1"/>
          <w:bCs w:val="1"/>
          <w:color w:val="auto"/>
        </w:rPr>
        <w:t>CYBERSECURITY</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have implemented comprehensive cybersecurity risk assessment procedures to ensure effectiveness in cybersecurity management, strategy and governance and reporting cybersecurity risks. We have also integrated cybersecurity risk management into our overall enterprise risk management system.</w:t>
      </w:r>
    </w:p>
    <w:p>
      <w:pPr>
        <w:spacing w:after="0" w:line="176"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We have developed a comprehensive cybersecurity threat defense system to address both internal and external threats. This system encompasses various levels, including network, host and application security and incorporates systematic security capabilities for threat defense, monitoring, analysis, response, deception and countermeasures. We strive to manage cybersecurity risks and protect sensitive information through various methods, including technical safeguards, procedural requirements, an intensive monitoring program on our corporate network, continuous testing of our security posture both internally and with outside vendors, a robust incident response program, a review of the effectiveness of our security system with reference to applicable security standards by qualified third parties and regular cybersecurity awareness training for employees. Both our Security Department and Operation and Maintenance Department continually monitor the performance of our apps, platforms and infrastructure to enable us to respond quickly to potential problems, including potential cybersecurity threats.</w:t>
      </w:r>
    </w:p>
    <w:p>
      <w:pPr>
        <w:spacing w:after="0" w:line="192"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As of the date of this annual report, we have not experienced any material cybersecurity incidents or identified any material cybersecurity threats that have affected or are reasonably likely to materially affect us, our business strategy, results of operations or financial condition.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121" w:lineRule="exact"/>
        <w:rPr>
          <w:sz w:val="20"/>
          <w:szCs w:val="20"/>
          <w:color w:val="auto"/>
        </w:rPr>
      </w:pPr>
    </w:p>
    <w:p>
      <w:pPr>
        <w:jc w:val="both"/>
        <w:ind w:left="120" w:firstLine="440"/>
        <w:spacing w:after="0" w:line="252" w:lineRule="auto"/>
        <w:rPr>
          <w:sz w:val="20"/>
          <w:szCs w:val="20"/>
          <w:color w:val="auto"/>
        </w:rPr>
      </w:pPr>
      <w:r>
        <w:rPr>
          <w:rFonts w:ascii="Times New Roman" w:cs="Times New Roman" w:eastAsia="Times New Roman" w:hAnsi="Times New Roman"/>
          <w:sz w:val="18"/>
          <w:szCs w:val="18"/>
          <w:color w:val="auto"/>
        </w:rPr>
        <w:t>The corporate governance and nominating committee of our board of directors is responsible for overseeing the Company’s cybersecurity risk management and be informed on risks from cybersecurity threats. The corporate governance and nominating committee shall review, approve and maintain oversight of the disclosure (i) on Form 6-K for material cybersecurity incidents (if any) and (ii) related to cybersecurity matters in the periodic reports (including annual report on Form 20-F) of the Company. In addition, at the management level, we have established the Data Management Committee, which consists of seven top executives, including the person in charge of our Security Department who has experience in dealing with confidentiality-related cybersecurity issues, and is chaired by our senior vice president and general counsel, to oversee and manage cybersecurity related matters and formulate policies as necessary. Our Data Management Committee reports to our corporate governance and nominating committee on a quarterly basis regarding its assessment, identification and management on material risks from cybersecurity threats happened in the ordinary course of our business operations. If a cybersecurity incident occurs, our data management committee will promptly organize relevant personnel for internal assessment and, depending on the situation, seek the opinions of external experts and legal advisors. If it is determined that the incident could potentially be a material cybersecurity event, our data management committee will promptly report the investigation and assessment results to our corporate governance and nominating committee and our corporate governance and nominating committee will decide on the relevant response measures and whether any disclosure is necessary. If such disclosure is determined to be necessary, our data management committee shall promptly prepare disclosure material for review and approval by our corporate governance and nominating committee before it is disseminated to the public.</w:t>
      </w:r>
    </w:p>
    <w:p>
      <w:pPr>
        <w:spacing w:after="0" w:line="1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209</w:t>
      </w:r>
    </w:p>
    <w:p>
      <w:pPr>
        <w:sectPr>
          <w:pgSz w:w="11900" w:h="16838" w:orient="portrait"/>
          <w:cols w:equalWidth="0" w:num="1">
            <w:col w:w="11140"/>
          </w:cols>
          <w:pgMar w:left="320" w:top="482" w:right="43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52" w:lineRule="exact"/>
        <w:rPr>
          <w:sz w:val="20"/>
          <w:szCs w:val="20"/>
          <w:color w:val="auto"/>
        </w:rPr>
      </w:pPr>
    </w:p>
    <w:p>
      <w:pPr>
        <w:ind w:left="120"/>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17.</w:t>
      </w:r>
      <w:r>
        <w:rPr>
          <w:sz w:val="20"/>
          <w:szCs w:val="20"/>
          <w:color w:val="auto"/>
        </w:rPr>
        <w:tab/>
      </w:r>
      <w:r>
        <w:rPr>
          <w:rFonts w:ascii="Times New Roman" w:cs="Times New Roman" w:eastAsia="Times New Roman" w:hAnsi="Times New Roman"/>
          <w:sz w:val="18"/>
          <w:szCs w:val="18"/>
          <w:b w:val="1"/>
          <w:bCs w:val="1"/>
          <w:color w:val="auto"/>
        </w:rPr>
        <w:t>FINANCIAL STATEMENTS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have elected to provide financial statements pursuant to Item 18.</w:t>
      </w:r>
    </w:p>
    <w:p>
      <w:pPr>
        <w:spacing w:after="0" w:line="370" w:lineRule="exact"/>
        <w:rPr>
          <w:sz w:val="20"/>
          <w:szCs w:val="20"/>
          <w:color w:val="auto"/>
        </w:rPr>
      </w:pPr>
    </w:p>
    <w:p>
      <w:pPr>
        <w:ind w:left="120"/>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18.</w:t>
      </w:r>
      <w:r>
        <w:rPr>
          <w:sz w:val="20"/>
          <w:szCs w:val="20"/>
          <w:color w:val="auto"/>
        </w:rPr>
        <w:tab/>
      </w:r>
      <w:r>
        <w:rPr>
          <w:rFonts w:ascii="Times New Roman" w:cs="Times New Roman" w:eastAsia="Times New Roman" w:hAnsi="Times New Roman"/>
          <w:sz w:val="18"/>
          <w:szCs w:val="18"/>
          <w:b w:val="1"/>
          <w:bCs w:val="1"/>
          <w:color w:val="auto"/>
        </w:rPr>
        <w:t>FINANCIAL STATEMENTS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consolidated financial statements of Baidu, Inc., its subsidiaries and the variable interest entities are included at the end of this annual report.</w:t>
      </w:r>
    </w:p>
    <w:p>
      <w:pPr>
        <w:spacing w:after="0" w:line="127" w:lineRule="exact"/>
        <w:rPr>
          <w:sz w:val="20"/>
          <w:szCs w:val="20"/>
          <w:color w:val="auto"/>
        </w:rPr>
      </w:pPr>
    </w:p>
    <w:p>
      <w:pPr>
        <w:ind w:left="120"/>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19.</w:t>
      </w:r>
      <w:r>
        <w:rPr>
          <w:sz w:val="20"/>
          <w:szCs w:val="20"/>
          <w:color w:val="auto"/>
        </w:rPr>
        <w:tab/>
      </w:r>
      <w:r>
        <w:rPr>
          <w:rFonts w:ascii="Times New Roman" w:cs="Times New Roman" w:eastAsia="Times New Roman" w:hAnsi="Times New Roman"/>
          <w:sz w:val="18"/>
          <w:szCs w:val="18"/>
          <w:b w:val="1"/>
          <w:bCs w:val="1"/>
          <w:color w:val="auto"/>
        </w:rPr>
        <w:t>EXHIBITS</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0" w:type="dxa"/>
            <w:vAlign w:val="bottom"/>
          </w:tcPr>
          <w:p>
            <w:pPr>
              <w:spacing w:after="0"/>
              <w:rPr>
                <w:sz w:val="13"/>
                <w:szCs w:val="13"/>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60" w:type="dxa"/>
            <w:vAlign w:val="bottom"/>
            <w:gridSpan w:val="7"/>
            <w:vMerge w:val="restart"/>
          </w:tcPr>
          <w:p>
            <w:pPr>
              <w:ind w:left="176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0" w:type="dxa"/>
            <w:vAlign w:val="bottom"/>
          </w:tcPr>
          <w:p>
            <w:pPr>
              <w:spacing w:after="0"/>
              <w:rPr>
                <w:sz w:val="1"/>
                <w:szCs w:val="1"/>
                <w:color w:val="auto"/>
              </w:rPr>
            </w:pPr>
          </w:p>
        </w:tc>
      </w:tr>
      <w:tr>
        <w:trPr>
          <w:trHeight w:val="180"/>
        </w:trPr>
        <w:tc>
          <w:tcPr>
            <w:tcW w:w="80" w:type="dxa"/>
            <w:vAlign w:val="bottom"/>
          </w:tcPr>
          <w:p>
            <w:pPr>
              <w:spacing w:after="0"/>
              <w:rPr>
                <w:sz w:val="15"/>
                <w:szCs w:val="15"/>
                <w:color w:val="auto"/>
              </w:rPr>
            </w:pP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60" w:type="dxa"/>
            <w:vAlign w:val="bottom"/>
            <w:tcBorders>
              <w:bottom w:val="single" w:sz="8" w:color="auto"/>
            </w:tcBorders>
            <w:gridSpan w:val="7"/>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1.1</w:t>
            </w:r>
          </w:p>
        </w:tc>
        <w:tc>
          <w:tcPr>
            <w:tcW w:w="960" w:type="dxa"/>
            <w:vAlign w:val="bottom"/>
          </w:tcPr>
          <w:p>
            <w:pPr>
              <w:spacing w:after="0"/>
              <w:rPr>
                <w:sz w:val="23"/>
                <w:szCs w:val="23"/>
                <w:color w:val="auto"/>
              </w:rPr>
            </w:pPr>
          </w:p>
        </w:tc>
        <w:tc>
          <w:tcPr>
            <w:tcW w:w="9480" w:type="dxa"/>
            <w:vAlign w:val="bottom"/>
            <w:gridSpan w:val="11"/>
          </w:tcPr>
          <w:p>
            <w:pPr>
              <w:spacing w:after="0"/>
              <w:rPr>
                <w:rFonts w:ascii="Times New Roman" w:cs="Times New Roman" w:eastAsia="Times New Roman" w:hAnsi="Times New Roman"/>
                <w:sz w:val="18"/>
                <w:szCs w:val="18"/>
                <w:color w:val="0000EE"/>
              </w:rPr>
            </w:pPr>
            <w:hyperlink r:id="rId242">
              <w:r>
                <w:rPr>
                  <w:rFonts w:ascii="Times New Roman" w:cs="Times New Roman" w:eastAsia="Times New Roman" w:hAnsi="Times New Roman"/>
                  <w:sz w:val="18"/>
                  <w:szCs w:val="18"/>
                  <w:color w:val="0000EE"/>
                </w:rPr>
                <w:t>Fifth Amended and Restated Memorandum and Articles of Association of the Registrant (incorporated by reference to Exhibit 3.1</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38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242">
              <w:r>
                <w:rPr>
                  <w:rFonts w:ascii="Times New Roman" w:cs="Times New Roman" w:eastAsia="Times New Roman" w:hAnsi="Times New Roman"/>
                  <w:sz w:val="18"/>
                  <w:szCs w:val="18"/>
                  <w:color w:val="0000EE"/>
                  <w:w w:val="99"/>
                </w:rPr>
                <w:t>of Form 6-K furnished with the Securities and Exchange Commission on June 27, 2023)</w:t>
              </w:r>
            </w:hyperlink>
          </w:p>
        </w:tc>
        <w:tc>
          <w:tcPr>
            <w:tcW w:w="3060" w:type="dxa"/>
            <w:vAlign w:val="bottom"/>
            <w:tcBorders>
              <w:top w:val="single" w:sz="8" w:color="0000EE"/>
            </w:tcBorders>
            <w:gridSpan w:val="5"/>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2.1</w:t>
            </w:r>
          </w:p>
        </w:tc>
        <w:tc>
          <w:tcPr>
            <w:tcW w:w="960" w:type="dxa"/>
            <w:vAlign w:val="bottom"/>
          </w:tcPr>
          <w:p>
            <w:pPr>
              <w:spacing w:after="0"/>
              <w:rPr>
                <w:sz w:val="24"/>
                <w:szCs w:val="24"/>
                <w:color w:val="auto"/>
              </w:rPr>
            </w:pPr>
          </w:p>
        </w:tc>
        <w:tc>
          <w:tcPr>
            <w:tcW w:w="948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243">
              <w:r>
                <w:rPr>
                  <w:rFonts w:ascii="Times New Roman" w:cs="Times New Roman" w:eastAsia="Times New Roman" w:hAnsi="Times New Roman"/>
                  <w:sz w:val="18"/>
                  <w:szCs w:val="18"/>
                  <w:color w:val="0000EE"/>
                </w:rPr>
                <w:t>Registrant’s Specimen American Depositary Receipt (incorporated by reference to Exhibit 1 of the prospectus filed with the</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96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243">
              <w:r>
                <w:rPr>
                  <w:rFonts w:ascii="Times New Roman" w:cs="Times New Roman" w:eastAsia="Times New Roman" w:hAnsi="Times New Roman"/>
                  <w:sz w:val="18"/>
                  <w:szCs w:val="18"/>
                  <w:color w:val="0000EE"/>
                  <w:w w:val="99"/>
                </w:rPr>
                <w:t>Securities and Exchange Commission on January 5, 2009 pursuant to Rule 424(b)(3) under the Securities Act)</w:t>
              </w:r>
            </w:hyperlink>
          </w:p>
        </w:tc>
        <w:tc>
          <w:tcPr>
            <w:tcW w:w="15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2.2</w:t>
            </w:r>
          </w:p>
        </w:tc>
        <w:tc>
          <w:tcPr>
            <w:tcW w:w="960" w:type="dxa"/>
            <w:vAlign w:val="bottom"/>
          </w:tcPr>
          <w:p>
            <w:pPr>
              <w:spacing w:after="0"/>
              <w:rPr>
                <w:sz w:val="24"/>
                <w:szCs w:val="24"/>
                <w:color w:val="auto"/>
              </w:rPr>
            </w:pPr>
          </w:p>
        </w:tc>
        <w:tc>
          <w:tcPr>
            <w:tcW w:w="948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244">
              <w:r>
                <w:rPr>
                  <w:rFonts w:ascii="Times New Roman" w:cs="Times New Roman" w:eastAsia="Times New Roman" w:hAnsi="Times New Roman"/>
                  <w:sz w:val="18"/>
                  <w:szCs w:val="18"/>
                  <w:color w:val="0000EE"/>
                </w:rPr>
                <w:t>Registrant’s Specimen Certificate for Class A Ordinary Shares (incorporated by reference to Exhibit 4.2 of Amendment No. 5 to</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80" w:type="dxa"/>
            <w:vAlign w:val="bottom"/>
            <w:gridSpan w:val="11"/>
          </w:tcPr>
          <w:p>
            <w:pPr>
              <w:spacing w:after="0" w:line="196" w:lineRule="exact"/>
              <w:rPr>
                <w:rFonts w:ascii="Times New Roman" w:cs="Times New Roman" w:eastAsia="Times New Roman" w:hAnsi="Times New Roman"/>
                <w:sz w:val="18"/>
                <w:szCs w:val="18"/>
                <w:color w:val="0000EE"/>
              </w:rPr>
            </w:pPr>
            <w:hyperlink r:id="rId244">
              <w:r>
                <w:rPr>
                  <w:rFonts w:ascii="Times New Roman" w:cs="Times New Roman" w:eastAsia="Times New Roman" w:hAnsi="Times New Roman"/>
                  <w:sz w:val="18"/>
                  <w:szCs w:val="18"/>
                  <w:color w:val="0000EE"/>
                </w:rPr>
                <w:t>our Registration Statement on Form F-1 (file no. 333-126534) filed with the Securities and Exchange Commission on August 2,</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5"/>
              </w:rPr>
            </w:pPr>
            <w:hyperlink r:id="rId244">
              <w:r>
                <w:rPr>
                  <w:rFonts w:ascii="Times New Roman" w:cs="Times New Roman" w:eastAsia="Times New Roman" w:hAnsi="Times New Roman"/>
                  <w:sz w:val="18"/>
                  <w:szCs w:val="18"/>
                  <w:color w:val="0000EE"/>
                  <w:w w:val="95"/>
                </w:rPr>
                <w:t>2005)</w:t>
              </w:r>
            </w:hyperlink>
          </w:p>
        </w:tc>
        <w:tc>
          <w:tcPr>
            <w:tcW w:w="17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160" w:type="dxa"/>
            <w:vAlign w:val="bottom"/>
            <w:tcBorders>
              <w:top w:val="single" w:sz="8" w:color="0000EE"/>
            </w:tcBorders>
          </w:tcPr>
          <w:p>
            <w:pPr>
              <w:spacing w:after="0"/>
              <w:rPr>
                <w:sz w:val="17"/>
                <w:szCs w:val="17"/>
                <w:color w:val="auto"/>
              </w:rPr>
            </w:pPr>
          </w:p>
        </w:tc>
        <w:tc>
          <w:tcPr>
            <w:tcW w:w="158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2.3</w:t>
            </w:r>
          </w:p>
        </w:tc>
        <w:tc>
          <w:tcPr>
            <w:tcW w:w="960" w:type="dxa"/>
            <w:vAlign w:val="bottom"/>
          </w:tcPr>
          <w:p>
            <w:pPr>
              <w:spacing w:after="0"/>
              <w:rPr>
                <w:sz w:val="24"/>
                <w:szCs w:val="24"/>
                <w:color w:val="auto"/>
              </w:rPr>
            </w:pPr>
          </w:p>
        </w:tc>
        <w:tc>
          <w:tcPr>
            <w:tcW w:w="948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245">
              <w:r>
                <w:rPr>
                  <w:rFonts w:ascii="Times New Roman" w:cs="Times New Roman" w:eastAsia="Times New Roman" w:hAnsi="Times New Roman"/>
                  <w:sz w:val="18"/>
                  <w:szCs w:val="18"/>
                  <w:color w:val="0000EE"/>
                </w:rPr>
                <w:t>Form of Deposit Agreement among the Registrant, the depositary and holder of the American Depositary Receipts (incorporated</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80" w:type="dxa"/>
            <w:vAlign w:val="bottom"/>
            <w:gridSpan w:val="11"/>
          </w:tcPr>
          <w:p>
            <w:pPr>
              <w:spacing w:after="0" w:line="196" w:lineRule="exact"/>
              <w:rPr>
                <w:rFonts w:ascii="Times New Roman" w:cs="Times New Roman" w:eastAsia="Times New Roman" w:hAnsi="Times New Roman"/>
                <w:sz w:val="18"/>
                <w:szCs w:val="18"/>
                <w:color w:val="0000EE"/>
              </w:rPr>
            </w:pPr>
            <w:hyperlink r:id="rId245">
              <w:r>
                <w:rPr>
                  <w:rFonts w:ascii="Times New Roman" w:cs="Times New Roman" w:eastAsia="Times New Roman" w:hAnsi="Times New Roman"/>
                  <w:sz w:val="18"/>
                  <w:szCs w:val="18"/>
                  <w:color w:val="0000EE"/>
                </w:rPr>
                <w:t>by reference to Exhibit 4.3 to our Registration Statement on Form F-1 (file no. 333-126534) filed with the Securities and Exchange</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4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245">
              <w:r>
                <w:rPr>
                  <w:rFonts w:ascii="Times New Roman" w:cs="Times New Roman" w:eastAsia="Times New Roman" w:hAnsi="Times New Roman"/>
                  <w:sz w:val="18"/>
                  <w:szCs w:val="18"/>
                  <w:color w:val="0000EE"/>
                </w:rPr>
                <w:t>Commission on July 12, 2005)</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14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32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2.4</w:t>
            </w:r>
          </w:p>
        </w:tc>
        <w:tc>
          <w:tcPr>
            <w:tcW w:w="960" w:type="dxa"/>
            <w:vAlign w:val="bottom"/>
          </w:tcPr>
          <w:p>
            <w:pPr>
              <w:spacing w:after="0"/>
              <w:rPr>
                <w:sz w:val="24"/>
                <w:szCs w:val="24"/>
                <w:color w:val="auto"/>
              </w:rPr>
            </w:pPr>
          </w:p>
        </w:tc>
        <w:tc>
          <w:tcPr>
            <w:tcW w:w="948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246">
              <w:r>
                <w:rPr>
                  <w:rFonts w:ascii="Times New Roman" w:cs="Times New Roman" w:eastAsia="Times New Roman" w:hAnsi="Times New Roman"/>
                  <w:sz w:val="18"/>
                  <w:szCs w:val="18"/>
                  <w:color w:val="0000EE"/>
                </w:rPr>
                <w:t>Indenture dated November 28, 2012 between the Registrant and The Bank of New York Mellon, as trustee (incorporated by</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54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246">
              <w:r>
                <w:rPr>
                  <w:rFonts w:ascii="Times New Roman" w:cs="Times New Roman" w:eastAsia="Times New Roman" w:hAnsi="Times New Roman"/>
                  <w:sz w:val="18"/>
                  <w:szCs w:val="18"/>
                  <w:color w:val="0000EE"/>
                  <w:w w:val="99"/>
                </w:rPr>
                <w:t>reference to Exhibit 4.1 to Form 6-K furnished with the Securities and Exchange Commission on November 28, 2012)</w:t>
              </w:r>
            </w:hyperlink>
          </w:p>
        </w:tc>
        <w:tc>
          <w:tcPr>
            <w:tcW w:w="9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2.5</w:t>
            </w:r>
          </w:p>
        </w:tc>
        <w:tc>
          <w:tcPr>
            <w:tcW w:w="960" w:type="dxa"/>
            <w:vAlign w:val="bottom"/>
          </w:tcPr>
          <w:p>
            <w:pPr>
              <w:spacing w:after="0"/>
              <w:rPr>
                <w:sz w:val="24"/>
                <w:szCs w:val="24"/>
                <w:color w:val="auto"/>
              </w:rPr>
            </w:pPr>
          </w:p>
        </w:tc>
        <w:tc>
          <w:tcPr>
            <w:tcW w:w="9480" w:type="dxa"/>
            <w:vAlign w:val="bottom"/>
            <w:gridSpan w:val="11"/>
          </w:tcPr>
          <w:p>
            <w:pPr>
              <w:spacing w:after="0"/>
              <w:rPr>
                <w:rFonts w:ascii="Times New Roman" w:cs="Times New Roman" w:eastAsia="Times New Roman" w:hAnsi="Times New Roman"/>
                <w:sz w:val="18"/>
                <w:szCs w:val="18"/>
                <w:color w:val="0000EE"/>
              </w:rPr>
            </w:pPr>
            <w:hyperlink r:id="rId247">
              <w:r>
                <w:rPr>
                  <w:rFonts w:ascii="Times New Roman" w:cs="Times New Roman" w:eastAsia="Times New Roman" w:hAnsi="Times New Roman"/>
                  <w:sz w:val="18"/>
                  <w:szCs w:val="18"/>
                  <w:color w:val="0000EE"/>
                </w:rPr>
                <w:t>First Supplemental Indenture dated November 28, 2012 between the Registrant and The Bank of New York Mellon, as trustee</w:t>
              </w:r>
            </w:hyperlink>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140" w:type="dxa"/>
            <w:vAlign w:val="bottom"/>
            <w:gridSpan w:val="3"/>
            <w:shd w:val="clear" w:color="auto" w:fill="0000EE"/>
          </w:tcPr>
          <w:p>
            <w:pPr>
              <w:spacing w:after="0" w:line="20" w:lineRule="exact"/>
              <w:rPr>
                <w:sz w:val="1"/>
                <w:szCs w:val="1"/>
                <w:color w:val="auto"/>
              </w:rPr>
            </w:pPr>
          </w:p>
        </w:tc>
        <w:tc>
          <w:tcPr>
            <w:tcW w:w="708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80" w:type="dxa"/>
            <w:vAlign w:val="bottom"/>
            <w:gridSpan w:val="11"/>
          </w:tcPr>
          <w:p>
            <w:pPr>
              <w:spacing w:after="0" w:line="196" w:lineRule="exact"/>
              <w:rPr>
                <w:rFonts w:ascii="Times New Roman" w:cs="Times New Roman" w:eastAsia="Times New Roman" w:hAnsi="Times New Roman"/>
                <w:sz w:val="18"/>
                <w:szCs w:val="18"/>
                <w:color w:val="0000EE"/>
              </w:rPr>
            </w:pPr>
            <w:hyperlink r:id="rId247">
              <w:r>
                <w:rPr>
                  <w:rFonts w:ascii="Times New Roman" w:cs="Times New Roman" w:eastAsia="Times New Roman" w:hAnsi="Times New Roman"/>
                  <w:sz w:val="18"/>
                  <w:szCs w:val="18"/>
                  <w:color w:val="0000EE"/>
                </w:rPr>
                <w:t>(incorporated by reference to Exhibit 4.2 to Form 6-K furnished with the Securities and Exchange Commission on November 28,</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5"/>
              </w:rPr>
            </w:pPr>
            <w:hyperlink r:id="rId247">
              <w:r>
                <w:rPr>
                  <w:rFonts w:ascii="Times New Roman" w:cs="Times New Roman" w:eastAsia="Times New Roman" w:hAnsi="Times New Roman"/>
                  <w:sz w:val="18"/>
                  <w:szCs w:val="18"/>
                  <w:color w:val="0000EE"/>
                  <w:w w:val="95"/>
                </w:rPr>
                <w:t>2012)</w:t>
              </w:r>
            </w:hyperlink>
          </w:p>
        </w:tc>
        <w:tc>
          <w:tcPr>
            <w:tcW w:w="17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160" w:type="dxa"/>
            <w:vAlign w:val="bottom"/>
            <w:tcBorders>
              <w:top w:val="single" w:sz="8" w:color="0000EE"/>
            </w:tcBorders>
          </w:tcPr>
          <w:p>
            <w:pPr>
              <w:spacing w:after="0"/>
              <w:rPr>
                <w:sz w:val="17"/>
                <w:szCs w:val="17"/>
                <w:color w:val="auto"/>
              </w:rPr>
            </w:pPr>
          </w:p>
        </w:tc>
        <w:tc>
          <w:tcPr>
            <w:tcW w:w="158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2.6</w:t>
            </w:r>
          </w:p>
        </w:tc>
        <w:tc>
          <w:tcPr>
            <w:tcW w:w="960" w:type="dxa"/>
            <w:vAlign w:val="bottom"/>
          </w:tcPr>
          <w:p>
            <w:pPr>
              <w:spacing w:after="0"/>
              <w:rPr>
                <w:sz w:val="24"/>
                <w:szCs w:val="24"/>
                <w:color w:val="auto"/>
              </w:rPr>
            </w:pPr>
          </w:p>
        </w:tc>
        <w:tc>
          <w:tcPr>
            <w:tcW w:w="948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248">
              <w:r>
                <w:rPr>
                  <w:rFonts w:ascii="Times New Roman" w:cs="Times New Roman" w:eastAsia="Times New Roman" w:hAnsi="Times New Roman"/>
                  <w:sz w:val="18"/>
                  <w:szCs w:val="18"/>
                  <w:color w:val="0000EE"/>
                </w:rPr>
                <w:t>Second Supplemental Indenture dated August 6, 2013 between the Registrant and The Bank of New York Mellon, as trustee</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80" w:type="dxa"/>
            <w:vAlign w:val="bottom"/>
            <w:gridSpan w:val="11"/>
          </w:tcPr>
          <w:p>
            <w:pPr>
              <w:spacing w:after="0" w:line="196" w:lineRule="exact"/>
              <w:rPr>
                <w:rFonts w:ascii="Times New Roman" w:cs="Times New Roman" w:eastAsia="Times New Roman" w:hAnsi="Times New Roman"/>
                <w:sz w:val="18"/>
                <w:szCs w:val="18"/>
                <w:color w:val="0000EE"/>
              </w:rPr>
            </w:pPr>
            <w:hyperlink r:id="rId248">
              <w:r>
                <w:rPr>
                  <w:rFonts w:ascii="Times New Roman" w:cs="Times New Roman" w:eastAsia="Times New Roman" w:hAnsi="Times New Roman"/>
                  <w:sz w:val="18"/>
                  <w:szCs w:val="18"/>
                  <w:color w:val="0000EE"/>
                </w:rPr>
                <w:t>(incorporated by reference to Exhibit 4.5 to Form 6-K furnished with the Securities and Exchange Commission on August 6, 2013)</w:t>
              </w:r>
            </w:hyperlink>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140" w:type="dxa"/>
            <w:vAlign w:val="bottom"/>
            <w:gridSpan w:val="3"/>
            <w:shd w:val="clear" w:color="auto" w:fill="0000EE"/>
          </w:tcPr>
          <w:p>
            <w:pPr>
              <w:spacing w:after="0" w:line="20" w:lineRule="exact"/>
              <w:rPr>
                <w:sz w:val="1"/>
                <w:szCs w:val="1"/>
                <w:color w:val="auto"/>
              </w:rPr>
            </w:pPr>
          </w:p>
        </w:tc>
        <w:tc>
          <w:tcPr>
            <w:tcW w:w="708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2.7</w:t>
            </w:r>
          </w:p>
        </w:tc>
        <w:tc>
          <w:tcPr>
            <w:tcW w:w="960" w:type="dxa"/>
            <w:vAlign w:val="bottom"/>
          </w:tcPr>
          <w:p>
            <w:pPr>
              <w:spacing w:after="0"/>
              <w:rPr>
                <w:sz w:val="24"/>
                <w:szCs w:val="24"/>
                <w:color w:val="auto"/>
              </w:rPr>
            </w:pPr>
          </w:p>
        </w:tc>
        <w:tc>
          <w:tcPr>
            <w:tcW w:w="9480" w:type="dxa"/>
            <w:vAlign w:val="bottom"/>
            <w:gridSpan w:val="11"/>
          </w:tcPr>
          <w:p>
            <w:pPr>
              <w:spacing w:after="0"/>
              <w:rPr>
                <w:rFonts w:ascii="Times New Roman" w:cs="Times New Roman" w:eastAsia="Times New Roman" w:hAnsi="Times New Roman"/>
                <w:sz w:val="18"/>
                <w:szCs w:val="18"/>
                <w:color w:val="0000EE"/>
              </w:rPr>
            </w:pPr>
            <w:hyperlink r:id="rId249">
              <w:r>
                <w:rPr>
                  <w:rFonts w:ascii="Times New Roman" w:cs="Times New Roman" w:eastAsia="Times New Roman" w:hAnsi="Times New Roman"/>
                  <w:sz w:val="18"/>
                  <w:szCs w:val="18"/>
                  <w:color w:val="0000EE"/>
                </w:rPr>
                <w:t>Third Supplemental Indenture dated June 9, 2014 between the Registrant and The Bank of New York Mellon, as trustee</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26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249">
              <w:r>
                <w:rPr>
                  <w:rFonts w:ascii="Times New Roman" w:cs="Times New Roman" w:eastAsia="Times New Roman" w:hAnsi="Times New Roman"/>
                  <w:sz w:val="18"/>
                  <w:szCs w:val="18"/>
                  <w:color w:val="0000EE"/>
                  <w:w w:val="99"/>
                </w:rPr>
                <w:t>(incorporated by reference to Exhibit 4.5 to Form 6-K furnished with the Securities and Exchange Commission on June 9, 2014)</w:t>
              </w:r>
            </w:hyperlink>
          </w:p>
        </w:tc>
        <w:tc>
          <w:tcPr>
            <w:tcW w:w="18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2.8</w:t>
            </w:r>
          </w:p>
        </w:tc>
        <w:tc>
          <w:tcPr>
            <w:tcW w:w="960" w:type="dxa"/>
            <w:vAlign w:val="bottom"/>
          </w:tcPr>
          <w:p>
            <w:pPr>
              <w:spacing w:after="0"/>
              <w:rPr>
                <w:sz w:val="24"/>
                <w:szCs w:val="24"/>
                <w:color w:val="auto"/>
              </w:rPr>
            </w:pPr>
          </w:p>
        </w:tc>
        <w:tc>
          <w:tcPr>
            <w:tcW w:w="948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250">
              <w:r>
                <w:rPr>
                  <w:rFonts w:ascii="Times New Roman" w:cs="Times New Roman" w:eastAsia="Times New Roman" w:hAnsi="Times New Roman"/>
                  <w:sz w:val="18"/>
                  <w:szCs w:val="18"/>
                  <w:color w:val="0000EE"/>
                </w:rPr>
                <w:t>Fourth Supplemental Indenture dated June 30, 2015 between the Registrant and The Bank of New York Mellon, as trustee</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80" w:type="dxa"/>
            <w:vAlign w:val="bottom"/>
            <w:gridSpan w:val="11"/>
          </w:tcPr>
          <w:p>
            <w:pPr>
              <w:spacing w:after="0" w:line="196" w:lineRule="exact"/>
              <w:rPr>
                <w:rFonts w:ascii="Times New Roman" w:cs="Times New Roman" w:eastAsia="Times New Roman" w:hAnsi="Times New Roman"/>
                <w:sz w:val="18"/>
                <w:szCs w:val="18"/>
                <w:color w:val="0000EE"/>
              </w:rPr>
            </w:pPr>
            <w:hyperlink r:id="rId250">
              <w:r>
                <w:rPr>
                  <w:rFonts w:ascii="Times New Roman" w:cs="Times New Roman" w:eastAsia="Times New Roman" w:hAnsi="Times New Roman"/>
                  <w:sz w:val="18"/>
                  <w:szCs w:val="18"/>
                  <w:color w:val="0000EE"/>
                </w:rPr>
                <w:t>(incorporated by reference to Exhibit 4.1 to Form 6-K furnished with the Securities and Exchange Commission on July 2, 2015)</w:t>
              </w:r>
            </w:hyperlink>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140" w:type="dxa"/>
            <w:vAlign w:val="bottom"/>
            <w:gridSpan w:val="3"/>
            <w:shd w:val="clear" w:color="auto" w:fill="0000EE"/>
          </w:tcPr>
          <w:p>
            <w:pPr>
              <w:spacing w:after="0" w:line="20" w:lineRule="exact"/>
              <w:rPr>
                <w:sz w:val="1"/>
                <w:szCs w:val="1"/>
                <w:color w:val="auto"/>
              </w:rPr>
            </w:pPr>
          </w:p>
        </w:tc>
        <w:tc>
          <w:tcPr>
            <w:tcW w:w="7080" w:type="dxa"/>
            <w:vAlign w:val="bottom"/>
            <w:gridSpan w:val="5"/>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2.9</w:t>
            </w:r>
          </w:p>
        </w:tc>
        <w:tc>
          <w:tcPr>
            <w:tcW w:w="960" w:type="dxa"/>
            <w:vAlign w:val="bottom"/>
          </w:tcPr>
          <w:p>
            <w:pPr>
              <w:spacing w:after="0"/>
              <w:rPr>
                <w:sz w:val="24"/>
                <w:szCs w:val="24"/>
                <w:color w:val="auto"/>
              </w:rPr>
            </w:pPr>
          </w:p>
        </w:tc>
        <w:tc>
          <w:tcPr>
            <w:tcW w:w="9480" w:type="dxa"/>
            <w:vAlign w:val="bottom"/>
            <w:gridSpan w:val="11"/>
          </w:tcPr>
          <w:p>
            <w:pPr>
              <w:spacing w:after="0"/>
              <w:rPr>
                <w:rFonts w:ascii="Times New Roman" w:cs="Times New Roman" w:eastAsia="Times New Roman" w:hAnsi="Times New Roman"/>
                <w:sz w:val="18"/>
                <w:szCs w:val="18"/>
                <w:color w:val="0000EE"/>
              </w:rPr>
            </w:pPr>
            <w:hyperlink r:id="rId250">
              <w:r>
                <w:rPr>
                  <w:rFonts w:ascii="Times New Roman" w:cs="Times New Roman" w:eastAsia="Times New Roman" w:hAnsi="Times New Roman"/>
                  <w:sz w:val="18"/>
                  <w:szCs w:val="18"/>
                  <w:color w:val="0000EE"/>
                </w:rPr>
                <w:t>Form of 4.125% Notes due 2025 (incorporated by reference to Exhibit 4.1 to Form 6-K furnished with the Securities and Exchange</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14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250">
              <w:r>
                <w:rPr>
                  <w:rFonts w:ascii="Times New Roman" w:cs="Times New Roman" w:eastAsia="Times New Roman" w:hAnsi="Times New Roman"/>
                  <w:sz w:val="18"/>
                  <w:szCs w:val="18"/>
                  <w:color w:val="0000EE"/>
                  <w:w w:val="99"/>
                </w:rPr>
                <w:t>Commission on July 2, 2015)</w:t>
              </w:r>
            </w:hyperlink>
          </w:p>
        </w:tc>
        <w:tc>
          <w:tcPr>
            <w:tcW w:w="7300" w:type="dxa"/>
            <w:vAlign w:val="bottom"/>
            <w:tcBorders>
              <w:top w:val="single" w:sz="8" w:color="0000EE"/>
            </w:tcBorders>
            <w:gridSpan w:val="7"/>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2.10</w:t>
            </w:r>
          </w:p>
        </w:tc>
        <w:tc>
          <w:tcPr>
            <w:tcW w:w="960" w:type="dxa"/>
            <w:vAlign w:val="bottom"/>
          </w:tcPr>
          <w:p>
            <w:pPr>
              <w:spacing w:after="0"/>
              <w:rPr>
                <w:sz w:val="24"/>
                <w:szCs w:val="24"/>
                <w:color w:val="auto"/>
              </w:rPr>
            </w:pPr>
          </w:p>
        </w:tc>
        <w:tc>
          <w:tcPr>
            <w:tcW w:w="9480" w:type="dxa"/>
            <w:vAlign w:val="bottom"/>
            <w:gridSpan w:val="11"/>
          </w:tcPr>
          <w:p>
            <w:pPr>
              <w:spacing w:after="0"/>
              <w:rPr>
                <w:rFonts w:ascii="Times New Roman" w:cs="Times New Roman" w:eastAsia="Times New Roman" w:hAnsi="Times New Roman"/>
                <w:sz w:val="18"/>
                <w:szCs w:val="18"/>
                <w:color w:val="0000EE"/>
              </w:rPr>
            </w:pPr>
            <w:hyperlink r:id="rId251">
              <w:r>
                <w:rPr>
                  <w:rFonts w:ascii="Times New Roman" w:cs="Times New Roman" w:eastAsia="Times New Roman" w:hAnsi="Times New Roman"/>
                  <w:sz w:val="18"/>
                  <w:szCs w:val="18"/>
                  <w:color w:val="0000EE"/>
                </w:rPr>
                <w:t>Fifth Supplemental Indenture dated July 6, 2017 between the Registrant and The Bank of New York Mellon, as trustee</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4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251">
              <w:r>
                <w:rPr>
                  <w:rFonts w:ascii="Times New Roman" w:cs="Times New Roman" w:eastAsia="Times New Roman" w:hAnsi="Times New Roman"/>
                  <w:sz w:val="18"/>
                  <w:szCs w:val="18"/>
                  <w:color w:val="0000EE"/>
                </w:rPr>
                <w:t>(incorporated by reference to Exhibit 4.1 to Form 6-K furnished with the Securities and Exchange Commission on July 7, 2017)</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220" w:type="dxa"/>
            <w:vAlign w:val="bottom"/>
            <w:gridSpan w:val="8"/>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2.11</w:t>
            </w:r>
          </w:p>
        </w:tc>
        <w:tc>
          <w:tcPr>
            <w:tcW w:w="960" w:type="dxa"/>
            <w:vAlign w:val="bottom"/>
          </w:tcPr>
          <w:p>
            <w:pPr>
              <w:spacing w:after="0"/>
              <w:rPr>
                <w:sz w:val="24"/>
                <w:szCs w:val="24"/>
                <w:color w:val="auto"/>
              </w:rPr>
            </w:pPr>
          </w:p>
        </w:tc>
        <w:tc>
          <w:tcPr>
            <w:tcW w:w="9480" w:type="dxa"/>
            <w:vAlign w:val="bottom"/>
            <w:gridSpan w:val="11"/>
          </w:tcPr>
          <w:p>
            <w:pPr>
              <w:spacing w:after="0"/>
              <w:rPr>
                <w:rFonts w:ascii="Times New Roman" w:cs="Times New Roman" w:eastAsia="Times New Roman" w:hAnsi="Times New Roman"/>
                <w:sz w:val="18"/>
                <w:szCs w:val="18"/>
                <w:color w:val="0000EE"/>
              </w:rPr>
            </w:pPr>
            <w:hyperlink r:id="rId251">
              <w:r>
                <w:rPr>
                  <w:rFonts w:ascii="Times New Roman" w:cs="Times New Roman" w:eastAsia="Times New Roman" w:hAnsi="Times New Roman"/>
                  <w:sz w:val="18"/>
                  <w:szCs w:val="18"/>
                  <w:color w:val="0000EE"/>
                </w:rPr>
                <w:t>Form of 3.625% Notes due 2027 (incorporated by reference to Exhibit 4.1 to Form 6-K furnished with the Securities and Exchange</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14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251">
              <w:r>
                <w:rPr>
                  <w:rFonts w:ascii="Times New Roman" w:cs="Times New Roman" w:eastAsia="Times New Roman" w:hAnsi="Times New Roman"/>
                  <w:sz w:val="18"/>
                  <w:szCs w:val="18"/>
                  <w:color w:val="0000EE"/>
                  <w:w w:val="99"/>
                </w:rPr>
                <w:t>Commission on July 7, 2017)</w:t>
              </w:r>
            </w:hyperlink>
          </w:p>
        </w:tc>
        <w:tc>
          <w:tcPr>
            <w:tcW w:w="7300" w:type="dxa"/>
            <w:vAlign w:val="bottom"/>
            <w:tcBorders>
              <w:top w:val="single" w:sz="8" w:color="0000EE"/>
            </w:tcBorders>
            <w:gridSpan w:val="7"/>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2.12</w:t>
            </w:r>
          </w:p>
        </w:tc>
        <w:tc>
          <w:tcPr>
            <w:tcW w:w="960" w:type="dxa"/>
            <w:vAlign w:val="bottom"/>
          </w:tcPr>
          <w:p>
            <w:pPr>
              <w:spacing w:after="0"/>
              <w:rPr>
                <w:sz w:val="24"/>
                <w:szCs w:val="24"/>
                <w:color w:val="auto"/>
              </w:rPr>
            </w:pPr>
          </w:p>
        </w:tc>
        <w:tc>
          <w:tcPr>
            <w:tcW w:w="9480" w:type="dxa"/>
            <w:vAlign w:val="bottom"/>
            <w:gridSpan w:val="11"/>
          </w:tcPr>
          <w:p>
            <w:pPr>
              <w:spacing w:after="0"/>
              <w:rPr>
                <w:rFonts w:ascii="Times New Roman" w:cs="Times New Roman" w:eastAsia="Times New Roman" w:hAnsi="Times New Roman"/>
                <w:sz w:val="18"/>
                <w:szCs w:val="18"/>
                <w:color w:val="0000EE"/>
              </w:rPr>
            </w:pPr>
            <w:hyperlink r:id="rId252">
              <w:r>
                <w:rPr>
                  <w:rFonts w:ascii="Times New Roman" w:cs="Times New Roman" w:eastAsia="Times New Roman" w:hAnsi="Times New Roman"/>
                  <w:sz w:val="18"/>
                  <w:szCs w:val="18"/>
                  <w:color w:val="0000EE"/>
                </w:rPr>
                <w:t>Sixth Supplemental Indenture dated March 29, 2018 between the Registrant and The Bank of New York Mellon, as trustee</w:t>
              </w:r>
            </w:hyperlink>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440" w:type="dxa"/>
            <w:vAlign w:val="bottom"/>
            <w:gridSpan w:val="10"/>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80" w:type="dxa"/>
            <w:vAlign w:val="bottom"/>
            <w:gridSpan w:val="11"/>
          </w:tcPr>
          <w:p>
            <w:pPr>
              <w:spacing w:after="0" w:line="196" w:lineRule="exact"/>
              <w:rPr>
                <w:rFonts w:ascii="Times New Roman" w:cs="Times New Roman" w:eastAsia="Times New Roman" w:hAnsi="Times New Roman"/>
                <w:sz w:val="18"/>
                <w:szCs w:val="18"/>
                <w:color w:val="0000EE"/>
              </w:rPr>
            </w:pPr>
            <w:hyperlink r:id="rId252">
              <w:r>
                <w:rPr>
                  <w:rFonts w:ascii="Times New Roman" w:cs="Times New Roman" w:eastAsia="Times New Roman" w:hAnsi="Times New Roman"/>
                  <w:sz w:val="18"/>
                  <w:szCs w:val="18"/>
                  <w:color w:val="0000EE"/>
                </w:rPr>
                <w:t>(incorporated by reference to Exhibit 4.5 to Form 6-K furnished with the Securities and Exchange Commission on November 15,</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Borders>
              <w:top w:val="single" w:sz="8" w:color="0000EE"/>
            </w:tcBorders>
            <w:gridSpan w:val="2"/>
          </w:tcPr>
          <w:p>
            <w:pPr>
              <w:spacing w:after="0" w:line="196" w:lineRule="exact"/>
              <w:rPr>
                <w:rFonts w:ascii="Times New Roman" w:cs="Times New Roman" w:eastAsia="Times New Roman" w:hAnsi="Times New Roman"/>
                <w:sz w:val="18"/>
                <w:szCs w:val="18"/>
                <w:color w:val="0000EE"/>
                <w:w w:val="95"/>
              </w:rPr>
            </w:pPr>
            <w:hyperlink r:id="rId252">
              <w:r>
                <w:rPr>
                  <w:rFonts w:ascii="Times New Roman" w:cs="Times New Roman" w:eastAsia="Times New Roman" w:hAnsi="Times New Roman"/>
                  <w:sz w:val="18"/>
                  <w:szCs w:val="18"/>
                  <w:color w:val="0000EE"/>
                  <w:w w:val="95"/>
                </w:rPr>
                <w:t>2018)</w:t>
              </w:r>
            </w:hyperlink>
          </w:p>
        </w:tc>
        <w:tc>
          <w:tcPr>
            <w:tcW w:w="17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160" w:type="dxa"/>
            <w:vAlign w:val="bottom"/>
            <w:tcBorders>
              <w:top w:val="single" w:sz="8" w:color="0000EE"/>
            </w:tcBorders>
          </w:tcPr>
          <w:p>
            <w:pPr>
              <w:spacing w:after="0"/>
              <w:rPr>
                <w:sz w:val="17"/>
                <w:szCs w:val="17"/>
                <w:color w:val="auto"/>
              </w:rPr>
            </w:pPr>
          </w:p>
        </w:tc>
        <w:tc>
          <w:tcPr>
            <w:tcW w:w="158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gridSpan w:val="2"/>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5960" w:type="dxa"/>
            <w:vAlign w:val="bottom"/>
            <w:gridSpan w:val="3"/>
          </w:tcPr>
          <w:p>
            <w:pPr>
              <w:jc w:val="right"/>
              <w:ind w:right="2208"/>
              <w:spacing w:after="0"/>
              <w:rPr>
                <w:sz w:val="20"/>
                <w:szCs w:val="20"/>
                <w:color w:val="auto"/>
              </w:rPr>
            </w:pPr>
            <w:r>
              <w:rPr>
                <w:rFonts w:ascii="Times New Roman" w:cs="Times New Roman" w:eastAsia="Times New Roman" w:hAnsi="Times New Roman"/>
                <w:sz w:val="18"/>
                <w:szCs w:val="18"/>
                <w:color w:val="auto"/>
              </w:rPr>
              <w:t>210</w:t>
            </w:r>
          </w:p>
        </w:tc>
        <w:tc>
          <w:tcPr>
            <w:tcW w:w="1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0" w:type="dxa"/>
            <w:vAlign w:val="bottom"/>
          </w:tcPr>
          <w:p>
            <w:pPr>
              <w:spacing w:after="0"/>
              <w:rPr>
                <w:sz w:val="13"/>
                <w:szCs w:val="13"/>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520" w:type="dxa"/>
            <w:vAlign w:val="bottom"/>
            <w:gridSpan w:val="7"/>
            <w:vMerge w:val="restart"/>
          </w:tcPr>
          <w:p>
            <w:pPr>
              <w:ind w:left="102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0" w:type="dxa"/>
            <w:vAlign w:val="bottom"/>
          </w:tcPr>
          <w:p>
            <w:pPr>
              <w:spacing w:after="0"/>
              <w:rPr>
                <w:sz w:val="1"/>
                <w:szCs w:val="1"/>
                <w:color w:val="auto"/>
              </w:rPr>
            </w:pPr>
          </w:p>
        </w:tc>
      </w:tr>
      <w:tr>
        <w:trPr>
          <w:trHeight w:val="180"/>
        </w:trPr>
        <w:tc>
          <w:tcPr>
            <w:tcW w:w="80" w:type="dxa"/>
            <w:vAlign w:val="bottom"/>
          </w:tcPr>
          <w:p>
            <w:pPr>
              <w:spacing w:after="0"/>
              <w:rPr>
                <w:sz w:val="15"/>
                <w:szCs w:val="15"/>
                <w:color w:val="auto"/>
              </w:rPr>
            </w:pP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520" w:type="dxa"/>
            <w:vAlign w:val="bottom"/>
            <w:tcBorders>
              <w:bottom w:val="single" w:sz="8" w:color="auto"/>
            </w:tcBorders>
            <w:gridSpan w:val="7"/>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2.13</w:t>
            </w:r>
          </w:p>
        </w:tc>
        <w:tc>
          <w:tcPr>
            <w:tcW w:w="960" w:type="dxa"/>
            <w:vAlign w:val="bottom"/>
          </w:tcPr>
          <w:p>
            <w:pPr>
              <w:spacing w:after="0"/>
              <w:rPr>
                <w:sz w:val="23"/>
                <w:szCs w:val="23"/>
                <w:color w:val="auto"/>
              </w:rPr>
            </w:pPr>
          </w:p>
        </w:tc>
        <w:tc>
          <w:tcPr>
            <w:tcW w:w="948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rPr>
            </w:pPr>
            <w:hyperlink r:id="rId252">
              <w:r>
                <w:rPr>
                  <w:rFonts w:ascii="Times New Roman" w:cs="Times New Roman" w:eastAsia="Times New Roman" w:hAnsi="Times New Roman"/>
                  <w:sz w:val="18"/>
                  <w:szCs w:val="18"/>
                  <w:color w:val="0000EE"/>
                </w:rPr>
                <w:t>Form of 4.375% Notes due 2028 (incorporated by reference to Exhibit 4.5 to Form 6-K furnished with the Securities and Exchange</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80" w:type="dxa"/>
            <w:vAlign w:val="bottom"/>
            <w:gridSpan w:val="16"/>
          </w:tcPr>
          <w:p>
            <w:pPr>
              <w:spacing w:after="0" w:line="196" w:lineRule="exact"/>
              <w:rPr>
                <w:rFonts w:ascii="Times New Roman" w:cs="Times New Roman" w:eastAsia="Times New Roman" w:hAnsi="Times New Roman"/>
                <w:sz w:val="18"/>
                <w:szCs w:val="18"/>
                <w:color w:val="0000EE"/>
              </w:rPr>
            </w:pPr>
            <w:hyperlink r:id="rId252">
              <w:r>
                <w:rPr>
                  <w:rFonts w:ascii="Times New Roman" w:cs="Times New Roman" w:eastAsia="Times New Roman" w:hAnsi="Times New Roman"/>
                  <w:sz w:val="18"/>
                  <w:szCs w:val="18"/>
                  <w:color w:val="0000EE"/>
                </w:rPr>
                <w:t>Commission on November 15, 2018)</w:t>
              </w:r>
            </w:hyperlink>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2.14</w:t>
            </w:r>
          </w:p>
        </w:tc>
        <w:tc>
          <w:tcPr>
            <w:tcW w:w="960" w:type="dxa"/>
            <w:vAlign w:val="bottom"/>
          </w:tcPr>
          <w:p>
            <w:pPr>
              <w:spacing w:after="0"/>
              <w:rPr>
                <w:sz w:val="24"/>
                <w:szCs w:val="24"/>
                <w:color w:val="auto"/>
              </w:rPr>
            </w:pPr>
          </w:p>
        </w:tc>
        <w:tc>
          <w:tcPr>
            <w:tcW w:w="946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rPr>
            </w:pPr>
            <w:hyperlink r:id="rId254">
              <w:r>
                <w:rPr>
                  <w:rFonts w:ascii="Times New Roman" w:cs="Times New Roman" w:eastAsia="Times New Roman" w:hAnsi="Times New Roman"/>
                  <w:sz w:val="18"/>
                  <w:szCs w:val="18"/>
                  <w:color w:val="0000EE"/>
                </w:rPr>
                <w:t>Seventh Supplemental Indenture dated November 14, 2018 between the Registrant and The Bank of New York Mellon, as trustee</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8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254">
              <w:r>
                <w:rPr>
                  <w:rFonts w:ascii="Times New Roman" w:cs="Times New Roman" w:eastAsia="Times New Roman" w:hAnsi="Times New Roman"/>
                  <w:sz w:val="18"/>
                  <w:szCs w:val="18"/>
                  <w:color w:val="0000EE"/>
                </w:rPr>
                <w:t>(incorporated by reference to Exhibit 4.8 to Form 6-K furnished with the Securities and Exchange Commission on November 15,</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5"/>
              </w:rPr>
            </w:pPr>
            <w:hyperlink r:id="rId254">
              <w:r>
                <w:rPr>
                  <w:rFonts w:ascii="Times New Roman" w:cs="Times New Roman" w:eastAsia="Times New Roman" w:hAnsi="Times New Roman"/>
                  <w:sz w:val="18"/>
                  <w:szCs w:val="18"/>
                  <w:color w:val="0000EE"/>
                  <w:w w:val="95"/>
                </w:rPr>
                <w:t>2018)</w:t>
              </w:r>
            </w:hyperlink>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2.15</w:t>
            </w:r>
          </w:p>
        </w:tc>
        <w:tc>
          <w:tcPr>
            <w:tcW w:w="960" w:type="dxa"/>
            <w:vAlign w:val="bottom"/>
          </w:tcPr>
          <w:p>
            <w:pPr>
              <w:spacing w:after="0"/>
              <w:rPr>
                <w:sz w:val="24"/>
                <w:szCs w:val="24"/>
                <w:color w:val="auto"/>
              </w:rPr>
            </w:pPr>
          </w:p>
        </w:tc>
        <w:tc>
          <w:tcPr>
            <w:tcW w:w="948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rPr>
            </w:pPr>
            <w:hyperlink r:id="rId254">
              <w:r>
                <w:rPr>
                  <w:rFonts w:ascii="Times New Roman" w:cs="Times New Roman" w:eastAsia="Times New Roman" w:hAnsi="Times New Roman"/>
                  <w:sz w:val="18"/>
                  <w:szCs w:val="18"/>
                  <w:color w:val="0000EE"/>
                </w:rPr>
                <w:t>Form of 4.875% Notes due 2028 (incorporated by reference to Exhibit 4.8 to Form 6-K furnished with the Securities and Exchange</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80" w:type="dxa"/>
            <w:vAlign w:val="bottom"/>
            <w:gridSpan w:val="16"/>
          </w:tcPr>
          <w:p>
            <w:pPr>
              <w:spacing w:after="0" w:line="196" w:lineRule="exact"/>
              <w:rPr>
                <w:rFonts w:ascii="Times New Roman" w:cs="Times New Roman" w:eastAsia="Times New Roman" w:hAnsi="Times New Roman"/>
                <w:sz w:val="18"/>
                <w:szCs w:val="18"/>
                <w:color w:val="0000EE"/>
              </w:rPr>
            </w:pPr>
            <w:hyperlink r:id="rId254">
              <w:r>
                <w:rPr>
                  <w:rFonts w:ascii="Times New Roman" w:cs="Times New Roman" w:eastAsia="Times New Roman" w:hAnsi="Times New Roman"/>
                  <w:sz w:val="18"/>
                  <w:szCs w:val="18"/>
                  <w:color w:val="0000EE"/>
                </w:rPr>
                <w:t>Commission on November 15, 2018)</w:t>
              </w:r>
            </w:hyperlink>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2.16</w:t>
            </w:r>
          </w:p>
        </w:tc>
        <w:tc>
          <w:tcPr>
            <w:tcW w:w="960" w:type="dxa"/>
            <w:vAlign w:val="bottom"/>
          </w:tcPr>
          <w:p>
            <w:pPr>
              <w:spacing w:after="0"/>
              <w:rPr>
                <w:sz w:val="24"/>
                <w:szCs w:val="24"/>
                <w:color w:val="auto"/>
              </w:rPr>
            </w:pPr>
          </w:p>
        </w:tc>
        <w:tc>
          <w:tcPr>
            <w:tcW w:w="948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rPr>
            </w:pPr>
            <w:hyperlink r:id="rId255">
              <w:r>
                <w:rPr>
                  <w:rFonts w:ascii="Times New Roman" w:cs="Times New Roman" w:eastAsia="Times New Roman" w:hAnsi="Times New Roman"/>
                  <w:sz w:val="18"/>
                  <w:szCs w:val="18"/>
                  <w:color w:val="0000EE"/>
                </w:rPr>
                <w:t>Eighth Supplemental Indenture, dated as of April 7, 2020, between the Registrant and The Bank of New York Mellon, as trustee</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0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255">
              <w:r>
                <w:rPr>
                  <w:rFonts w:ascii="Times New Roman" w:cs="Times New Roman" w:eastAsia="Times New Roman" w:hAnsi="Times New Roman"/>
                  <w:sz w:val="18"/>
                  <w:szCs w:val="18"/>
                  <w:color w:val="0000EE"/>
                  <w:w w:val="99"/>
                </w:rPr>
                <w:t>(incorporated by reference to Exhibit 4.11 to Form 6-K furnished with the Securities and Exchange Commission on April 7, 2020)</w:t>
              </w:r>
            </w:hyperlink>
          </w:p>
        </w:tc>
        <w:tc>
          <w:tcPr>
            <w:tcW w:w="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2.17</w:t>
            </w:r>
          </w:p>
        </w:tc>
        <w:tc>
          <w:tcPr>
            <w:tcW w:w="960" w:type="dxa"/>
            <w:vAlign w:val="bottom"/>
          </w:tcPr>
          <w:p>
            <w:pPr>
              <w:spacing w:after="0"/>
              <w:rPr>
                <w:sz w:val="24"/>
                <w:szCs w:val="24"/>
                <w:color w:val="auto"/>
              </w:rPr>
            </w:pPr>
          </w:p>
        </w:tc>
        <w:tc>
          <w:tcPr>
            <w:tcW w:w="948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rPr>
            </w:pPr>
            <w:hyperlink r:id="rId255">
              <w:r>
                <w:rPr>
                  <w:rFonts w:ascii="Times New Roman" w:cs="Times New Roman" w:eastAsia="Times New Roman" w:hAnsi="Times New Roman"/>
                  <w:sz w:val="18"/>
                  <w:szCs w:val="18"/>
                  <w:color w:val="0000EE"/>
                </w:rPr>
                <w:t>Form of 3.075% Notes due 2025 (incorporated by reference to Exhibit 4.11 to Form 6-K furnished with the Securities and</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80" w:type="dxa"/>
            <w:vAlign w:val="bottom"/>
            <w:gridSpan w:val="16"/>
          </w:tcPr>
          <w:p>
            <w:pPr>
              <w:spacing w:after="0" w:line="196" w:lineRule="exact"/>
              <w:rPr>
                <w:rFonts w:ascii="Times New Roman" w:cs="Times New Roman" w:eastAsia="Times New Roman" w:hAnsi="Times New Roman"/>
                <w:sz w:val="18"/>
                <w:szCs w:val="18"/>
                <w:color w:val="0000EE"/>
              </w:rPr>
            </w:pPr>
            <w:hyperlink r:id="rId255">
              <w:r>
                <w:rPr>
                  <w:rFonts w:ascii="Times New Roman" w:cs="Times New Roman" w:eastAsia="Times New Roman" w:hAnsi="Times New Roman"/>
                  <w:sz w:val="18"/>
                  <w:szCs w:val="18"/>
                  <w:color w:val="0000EE"/>
                </w:rPr>
                <w:t>Exchange Commission on April 7, 2020)</w:t>
              </w:r>
            </w:hyperlink>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2.18</w:t>
            </w:r>
          </w:p>
        </w:tc>
        <w:tc>
          <w:tcPr>
            <w:tcW w:w="960" w:type="dxa"/>
            <w:vAlign w:val="bottom"/>
          </w:tcPr>
          <w:p>
            <w:pPr>
              <w:spacing w:after="0"/>
              <w:rPr>
                <w:sz w:val="24"/>
                <w:szCs w:val="24"/>
                <w:color w:val="auto"/>
              </w:rPr>
            </w:pPr>
          </w:p>
        </w:tc>
        <w:tc>
          <w:tcPr>
            <w:tcW w:w="948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rPr>
            </w:pPr>
            <w:hyperlink r:id="rId255">
              <w:r>
                <w:rPr>
                  <w:rFonts w:ascii="Times New Roman" w:cs="Times New Roman" w:eastAsia="Times New Roman" w:hAnsi="Times New Roman"/>
                  <w:sz w:val="18"/>
                  <w:szCs w:val="18"/>
                  <w:color w:val="0000EE"/>
                </w:rPr>
                <w:t>Form of 3.425% Notes due 2030 (incorporated by reference to Exhibit 4.11 to Form 6-K furnished with the Securities and</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80" w:type="dxa"/>
            <w:vAlign w:val="bottom"/>
            <w:gridSpan w:val="16"/>
          </w:tcPr>
          <w:p>
            <w:pPr>
              <w:spacing w:after="0" w:line="196" w:lineRule="exact"/>
              <w:rPr>
                <w:rFonts w:ascii="Times New Roman" w:cs="Times New Roman" w:eastAsia="Times New Roman" w:hAnsi="Times New Roman"/>
                <w:sz w:val="18"/>
                <w:szCs w:val="18"/>
                <w:color w:val="0000EE"/>
              </w:rPr>
            </w:pPr>
            <w:hyperlink r:id="rId255">
              <w:r>
                <w:rPr>
                  <w:rFonts w:ascii="Times New Roman" w:cs="Times New Roman" w:eastAsia="Times New Roman" w:hAnsi="Times New Roman"/>
                  <w:sz w:val="18"/>
                  <w:szCs w:val="18"/>
                  <w:color w:val="0000EE"/>
                </w:rPr>
                <w:t>Exchange Commission on April 7, 2020)</w:t>
              </w:r>
            </w:hyperlink>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2.19</w:t>
            </w:r>
          </w:p>
        </w:tc>
        <w:tc>
          <w:tcPr>
            <w:tcW w:w="960" w:type="dxa"/>
            <w:vAlign w:val="bottom"/>
          </w:tcPr>
          <w:p>
            <w:pPr>
              <w:spacing w:after="0"/>
              <w:rPr>
                <w:sz w:val="24"/>
                <w:szCs w:val="24"/>
                <w:color w:val="auto"/>
              </w:rPr>
            </w:pPr>
          </w:p>
        </w:tc>
        <w:tc>
          <w:tcPr>
            <w:tcW w:w="946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rPr>
            </w:pPr>
            <w:hyperlink r:id="rId256">
              <w:r>
                <w:rPr>
                  <w:rFonts w:ascii="Times New Roman" w:cs="Times New Roman" w:eastAsia="Times New Roman" w:hAnsi="Times New Roman"/>
                  <w:sz w:val="18"/>
                  <w:szCs w:val="18"/>
                  <w:color w:val="0000EE"/>
                </w:rPr>
                <w:t>Ninth Supplemental Indenture, dated as of October 9, 2020, between the Registrant and The Bank of New York Mellon, as trustee</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8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256">
              <w:r>
                <w:rPr>
                  <w:rFonts w:ascii="Times New Roman" w:cs="Times New Roman" w:eastAsia="Times New Roman" w:hAnsi="Times New Roman"/>
                  <w:sz w:val="18"/>
                  <w:szCs w:val="18"/>
                  <w:color w:val="0000EE"/>
                </w:rPr>
                <w:t>(incorporated by reference to Exhibit 4.3 to Form 6-K furnished with the Securities and Exchange Commission on October 9,</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5"/>
              </w:rPr>
            </w:pPr>
            <w:hyperlink r:id="rId256">
              <w:r>
                <w:rPr>
                  <w:rFonts w:ascii="Times New Roman" w:cs="Times New Roman" w:eastAsia="Times New Roman" w:hAnsi="Times New Roman"/>
                  <w:sz w:val="18"/>
                  <w:szCs w:val="18"/>
                  <w:color w:val="0000EE"/>
                  <w:w w:val="95"/>
                </w:rPr>
                <w:t>2020)</w:t>
              </w:r>
            </w:hyperlink>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2.20</w:t>
            </w:r>
          </w:p>
        </w:tc>
        <w:tc>
          <w:tcPr>
            <w:tcW w:w="960" w:type="dxa"/>
            <w:vAlign w:val="bottom"/>
          </w:tcPr>
          <w:p>
            <w:pPr>
              <w:spacing w:after="0"/>
              <w:rPr>
                <w:sz w:val="24"/>
                <w:szCs w:val="24"/>
                <w:color w:val="auto"/>
              </w:rPr>
            </w:pPr>
          </w:p>
        </w:tc>
        <w:tc>
          <w:tcPr>
            <w:tcW w:w="948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rPr>
            </w:pPr>
            <w:hyperlink r:id="rId256">
              <w:r>
                <w:rPr>
                  <w:rFonts w:ascii="Times New Roman" w:cs="Times New Roman" w:eastAsia="Times New Roman" w:hAnsi="Times New Roman"/>
                  <w:sz w:val="18"/>
                  <w:szCs w:val="18"/>
                  <w:color w:val="0000EE"/>
                </w:rPr>
                <w:t>Form of 1.72% Notes due 2026 (incorporated by reference to Exhibit 4.3 to Form 6-K furnished with the Securities and Exchange</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2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256">
              <w:r>
                <w:rPr>
                  <w:rFonts w:ascii="Times New Roman" w:cs="Times New Roman" w:eastAsia="Times New Roman" w:hAnsi="Times New Roman"/>
                  <w:sz w:val="18"/>
                  <w:szCs w:val="18"/>
                  <w:color w:val="0000EE"/>
                  <w:w w:val="99"/>
                </w:rPr>
                <w:t>Commission on October 9, 2020)</w:t>
              </w:r>
            </w:hyperlink>
          </w:p>
        </w:tc>
        <w:tc>
          <w:tcPr>
            <w:tcW w:w="706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2.21</w:t>
            </w:r>
          </w:p>
        </w:tc>
        <w:tc>
          <w:tcPr>
            <w:tcW w:w="960" w:type="dxa"/>
            <w:vAlign w:val="bottom"/>
          </w:tcPr>
          <w:p>
            <w:pPr>
              <w:spacing w:after="0"/>
              <w:rPr>
                <w:sz w:val="24"/>
                <w:szCs w:val="24"/>
                <w:color w:val="auto"/>
              </w:rPr>
            </w:pPr>
          </w:p>
        </w:tc>
        <w:tc>
          <w:tcPr>
            <w:tcW w:w="948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rPr>
            </w:pPr>
            <w:hyperlink r:id="rId256">
              <w:r>
                <w:rPr>
                  <w:rFonts w:ascii="Times New Roman" w:cs="Times New Roman" w:eastAsia="Times New Roman" w:hAnsi="Times New Roman"/>
                  <w:sz w:val="18"/>
                  <w:szCs w:val="18"/>
                  <w:color w:val="0000EE"/>
                </w:rPr>
                <w:t>Form of 2.375% Notes due 2030 (incorporated by reference to Exhibit 4.3 to Form 6-K furnished with the Securities and Exchange</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2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256">
              <w:r>
                <w:rPr>
                  <w:rFonts w:ascii="Times New Roman" w:cs="Times New Roman" w:eastAsia="Times New Roman" w:hAnsi="Times New Roman"/>
                  <w:sz w:val="18"/>
                  <w:szCs w:val="18"/>
                  <w:color w:val="0000EE"/>
                  <w:w w:val="99"/>
                </w:rPr>
                <w:t>Commission on October 9, 2020)</w:t>
              </w:r>
            </w:hyperlink>
          </w:p>
        </w:tc>
        <w:tc>
          <w:tcPr>
            <w:tcW w:w="706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2.22</w:t>
            </w:r>
          </w:p>
        </w:tc>
        <w:tc>
          <w:tcPr>
            <w:tcW w:w="960" w:type="dxa"/>
            <w:vAlign w:val="bottom"/>
          </w:tcPr>
          <w:p>
            <w:pPr>
              <w:spacing w:after="0"/>
              <w:rPr>
                <w:sz w:val="24"/>
                <w:szCs w:val="24"/>
                <w:color w:val="auto"/>
              </w:rPr>
            </w:pPr>
          </w:p>
        </w:tc>
        <w:tc>
          <w:tcPr>
            <w:tcW w:w="946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rPr>
            </w:pPr>
            <w:hyperlink r:id="rId257">
              <w:r>
                <w:rPr>
                  <w:rFonts w:ascii="Times New Roman" w:cs="Times New Roman" w:eastAsia="Times New Roman" w:hAnsi="Times New Roman"/>
                  <w:sz w:val="18"/>
                  <w:szCs w:val="18"/>
                  <w:color w:val="0000EE"/>
                </w:rPr>
                <w:t>Tenth Supplemental Indenture, dated as of August 23, 2021, between the Registrant and The Bank of New York Mellon, as trustee</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8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257">
              <w:r>
                <w:rPr>
                  <w:rFonts w:ascii="Times New Roman" w:cs="Times New Roman" w:eastAsia="Times New Roman" w:hAnsi="Times New Roman"/>
                  <w:sz w:val="18"/>
                  <w:szCs w:val="18"/>
                  <w:color w:val="0000EE"/>
                </w:rPr>
                <w:t>(incorporated by reference to Exhibit 2.26 of our Annual Report on Form 20-F filed with the Securities and Exchange Commission</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4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257">
              <w:r>
                <w:rPr>
                  <w:rFonts w:ascii="Times New Roman" w:cs="Times New Roman" w:eastAsia="Times New Roman" w:hAnsi="Times New Roman"/>
                  <w:sz w:val="18"/>
                  <w:szCs w:val="18"/>
                  <w:color w:val="0000EE"/>
                  <w:w w:val="99"/>
                </w:rPr>
                <w:t>on March 28, 2022)</w:t>
              </w:r>
            </w:hyperlink>
          </w:p>
        </w:tc>
        <w:tc>
          <w:tcPr>
            <w:tcW w:w="804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2.23</w:t>
            </w:r>
          </w:p>
        </w:tc>
        <w:tc>
          <w:tcPr>
            <w:tcW w:w="960" w:type="dxa"/>
            <w:vAlign w:val="bottom"/>
          </w:tcPr>
          <w:p>
            <w:pPr>
              <w:spacing w:after="0"/>
              <w:rPr>
                <w:sz w:val="24"/>
                <w:szCs w:val="24"/>
                <w:color w:val="auto"/>
              </w:rPr>
            </w:pPr>
          </w:p>
        </w:tc>
        <w:tc>
          <w:tcPr>
            <w:tcW w:w="948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rPr>
            </w:pPr>
            <w:hyperlink r:id="rId258">
              <w:r>
                <w:rPr>
                  <w:rFonts w:ascii="Times New Roman" w:cs="Times New Roman" w:eastAsia="Times New Roman" w:hAnsi="Times New Roman"/>
                  <w:sz w:val="18"/>
                  <w:szCs w:val="18"/>
                  <w:color w:val="0000EE"/>
                </w:rPr>
                <w:t>Form of 1.625% Notes due 2027 (incorporated by reference to Exhibit 2.27 of our Annual Report on Form 20-F filed with the</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2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258">
              <w:r>
                <w:rPr>
                  <w:rFonts w:ascii="Times New Roman" w:cs="Times New Roman" w:eastAsia="Times New Roman" w:hAnsi="Times New Roman"/>
                  <w:sz w:val="18"/>
                  <w:szCs w:val="18"/>
                  <w:color w:val="0000EE"/>
                  <w:w w:val="99"/>
                </w:rPr>
                <w:t>Securities and Exchange Commission on March 28, 2022)</w:t>
              </w:r>
            </w:hyperlink>
          </w:p>
        </w:tc>
        <w:tc>
          <w:tcPr>
            <w:tcW w:w="52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2.24</w:t>
            </w:r>
          </w:p>
        </w:tc>
        <w:tc>
          <w:tcPr>
            <w:tcW w:w="960" w:type="dxa"/>
            <w:vAlign w:val="bottom"/>
          </w:tcPr>
          <w:p>
            <w:pPr>
              <w:spacing w:after="0"/>
              <w:rPr>
                <w:sz w:val="24"/>
                <w:szCs w:val="24"/>
                <w:color w:val="auto"/>
              </w:rPr>
            </w:pPr>
          </w:p>
        </w:tc>
        <w:tc>
          <w:tcPr>
            <w:tcW w:w="948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rPr>
            </w:pPr>
            <w:hyperlink r:id="rId259">
              <w:r>
                <w:rPr>
                  <w:rFonts w:ascii="Times New Roman" w:cs="Times New Roman" w:eastAsia="Times New Roman" w:hAnsi="Times New Roman"/>
                  <w:sz w:val="18"/>
                  <w:szCs w:val="18"/>
                  <w:color w:val="0000EE"/>
                </w:rPr>
                <w:t>Form of 2.375% Notes due 2031 (incorporated by reference to Exhibit 2.28 of our Annual Report on Form 20-F filed with the</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80" w:type="dxa"/>
            <w:vAlign w:val="bottom"/>
            <w:gridSpan w:val="16"/>
          </w:tcPr>
          <w:p>
            <w:pPr>
              <w:spacing w:after="0" w:line="196" w:lineRule="exact"/>
              <w:rPr>
                <w:rFonts w:ascii="Times New Roman" w:cs="Times New Roman" w:eastAsia="Times New Roman" w:hAnsi="Times New Roman"/>
                <w:sz w:val="18"/>
                <w:szCs w:val="18"/>
                <w:color w:val="0000EE"/>
              </w:rPr>
            </w:pPr>
            <w:hyperlink r:id="rId259">
              <w:r>
                <w:rPr>
                  <w:rFonts w:ascii="Times New Roman" w:cs="Times New Roman" w:eastAsia="Times New Roman" w:hAnsi="Times New Roman"/>
                  <w:sz w:val="18"/>
                  <w:szCs w:val="18"/>
                  <w:color w:val="0000EE"/>
                </w:rPr>
                <w:t>Securities and Exchange Commission on March 28, 2022)</w:t>
              </w:r>
            </w:hyperlink>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2.25</w:t>
            </w:r>
          </w:p>
        </w:tc>
        <w:tc>
          <w:tcPr>
            <w:tcW w:w="960" w:type="dxa"/>
            <w:vAlign w:val="bottom"/>
          </w:tcPr>
          <w:p>
            <w:pPr>
              <w:spacing w:after="0"/>
              <w:rPr>
                <w:sz w:val="24"/>
                <w:szCs w:val="24"/>
                <w:color w:val="auto"/>
              </w:rPr>
            </w:pPr>
          </w:p>
        </w:tc>
        <w:tc>
          <w:tcPr>
            <w:tcW w:w="948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rPr>
            </w:pPr>
            <w:hyperlink r:id="rId260">
              <w:r>
                <w:rPr>
                  <w:rFonts w:ascii="Times New Roman" w:cs="Times New Roman" w:eastAsia="Times New Roman" w:hAnsi="Times New Roman"/>
                  <w:sz w:val="18"/>
                  <w:szCs w:val="18"/>
                  <w:color w:val="0000EE"/>
                </w:rPr>
                <w:t>Indenture dated March 29, 2019 between iQIYI, Inc. and Citicorp International Limited, as trustee, and form of 2.00% Notes due</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8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260">
              <w:r>
                <w:rPr>
                  <w:rFonts w:ascii="Times New Roman" w:cs="Times New Roman" w:eastAsia="Times New Roman" w:hAnsi="Times New Roman"/>
                  <w:sz w:val="18"/>
                  <w:szCs w:val="18"/>
                  <w:color w:val="0000EE"/>
                </w:rPr>
                <w:t>2025 (incorporated herein by reference to Exhibit 4.61 to iQIYI, Inc.’s annual report on Form 20-F (File No. 001-38431) filed with</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8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260">
              <w:r>
                <w:rPr>
                  <w:rFonts w:ascii="Times New Roman" w:cs="Times New Roman" w:eastAsia="Times New Roman" w:hAnsi="Times New Roman"/>
                  <w:sz w:val="18"/>
                  <w:szCs w:val="18"/>
                  <w:color w:val="0000EE"/>
                  <w:w w:val="99"/>
                </w:rPr>
                <w:t>the SEC on March 12, 2020)</w:t>
              </w:r>
            </w:hyperlink>
          </w:p>
        </w:tc>
        <w:tc>
          <w:tcPr>
            <w:tcW w:w="740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2.26</w:t>
            </w:r>
          </w:p>
        </w:tc>
        <w:tc>
          <w:tcPr>
            <w:tcW w:w="960" w:type="dxa"/>
            <w:vAlign w:val="bottom"/>
          </w:tcPr>
          <w:p>
            <w:pPr>
              <w:spacing w:after="0"/>
              <w:rPr>
                <w:sz w:val="24"/>
                <w:szCs w:val="24"/>
                <w:color w:val="auto"/>
              </w:rPr>
            </w:pPr>
          </w:p>
        </w:tc>
        <w:tc>
          <w:tcPr>
            <w:tcW w:w="946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rPr>
            </w:pPr>
            <w:hyperlink r:id="rId261">
              <w:r>
                <w:rPr>
                  <w:rFonts w:ascii="Times New Roman" w:cs="Times New Roman" w:eastAsia="Times New Roman" w:hAnsi="Times New Roman"/>
                  <w:sz w:val="18"/>
                  <w:szCs w:val="18"/>
                  <w:color w:val="0000EE"/>
                </w:rPr>
                <w:t>Description of Securities of the Registrant (incorporated by reference to Exhibit 2.31 of our Annual Report on Form 20-F filed</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84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261">
              <w:r>
                <w:rPr>
                  <w:rFonts w:ascii="Times New Roman" w:cs="Times New Roman" w:eastAsia="Times New Roman" w:hAnsi="Times New Roman"/>
                  <w:sz w:val="18"/>
                  <w:szCs w:val="18"/>
                  <w:color w:val="0000EE"/>
                  <w:w w:val="99"/>
                </w:rPr>
                <w:t>with the Securities and Exchange Commission on March 28, 2022)</w:t>
              </w:r>
            </w:hyperlink>
          </w:p>
        </w:tc>
        <w:tc>
          <w:tcPr>
            <w:tcW w:w="46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26"/>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2.27</w:t>
            </w:r>
          </w:p>
        </w:tc>
        <w:tc>
          <w:tcPr>
            <w:tcW w:w="960" w:type="dxa"/>
            <w:vAlign w:val="bottom"/>
          </w:tcPr>
          <w:p>
            <w:pPr>
              <w:spacing w:after="0"/>
              <w:rPr>
                <w:sz w:val="24"/>
                <w:szCs w:val="24"/>
                <w:color w:val="auto"/>
              </w:rPr>
            </w:pPr>
          </w:p>
        </w:tc>
        <w:tc>
          <w:tcPr>
            <w:tcW w:w="94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Description of the Registrant’s US$750,000,000 3.00% Notes Due 2020 and US$500,000,000 4.13% Notes Due 2025</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4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(incorporated herein by reference to (i) the section titled “Description of Debt Securities” in the Registrants’ registration statement</w:t>
            </w: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480" w:type="dxa"/>
            <w:vAlign w:val="bottom"/>
            <w:gridSpan w:val="16"/>
          </w:tcPr>
          <w:p>
            <w:pPr>
              <w:spacing w:after="0" w:line="194"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w:t>
            </w:r>
            <w:hyperlink r:id="rId262">
              <w:r>
                <w:rPr>
                  <w:rFonts w:ascii="Times New Roman" w:cs="Times New Roman" w:eastAsia="Times New Roman" w:hAnsi="Times New Roman"/>
                  <w:sz w:val="18"/>
                  <w:szCs w:val="18"/>
                  <w:color w:val="0000EE"/>
                </w:rPr>
                <w:t>Form F-3</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(File No. 333-184757) filed with the Securities and Exchange Commission on November 5, 2012 and (ii) the section</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920" w:type="dxa"/>
            <w:vAlign w:val="bottom"/>
            <w:gridSpan w:val="5"/>
          </w:tcPr>
          <w:p>
            <w:pPr>
              <w:spacing w:after="0" w:line="20" w:lineRule="exact"/>
              <w:rPr>
                <w:sz w:val="1"/>
                <w:szCs w:val="1"/>
                <w:color w:val="auto"/>
              </w:rPr>
            </w:pPr>
          </w:p>
        </w:tc>
        <w:tc>
          <w:tcPr>
            <w:tcW w:w="1640" w:type="dxa"/>
            <w:vAlign w:val="bottom"/>
            <w:gridSpan w:val="4"/>
          </w:tcPr>
          <w:p>
            <w:pPr>
              <w:spacing w:after="0" w:line="20" w:lineRule="exact"/>
              <w:rPr>
                <w:sz w:val="1"/>
                <w:szCs w:val="1"/>
                <w:color w:val="auto"/>
              </w:rPr>
            </w:pPr>
          </w:p>
        </w:tc>
        <w:tc>
          <w:tcPr>
            <w:tcW w:w="50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80" w:type="dxa"/>
            <w:vAlign w:val="bottom"/>
            <w:gridSpan w:val="16"/>
          </w:tcPr>
          <w:p>
            <w:pPr>
              <w:spacing w:after="0" w:line="196" w:lineRule="exact"/>
              <w:rPr>
                <w:rFonts w:ascii="Times New Roman" w:cs="Times New Roman" w:eastAsia="Times New Roman" w:hAnsi="Times New Roman"/>
                <w:sz w:val="18"/>
                <w:szCs w:val="18"/>
                <w:color w:val="auto"/>
                <w:w w:val="99"/>
              </w:rPr>
            </w:pPr>
            <w:r>
              <w:rPr>
                <w:rFonts w:ascii="Times New Roman" w:cs="Times New Roman" w:eastAsia="Times New Roman" w:hAnsi="Times New Roman"/>
                <w:sz w:val="18"/>
                <w:szCs w:val="18"/>
                <w:color w:val="auto"/>
                <w:w w:val="99"/>
              </w:rPr>
              <w:t xml:space="preserve">titled “Description of the Notes” in the </w:t>
            </w:r>
            <w:hyperlink r:id="rId263">
              <w:r>
                <w:rPr>
                  <w:rFonts w:ascii="Times New Roman" w:cs="Times New Roman" w:eastAsia="Times New Roman" w:hAnsi="Times New Roman"/>
                  <w:sz w:val="18"/>
                  <w:szCs w:val="18"/>
                  <w:color w:val="0000EE"/>
                  <w:w w:val="99"/>
                </w:rPr>
                <w:t>prospectus supplement</w:t>
              </w:r>
            </w:hyperlink>
            <w:r>
              <w:rPr>
                <w:rFonts w:ascii="Times New Roman" w:cs="Times New Roman" w:eastAsia="Times New Roman" w:hAnsi="Times New Roman"/>
                <w:sz w:val="18"/>
                <w:szCs w:val="18"/>
                <w:color w:val="auto"/>
                <w:w w:val="99"/>
              </w:rPr>
              <w:t>, in the form filed by the Registrant with the Securities and Exchange</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40" w:type="dxa"/>
            <w:vAlign w:val="bottom"/>
            <w:gridSpan w:val="8"/>
          </w:tcPr>
          <w:p>
            <w:pPr>
              <w:spacing w:after="0" w:line="20" w:lineRule="exact"/>
              <w:rPr>
                <w:sz w:val="1"/>
                <w:szCs w:val="1"/>
                <w:color w:val="auto"/>
              </w:rPr>
            </w:pPr>
          </w:p>
        </w:tc>
        <w:tc>
          <w:tcPr>
            <w:tcW w:w="1640" w:type="dxa"/>
            <w:vAlign w:val="bottom"/>
            <w:gridSpan w:val="4"/>
            <w:shd w:val="clear" w:color="auto" w:fill="0000EE"/>
          </w:tcPr>
          <w:p>
            <w:pPr>
              <w:spacing w:after="0" w:line="20" w:lineRule="exact"/>
              <w:rPr>
                <w:sz w:val="1"/>
                <w:szCs w:val="1"/>
                <w:color w:val="auto"/>
              </w:rPr>
            </w:pPr>
          </w:p>
        </w:tc>
        <w:tc>
          <w:tcPr>
            <w:tcW w:w="50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4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Commission on June 22, 2015 pursuant to Rule 424(b) under the Securities Act of 1933, as amended)</w:t>
            </w:r>
          </w:p>
        </w:tc>
        <w:tc>
          <w:tcPr>
            <w:tcW w:w="0" w:type="dxa"/>
            <w:vAlign w:val="bottom"/>
          </w:tcPr>
          <w:p>
            <w:pPr>
              <w:spacing w:after="0"/>
              <w:rPr>
                <w:sz w:val="1"/>
                <w:szCs w:val="1"/>
                <w:color w:val="auto"/>
              </w:rPr>
            </w:pPr>
          </w:p>
        </w:tc>
      </w:tr>
      <w:tr>
        <w:trPr>
          <w:trHeight w:val="365"/>
        </w:trPr>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160" w:type="dxa"/>
            <w:vAlign w:val="bottom"/>
            <w:gridSpan w:val="11"/>
          </w:tcPr>
          <w:p>
            <w:pPr>
              <w:jc w:val="right"/>
              <w:ind w:right="28"/>
              <w:spacing w:after="0"/>
              <w:rPr>
                <w:sz w:val="20"/>
                <w:szCs w:val="20"/>
                <w:color w:val="auto"/>
              </w:rPr>
            </w:pPr>
            <w:r>
              <w:rPr>
                <w:rFonts w:ascii="Times New Roman" w:cs="Times New Roman" w:eastAsia="Times New Roman" w:hAnsi="Times New Roman"/>
                <w:sz w:val="18"/>
                <w:szCs w:val="18"/>
                <w:color w:val="auto"/>
              </w:rPr>
              <w:t>211</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0" w:type="dxa"/>
            <w:vAlign w:val="bottom"/>
          </w:tcPr>
          <w:p>
            <w:pPr>
              <w:spacing w:after="0"/>
              <w:rPr>
                <w:sz w:val="13"/>
                <w:szCs w:val="13"/>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40" w:type="dxa"/>
            <w:vAlign w:val="bottom"/>
            <w:gridSpan w:val="6"/>
            <w:vMerge w:val="restart"/>
          </w:tcPr>
          <w:p>
            <w:pPr>
              <w:ind w:left="114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0" w:type="dxa"/>
            <w:vAlign w:val="bottom"/>
          </w:tcPr>
          <w:p>
            <w:pPr>
              <w:spacing w:after="0"/>
              <w:rPr>
                <w:sz w:val="1"/>
                <w:szCs w:val="1"/>
                <w:color w:val="auto"/>
              </w:rPr>
            </w:pPr>
          </w:p>
        </w:tc>
      </w:tr>
      <w:tr>
        <w:trPr>
          <w:trHeight w:val="180"/>
        </w:trPr>
        <w:tc>
          <w:tcPr>
            <w:tcW w:w="80" w:type="dxa"/>
            <w:vAlign w:val="bottom"/>
          </w:tcPr>
          <w:p>
            <w:pPr>
              <w:spacing w:after="0"/>
              <w:rPr>
                <w:sz w:val="15"/>
                <w:szCs w:val="15"/>
                <w:color w:val="auto"/>
              </w:rPr>
            </w:pP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6640" w:type="dxa"/>
            <w:vAlign w:val="bottom"/>
            <w:tcBorders>
              <w:bottom w:val="single" w:sz="8" w:color="auto"/>
            </w:tcBorders>
            <w:gridSpan w:val="6"/>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2"/>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2.28</w:t>
            </w:r>
          </w:p>
        </w:tc>
        <w:tc>
          <w:tcPr>
            <w:tcW w:w="960" w:type="dxa"/>
            <w:vAlign w:val="bottom"/>
          </w:tcPr>
          <w:p>
            <w:pPr>
              <w:spacing w:after="0"/>
              <w:rPr>
                <w:sz w:val="24"/>
                <w:szCs w:val="24"/>
                <w:color w:val="auto"/>
              </w:rPr>
            </w:pPr>
          </w:p>
        </w:tc>
        <w:tc>
          <w:tcPr>
            <w:tcW w:w="948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Description of the Registrant’s US$900,000,000 2.88% Notes Due 2022 and US$600,000,000 3.63% Notes Due 2027</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48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(incorporated herein by reference to (i) the section titled “Description of Debt Securities” in the Registrants’ registration statement</w:t>
            </w: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480" w:type="dxa"/>
            <w:vAlign w:val="bottom"/>
            <w:gridSpan w:val="15"/>
          </w:tcPr>
          <w:p>
            <w:pPr>
              <w:spacing w:after="0" w:line="194"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w:t>
            </w:r>
            <w:hyperlink r:id="rId265">
              <w:r>
                <w:rPr>
                  <w:rFonts w:ascii="Times New Roman" w:cs="Times New Roman" w:eastAsia="Times New Roman" w:hAnsi="Times New Roman"/>
                  <w:sz w:val="18"/>
                  <w:szCs w:val="18"/>
                  <w:color w:val="0000EE"/>
                </w:rPr>
                <w:t>Form F-3</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(File No. 333-218972) filed with the Securities and Exchange Commission on June 26, 2017 and (ii) the section titled</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Borders>
              <w:right w:val="single" w:sz="8" w:color="0000EE"/>
            </w:tcBorders>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80" w:type="dxa"/>
            <w:vAlign w:val="bottom"/>
            <w:gridSpan w:val="15"/>
          </w:tcPr>
          <w:p>
            <w:pPr>
              <w:spacing w:after="0" w:line="19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“Description of the Notes” in the </w:t>
            </w:r>
            <w:hyperlink r:id="rId266">
              <w:r>
                <w:rPr>
                  <w:rFonts w:ascii="Times New Roman" w:cs="Times New Roman" w:eastAsia="Times New Roman" w:hAnsi="Times New Roman"/>
                  <w:sz w:val="18"/>
                  <w:szCs w:val="18"/>
                  <w:color w:val="0000EE"/>
                </w:rPr>
                <w:t>prospectus supplement</w:t>
              </w:r>
            </w:hyperlink>
            <w:r>
              <w:rPr>
                <w:rFonts w:ascii="Times New Roman" w:cs="Times New Roman" w:eastAsia="Times New Roman" w:hAnsi="Times New Roman"/>
                <w:sz w:val="18"/>
                <w:szCs w:val="18"/>
                <w:color w:val="auto"/>
              </w:rPr>
              <w:t>, in the form filed by the Registrant with the Securities and Exchange</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48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Commission on June 28, 2017 pursuant to Rule 424(b) under the Securities Act of 1933, as amended)</w:t>
            </w:r>
          </w:p>
        </w:tc>
        <w:tc>
          <w:tcPr>
            <w:tcW w:w="0" w:type="dxa"/>
            <w:vAlign w:val="bottom"/>
          </w:tcPr>
          <w:p>
            <w:pPr>
              <w:spacing w:after="0"/>
              <w:rPr>
                <w:sz w:val="1"/>
                <w:szCs w:val="1"/>
                <w:color w:val="auto"/>
              </w:rPr>
            </w:pPr>
          </w:p>
        </w:tc>
      </w:tr>
      <w:tr>
        <w:trPr>
          <w:trHeight w:val="306"/>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2.29</w:t>
            </w:r>
          </w:p>
        </w:tc>
        <w:tc>
          <w:tcPr>
            <w:tcW w:w="960" w:type="dxa"/>
            <w:vAlign w:val="bottom"/>
          </w:tcPr>
          <w:p>
            <w:pPr>
              <w:spacing w:after="0"/>
              <w:rPr>
                <w:sz w:val="24"/>
                <w:szCs w:val="24"/>
                <w:color w:val="auto"/>
              </w:rPr>
            </w:pPr>
          </w:p>
        </w:tc>
        <w:tc>
          <w:tcPr>
            <w:tcW w:w="948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Description of the Registrant’s US$1,000,000,000 3.88% Notes Due 2023 and US$500,000,000 4.38% Notes Due 2028</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48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(incorporated herein by reference to (i) the section titled “Description of Debt Securities” in the Registrants’ registration statement</w:t>
            </w: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480" w:type="dxa"/>
            <w:vAlign w:val="bottom"/>
            <w:gridSpan w:val="15"/>
          </w:tcPr>
          <w:p>
            <w:pPr>
              <w:spacing w:after="0" w:line="194"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w:t>
            </w:r>
            <w:hyperlink r:id="rId265">
              <w:r>
                <w:rPr>
                  <w:rFonts w:ascii="Times New Roman" w:cs="Times New Roman" w:eastAsia="Times New Roman" w:hAnsi="Times New Roman"/>
                  <w:sz w:val="18"/>
                  <w:szCs w:val="18"/>
                  <w:color w:val="0000EE"/>
                </w:rPr>
                <w:t>Form F-3</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(File No. 333-218972) filed with the Securities and Exchange Commission on June 26, 2017 and (ii) the section titled</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Borders>
              <w:right w:val="single" w:sz="8" w:color="0000EE"/>
            </w:tcBorders>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80" w:type="dxa"/>
            <w:vAlign w:val="bottom"/>
            <w:gridSpan w:val="15"/>
          </w:tcPr>
          <w:p>
            <w:pPr>
              <w:spacing w:after="0" w:line="19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“Description of the Notes” in the </w:t>
            </w:r>
            <w:hyperlink r:id="rId267">
              <w:r>
                <w:rPr>
                  <w:rFonts w:ascii="Times New Roman" w:cs="Times New Roman" w:eastAsia="Times New Roman" w:hAnsi="Times New Roman"/>
                  <w:sz w:val="18"/>
                  <w:szCs w:val="18"/>
                  <w:color w:val="0000EE"/>
                </w:rPr>
                <w:t>prospectus supplement</w:t>
              </w:r>
            </w:hyperlink>
            <w:r>
              <w:rPr>
                <w:rFonts w:ascii="Times New Roman" w:cs="Times New Roman" w:eastAsia="Times New Roman" w:hAnsi="Times New Roman"/>
                <w:sz w:val="18"/>
                <w:szCs w:val="18"/>
                <w:color w:val="auto"/>
              </w:rPr>
              <w:t>, in the form filed by the Registrant with the Securities and Exchange</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48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Commission on March 22, 2018 pursuant to Rule 424(b) under the Securities Act of 1933, as amended)</w:t>
            </w:r>
          </w:p>
        </w:tc>
        <w:tc>
          <w:tcPr>
            <w:tcW w:w="0" w:type="dxa"/>
            <w:vAlign w:val="bottom"/>
          </w:tcPr>
          <w:p>
            <w:pPr>
              <w:spacing w:after="0"/>
              <w:rPr>
                <w:sz w:val="1"/>
                <w:szCs w:val="1"/>
                <w:color w:val="auto"/>
              </w:rPr>
            </w:pPr>
          </w:p>
        </w:tc>
      </w:tr>
      <w:tr>
        <w:trPr>
          <w:trHeight w:val="306"/>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2.30</w:t>
            </w:r>
          </w:p>
        </w:tc>
        <w:tc>
          <w:tcPr>
            <w:tcW w:w="960" w:type="dxa"/>
            <w:vAlign w:val="bottom"/>
          </w:tcPr>
          <w:p>
            <w:pPr>
              <w:spacing w:after="0"/>
              <w:rPr>
                <w:sz w:val="24"/>
                <w:szCs w:val="24"/>
                <w:color w:val="auto"/>
              </w:rPr>
            </w:pPr>
          </w:p>
        </w:tc>
        <w:tc>
          <w:tcPr>
            <w:tcW w:w="948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Description of the Registrant’s US$600,000,000 4.38% Notes Due 2024 and US$400,000,000 4.88% Notes Due 2028</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48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(incorporated herein by reference to (i) the section titled “Description of Debt Securities” in the Registrants’ registration statement</w:t>
            </w: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480" w:type="dxa"/>
            <w:vAlign w:val="bottom"/>
            <w:gridSpan w:val="15"/>
          </w:tcPr>
          <w:p>
            <w:pPr>
              <w:spacing w:after="0" w:line="194"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w:t>
            </w:r>
            <w:hyperlink r:id="rId265">
              <w:r>
                <w:rPr>
                  <w:rFonts w:ascii="Times New Roman" w:cs="Times New Roman" w:eastAsia="Times New Roman" w:hAnsi="Times New Roman"/>
                  <w:sz w:val="18"/>
                  <w:szCs w:val="18"/>
                  <w:color w:val="0000EE"/>
                </w:rPr>
                <w:t>Form F-3</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(File No. 333-218972) filed with the Securities and Exchange Commission on June 26, 2017 and (ii) the section titled</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Borders>
              <w:right w:val="single" w:sz="8" w:color="0000EE"/>
            </w:tcBorders>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80" w:type="dxa"/>
            <w:vAlign w:val="bottom"/>
            <w:gridSpan w:val="15"/>
          </w:tcPr>
          <w:p>
            <w:pPr>
              <w:spacing w:after="0" w:line="19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“Description of the Notes” in the </w:t>
            </w:r>
            <w:hyperlink r:id="rId268">
              <w:r>
                <w:rPr>
                  <w:rFonts w:ascii="Times New Roman" w:cs="Times New Roman" w:eastAsia="Times New Roman" w:hAnsi="Times New Roman"/>
                  <w:sz w:val="18"/>
                  <w:szCs w:val="18"/>
                  <w:color w:val="0000EE"/>
                </w:rPr>
                <w:t>prospectus supplement</w:t>
              </w:r>
            </w:hyperlink>
            <w:r>
              <w:rPr>
                <w:rFonts w:ascii="Times New Roman" w:cs="Times New Roman" w:eastAsia="Times New Roman" w:hAnsi="Times New Roman"/>
                <w:sz w:val="18"/>
                <w:szCs w:val="18"/>
                <w:color w:val="auto"/>
              </w:rPr>
              <w:t>, in the form filed by the Registrant with the Securities and Exchange</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48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Commission on November 8, 2018 pursuant to Rule 424(b) under the Securities Act of 1933, as amended)</w:t>
            </w:r>
          </w:p>
        </w:tc>
        <w:tc>
          <w:tcPr>
            <w:tcW w:w="0" w:type="dxa"/>
            <w:vAlign w:val="bottom"/>
          </w:tcPr>
          <w:p>
            <w:pPr>
              <w:spacing w:after="0"/>
              <w:rPr>
                <w:sz w:val="1"/>
                <w:szCs w:val="1"/>
                <w:color w:val="auto"/>
              </w:rPr>
            </w:pPr>
          </w:p>
        </w:tc>
      </w:tr>
      <w:tr>
        <w:trPr>
          <w:trHeight w:val="306"/>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2.31</w:t>
            </w:r>
          </w:p>
        </w:tc>
        <w:tc>
          <w:tcPr>
            <w:tcW w:w="960" w:type="dxa"/>
            <w:vAlign w:val="bottom"/>
          </w:tcPr>
          <w:p>
            <w:pPr>
              <w:spacing w:after="0"/>
              <w:rPr>
                <w:sz w:val="24"/>
                <w:szCs w:val="24"/>
                <w:color w:val="auto"/>
              </w:rPr>
            </w:pPr>
          </w:p>
        </w:tc>
        <w:tc>
          <w:tcPr>
            <w:tcW w:w="948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Description of the Registrant’s US$300,000,000 1.625% Notes Due 2027 and US$700,000,000 2.375% Notes Due 2031</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48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(incorporated herein by reference to (i) the section titled “Description of Debt Securities” in the Registrants’ registration statement</w:t>
            </w: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480" w:type="dxa"/>
            <w:vAlign w:val="bottom"/>
            <w:gridSpan w:val="15"/>
          </w:tcPr>
          <w:p>
            <w:pPr>
              <w:spacing w:after="0" w:line="194"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w:t>
            </w:r>
            <w:hyperlink r:id="rId269">
              <w:r>
                <w:rPr>
                  <w:rFonts w:ascii="Times New Roman" w:cs="Times New Roman" w:eastAsia="Times New Roman" w:hAnsi="Times New Roman"/>
                  <w:sz w:val="18"/>
                  <w:szCs w:val="18"/>
                  <w:color w:val="0000EE"/>
                </w:rPr>
                <w:t>Form F-3</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(File No. 333-249314) filed with the Securities and Exchange Commission on October 5, 2020 and (ii) the section</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80" w:type="dxa"/>
            <w:vAlign w:val="bottom"/>
            <w:gridSpan w:val="15"/>
          </w:tcPr>
          <w:p>
            <w:pPr>
              <w:spacing w:after="0" w:line="196" w:lineRule="exact"/>
              <w:rPr>
                <w:rFonts w:ascii="Times New Roman" w:cs="Times New Roman" w:eastAsia="Times New Roman" w:hAnsi="Times New Roman"/>
                <w:sz w:val="18"/>
                <w:szCs w:val="18"/>
                <w:color w:val="auto"/>
                <w:w w:val="99"/>
              </w:rPr>
            </w:pPr>
            <w:r>
              <w:rPr>
                <w:rFonts w:ascii="Times New Roman" w:cs="Times New Roman" w:eastAsia="Times New Roman" w:hAnsi="Times New Roman"/>
                <w:sz w:val="18"/>
                <w:szCs w:val="18"/>
                <w:color w:val="auto"/>
                <w:w w:val="99"/>
              </w:rPr>
              <w:t xml:space="preserve">titled “Description of the Notes” in the </w:t>
            </w:r>
            <w:hyperlink r:id="rId270">
              <w:r>
                <w:rPr>
                  <w:rFonts w:ascii="Times New Roman" w:cs="Times New Roman" w:eastAsia="Times New Roman" w:hAnsi="Times New Roman"/>
                  <w:sz w:val="18"/>
                  <w:szCs w:val="18"/>
                  <w:color w:val="0000EE"/>
                  <w:w w:val="99"/>
                </w:rPr>
                <w:t>prospectus supplement</w:t>
              </w:r>
            </w:hyperlink>
            <w:r>
              <w:rPr>
                <w:rFonts w:ascii="Times New Roman" w:cs="Times New Roman" w:eastAsia="Times New Roman" w:hAnsi="Times New Roman"/>
                <w:sz w:val="18"/>
                <w:szCs w:val="18"/>
                <w:color w:val="auto"/>
                <w:w w:val="99"/>
              </w:rPr>
              <w:t>, in the form filed by the Registrant with the Securities and Exchange</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48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Commission on August 19, 2021 pursuant to Rule 424(b) under the Securities Act of 1933, as amended)</w:t>
            </w:r>
          </w:p>
        </w:tc>
        <w:tc>
          <w:tcPr>
            <w:tcW w:w="0" w:type="dxa"/>
            <w:vAlign w:val="bottom"/>
          </w:tcPr>
          <w:p>
            <w:pPr>
              <w:spacing w:after="0"/>
              <w:rPr>
                <w:sz w:val="1"/>
                <w:szCs w:val="1"/>
                <w:color w:val="auto"/>
              </w:rPr>
            </w:pPr>
          </w:p>
        </w:tc>
      </w:tr>
      <w:tr>
        <w:trPr>
          <w:trHeight w:val="283"/>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2.32</w:t>
            </w:r>
          </w:p>
        </w:tc>
        <w:tc>
          <w:tcPr>
            <w:tcW w:w="960" w:type="dxa"/>
            <w:vAlign w:val="bottom"/>
          </w:tcPr>
          <w:p>
            <w:pPr>
              <w:spacing w:after="0"/>
              <w:rPr>
                <w:sz w:val="24"/>
                <w:szCs w:val="24"/>
                <w:color w:val="auto"/>
              </w:rPr>
            </w:pPr>
          </w:p>
        </w:tc>
        <w:tc>
          <w:tcPr>
            <w:tcW w:w="9480" w:type="dxa"/>
            <w:vAlign w:val="bottom"/>
            <w:gridSpan w:val="15"/>
          </w:tcPr>
          <w:p>
            <w:pPr>
              <w:spacing w:after="0"/>
              <w:rPr>
                <w:rFonts w:ascii="Times New Roman" w:cs="Times New Roman" w:eastAsia="Times New Roman" w:hAnsi="Times New Roman"/>
                <w:sz w:val="18"/>
                <w:szCs w:val="18"/>
                <w:color w:val="0000EE"/>
              </w:rPr>
            </w:pPr>
            <w:hyperlink r:id="rId271">
              <w:r>
                <w:rPr>
                  <w:rFonts w:ascii="Times New Roman" w:cs="Times New Roman" w:eastAsia="Times New Roman" w:hAnsi="Times New Roman"/>
                  <w:sz w:val="18"/>
                  <w:szCs w:val="18"/>
                  <w:color w:val="0000EE"/>
                </w:rPr>
                <w:t>Eleventh Supplemental Indenture, dated as of March 12, 2025, between the Registrant and The Bank of New York Mellon, as</w:t>
              </w:r>
            </w:hyperlink>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29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100" w:type="dxa"/>
            <w:vAlign w:val="bottom"/>
            <w:tcBorders>
              <w:left w:val="single" w:sz="8" w:color="0000EE"/>
            </w:tcBorders>
            <w:gridSpan w:val="2"/>
            <w:shd w:val="clear" w:color="auto" w:fill="0000EE"/>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80" w:type="dxa"/>
            <w:vAlign w:val="bottom"/>
            <w:gridSpan w:val="15"/>
          </w:tcPr>
          <w:p>
            <w:pPr>
              <w:spacing w:after="0" w:line="196" w:lineRule="exact"/>
              <w:rPr>
                <w:rFonts w:ascii="Times New Roman" w:cs="Times New Roman" w:eastAsia="Times New Roman" w:hAnsi="Times New Roman"/>
                <w:sz w:val="18"/>
                <w:szCs w:val="18"/>
                <w:color w:val="0000EE"/>
              </w:rPr>
            </w:pPr>
            <w:hyperlink r:id="rId271">
              <w:r>
                <w:rPr>
                  <w:rFonts w:ascii="Times New Roman" w:cs="Times New Roman" w:eastAsia="Times New Roman" w:hAnsi="Times New Roman"/>
                  <w:sz w:val="18"/>
                  <w:szCs w:val="18"/>
                  <w:color w:val="0000EE"/>
                </w:rPr>
                <w:t>trustee, and The Bank of New York Mellon, Hong Kong Branch, as CMU Lodging and Paying Agent, Transfer Agent and</w:t>
              </w:r>
            </w:hyperlink>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29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100" w:type="dxa"/>
            <w:vAlign w:val="bottom"/>
            <w:tcBorders>
              <w:left w:val="single" w:sz="8" w:color="0000EE"/>
            </w:tcBorders>
            <w:gridSpan w:val="2"/>
            <w:shd w:val="clear" w:color="auto" w:fill="0000EE"/>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8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271">
              <w:r>
                <w:rPr>
                  <w:rFonts w:ascii="Times New Roman" w:cs="Times New Roman" w:eastAsia="Times New Roman" w:hAnsi="Times New Roman"/>
                  <w:sz w:val="18"/>
                  <w:szCs w:val="18"/>
                  <w:color w:val="0000EE"/>
                </w:rPr>
                <w:t>Registrar (incorporated by reference to Exhibit 10.1 to Form 6-K furnished with the Securities and Exchange Commission on</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2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271">
              <w:r>
                <w:rPr>
                  <w:rFonts w:ascii="Times New Roman" w:cs="Times New Roman" w:eastAsia="Times New Roman" w:hAnsi="Times New Roman"/>
                  <w:sz w:val="18"/>
                  <w:szCs w:val="18"/>
                  <w:color w:val="0000EE"/>
                  <w:w w:val="99"/>
                </w:rPr>
                <w:t>March 17, 2025)</w:t>
              </w:r>
            </w:hyperlink>
          </w:p>
        </w:tc>
        <w:tc>
          <w:tcPr>
            <w:tcW w:w="826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2.33</w:t>
            </w:r>
          </w:p>
        </w:tc>
        <w:tc>
          <w:tcPr>
            <w:tcW w:w="960" w:type="dxa"/>
            <w:vAlign w:val="bottom"/>
          </w:tcPr>
          <w:p>
            <w:pPr>
              <w:spacing w:after="0"/>
              <w:rPr>
                <w:sz w:val="24"/>
                <w:szCs w:val="24"/>
                <w:color w:val="auto"/>
              </w:rPr>
            </w:pPr>
          </w:p>
        </w:tc>
        <w:tc>
          <w:tcPr>
            <w:tcW w:w="9480" w:type="dxa"/>
            <w:vAlign w:val="bottom"/>
            <w:gridSpan w:val="15"/>
          </w:tcPr>
          <w:p>
            <w:pPr>
              <w:spacing w:after="0"/>
              <w:rPr>
                <w:rFonts w:ascii="Times New Roman" w:cs="Times New Roman" w:eastAsia="Times New Roman" w:hAnsi="Times New Roman"/>
                <w:sz w:val="18"/>
                <w:szCs w:val="18"/>
                <w:color w:val="0000EE"/>
              </w:rPr>
            </w:pPr>
            <w:hyperlink r:id="rId271">
              <w:r>
                <w:rPr>
                  <w:rFonts w:ascii="Times New Roman" w:cs="Times New Roman" w:eastAsia="Times New Roman" w:hAnsi="Times New Roman"/>
                  <w:sz w:val="18"/>
                  <w:szCs w:val="18"/>
                  <w:color w:val="0000EE"/>
                </w:rPr>
                <w:t>Form of 2.70% Notes due 2030 (included in Exhibit 2.32)</w:t>
              </w:r>
            </w:hyperlink>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520" w:type="dxa"/>
            <w:vAlign w:val="bottom"/>
            <w:gridSpan w:val="6"/>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0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2.34</w:t>
            </w:r>
          </w:p>
        </w:tc>
        <w:tc>
          <w:tcPr>
            <w:tcW w:w="960" w:type="dxa"/>
            <w:vAlign w:val="bottom"/>
          </w:tcPr>
          <w:p>
            <w:pPr>
              <w:spacing w:after="0"/>
              <w:rPr>
                <w:sz w:val="24"/>
                <w:szCs w:val="24"/>
                <w:color w:val="auto"/>
              </w:rPr>
            </w:pPr>
          </w:p>
        </w:tc>
        <w:tc>
          <w:tcPr>
            <w:tcW w:w="9480" w:type="dxa"/>
            <w:vAlign w:val="bottom"/>
            <w:gridSpan w:val="15"/>
          </w:tcPr>
          <w:p>
            <w:pPr>
              <w:spacing w:after="0"/>
              <w:rPr>
                <w:rFonts w:ascii="Times New Roman" w:cs="Times New Roman" w:eastAsia="Times New Roman" w:hAnsi="Times New Roman"/>
                <w:sz w:val="18"/>
                <w:szCs w:val="18"/>
                <w:color w:val="0000EE"/>
              </w:rPr>
            </w:pPr>
            <w:hyperlink r:id="rId271">
              <w:r>
                <w:rPr>
                  <w:rFonts w:ascii="Times New Roman" w:cs="Times New Roman" w:eastAsia="Times New Roman" w:hAnsi="Times New Roman"/>
                  <w:sz w:val="18"/>
                  <w:szCs w:val="18"/>
                  <w:color w:val="0000EE"/>
                </w:rPr>
                <w:t>Form of 3.00% Notes due 2035 (included in Exhibit 2.32)</w:t>
              </w:r>
            </w:hyperlink>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520" w:type="dxa"/>
            <w:vAlign w:val="bottom"/>
            <w:gridSpan w:val="6"/>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0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2.35</w:t>
            </w:r>
          </w:p>
        </w:tc>
        <w:tc>
          <w:tcPr>
            <w:tcW w:w="960" w:type="dxa"/>
            <w:vAlign w:val="bottom"/>
          </w:tcPr>
          <w:p>
            <w:pPr>
              <w:spacing w:after="0"/>
              <w:rPr>
                <w:sz w:val="24"/>
                <w:szCs w:val="24"/>
                <w:color w:val="auto"/>
              </w:rPr>
            </w:pPr>
          </w:p>
        </w:tc>
        <w:tc>
          <w:tcPr>
            <w:tcW w:w="948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rPr>
            </w:pPr>
            <w:hyperlink r:id="rId272">
              <w:r>
                <w:rPr>
                  <w:rFonts w:ascii="Times New Roman" w:cs="Times New Roman" w:eastAsia="Times New Roman" w:hAnsi="Times New Roman"/>
                  <w:sz w:val="18"/>
                  <w:szCs w:val="18"/>
                  <w:color w:val="0000EE"/>
                </w:rPr>
                <w:t>Trust Deed, dated as of March 12, 2025, between the Registrant and the Bank of New York Mellon, London Branch, as trustee</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80" w:type="dxa"/>
            <w:vAlign w:val="bottom"/>
            <w:gridSpan w:val="15"/>
          </w:tcPr>
          <w:p>
            <w:pPr>
              <w:spacing w:after="0" w:line="196" w:lineRule="exact"/>
              <w:rPr>
                <w:rFonts w:ascii="Times New Roman" w:cs="Times New Roman" w:eastAsia="Times New Roman" w:hAnsi="Times New Roman"/>
                <w:sz w:val="18"/>
                <w:szCs w:val="18"/>
                <w:color w:val="0000EE"/>
              </w:rPr>
            </w:pPr>
            <w:hyperlink r:id="rId272">
              <w:r>
                <w:rPr>
                  <w:rFonts w:ascii="Times New Roman" w:cs="Times New Roman" w:eastAsia="Times New Roman" w:hAnsi="Times New Roman"/>
                  <w:sz w:val="18"/>
                  <w:szCs w:val="18"/>
                  <w:color w:val="0000EE"/>
                </w:rPr>
                <w:t>(incorporated by reference to Exhibit 10.2 to Form 6-K furnished with the Securities and Exchange Commission on March 17,</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5"/>
              </w:rPr>
            </w:pPr>
            <w:hyperlink r:id="rId272">
              <w:r>
                <w:rPr>
                  <w:rFonts w:ascii="Times New Roman" w:cs="Times New Roman" w:eastAsia="Times New Roman" w:hAnsi="Times New Roman"/>
                  <w:sz w:val="18"/>
                  <w:szCs w:val="18"/>
                  <w:color w:val="0000EE"/>
                  <w:w w:val="95"/>
                </w:rPr>
                <w:t>2025)</w:t>
              </w:r>
            </w:hyperlink>
          </w:p>
        </w:tc>
        <w:tc>
          <w:tcPr>
            <w:tcW w:w="24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3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3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820" w:type="dxa"/>
            <w:vAlign w:val="bottom"/>
            <w:tcBorders>
              <w:top w:val="single" w:sz="8" w:color="0000EE"/>
            </w:tcBorders>
          </w:tcPr>
          <w:p>
            <w:pPr>
              <w:spacing w:after="0"/>
              <w:rPr>
                <w:sz w:val="17"/>
                <w:szCs w:val="17"/>
                <w:color w:val="auto"/>
              </w:rPr>
            </w:pPr>
          </w:p>
        </w:tc>
        <w:tc>
          <w:tcPr>
            <w:tcW w:w="21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2.36</w:t>
            </w:r>
          </w:p>
        </w:tc>
        <w:tc>
          <w:tcPr>
            <w:tcW w:w="960" w:type="dxa"/>
            <w:vAlign w:val="bottom"/>
          </w:tcPr>
          <w:p>
            <w:pPr>
              <w:spacing w:after="0"/>
              <w:rPr>
                <w:sz w:val="24"/>
                <w:szCs w:val="24"/>
                <w:color w:val="auto"/>
              </w:rPr>
            </w:pPr>
          </w:p>
        </w:tc>
        <w:tc>
          <w:tcPr>
            <w:tcW w:w="948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rPr>
            </w:pPr>
            <w:hyperlink r:id="rId272">
              <w:r>
                <w:rPr>
                  <w:rFonts w:ascii="Times New Roman" w:cs="Times New Roman" w:eastAsia="Times New Roman" w:hAnsi="Times New Roman"/>
                  <w:sz w:val="18"/>
                  <w:szCs w:val="18"/>
                  <w:color w:val="0000EE"/>
                </w:rPr>
                <w:t>Terms and Conditions of the Bonds, Schedule 4 to the Trust Deed, dated as of March 12, 2025, between the Registrant and the</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8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272">
              <w:r>
                <w:rPr>
                  <w:rFonts w:ascii="Times New Roman" w:cs="Times New Roman" w:eastAsia="Times New Roman" w:hAnsi="Times New Roman"/>
                  <w:sz w:val="18"/>
                  <w:szCs w:val="18"/>
                  <w:color w:val="0000EE"/>
                </w:rPr>
                <w:t>Bank of New York Mellon, Longdon Branch, as trustee (incorporated by reference to Exhibit 10.3 to Form 6-K furnished with the</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80" w:type="dxa"/>
            <w:vAlign w:val="bottom"/>
            <w:gridSpan w:val="15"/>
          </w:tcPr>
          <w:p>
            <w:pPr>
              <w:spacing w:after="0" w:line="196" w:lineRule="exact"/>
              <w:rPr>
                <w:rFonts w:ascii="Times New Roman" w:cs="Times New Roman" w:eastAsia="Times New Roman" w:hAnsi="Times New Roman"/>
                <w:sz w:val="18"/>
                <w:szCs w:val="18"/>
                <w:color w:val="0000EE"/>
              </w:rPr>
            </w:pPr>
            <w:hyperlink r:id="rId272">
              <w:r>
                <w:rPr>
                  <w:rFonts w:ascii="Times New Roman" w:cs="Times New Roman" w:eastAsia="Times New Roman" w:hAnsi="Times New Roman"/>
                  <w:sz w:val="18"/>
                  <w:szCs w:val="18"/>
                  <w:color w:val="0000EE"/>
                </w:rPr>
                <w:t>Securities and Exchange Commission on March 17, 2025)</w:t>
              </w:r>
            </w:hyperlink>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3540" w:type="dxa"/>
            <w:vAlign w:val="bottom"/>
            <w:gridSpan w:val="7"/>
            <w:shd w:val="clear" w:color="auto" w:fill="0000EE"/>
          </w:tcPr>
          <w:p>
            <w:pPr>
              <w:spacing w:after="0" w:line="20" w:lineRule="exact"/>
              <w:rPr>
                <w:sz w:val="1"/>
                <w:szCs w:val="1"/>
                <w:color w:val="auto"/>
              </w:rPr>
            </w:pPr>
          </w:p>
        </w:tc>
        <w:tc>
          <w:tcPr>
            <w:tcW w:w="310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2.37</w:t>
            </w:r>
          </w:p>
        </w:tc>
        <w:tc>
          <w:tcPr>
            <w:tcW w:w="960" w:type="dxa"/>
            <w:vAlign w:val="bottom"/>
          </w:tcPr>
          <w:p>
            <w:pPr>
              <w:spacing w:after="0"/>
              <w:rPr>
                <w:sz w:val="24"/>
                <w:szCs w:val="24"/>
                <w:color w:val="auto"/>
              </w:rPr>
            </w:pPr>
          </w:p>
        </w:tc>
        <w:tc>
          <w:tcPr>
            <w:tcW w:w="730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272">
              <w:r>
                <w:rPr>
                  <w:rFonts w:ascii="Times New Roman" w:cs="Times New Roman" w:eastAsia="Times New Roman" w:hAnsi="Times New Roman"/>
                  <w:sz w:val="18"/>
                  <w:szCs w:val="18"/>
                  <w:color w:val="0000EE"/>
                  <w:w w:val="99"/>
                </w:rPr>
                <w:t>Form of Global Certificate of Zero Coupon Exchangeable Bonds due 2032 (included in Exhibit 2.35)</w:t>
              </w:r>
            </w:hyperlink>
          </w:p>
        </w:tc>
        <w:tc>
          <w:tcPr>
            <w:tcW w:w="21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88"/>
              </w:rPr>
              <w:t>    2.38*</w:t>
            </w:r>
          </w:p>
        </w:tc>
        <w:tc>
          <w:tcPr>
            <w:tcW w:w="960" w:type="dxa"/>
            <w:vAlign w:val="bottom"/>
          </w:tcPr>
          <w:p>
            <w:pPr>
              <w:spacing w:after="0"/>
              <w:rPr>
                <w:sz w:val="24"/>
                <w:szCs w:val="24"/>
                <w:color w:val="auto"/>
              </w:rPr>
            </w:pPr>
          </w:p>
        </w:tc>
        <w:tc>
          <w:tcPr>
            <w:tcW w:w="948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rPr>
              <w:t>Twelfth Supplemental Indenture, dated as of September 15, 2025, between the Registrant and The Bank of New York Mellon, as</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8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trustee, and The Bank of New York Mellon, Hong Kong Branch, as CMU Lodging and Paying Agent, Transfer Agent and</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60" w:type="dxa"/>
            <w:vAlign w:val="bottom"/>
            <w:tcBorders>
              <w:top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Registrar</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gridSpan w:val="2"/>
          </w:tcPr>
          <w:p>
            <w:pPr>
              <w:spacing w:after="0"/>
              <w:rPr>
                <w:sz w:val="24"/>
                <w:szCs w:val="24"/>
                <w:color w:val="auto"/>
              </w:rPr>
            </w:pPr>
          </w:p>
        </w:tc>
        <w:tc>
          <w:tcPr>
            <w:tcW w:w="640" w:type="dxa"/>
            <w:vAlign w:val="bottom"/>
            <w:tcBorders>
              <w:top w:val="single" w:sz="8" w:color="0000EE"/>
            </w:tcBorders>
            <w:gridSpan w:val="3"/>
          </w:tcPr>
          <w:p>
            <w:pPr>
              <w:spacing w:after="0"/>
              <w:rPr>
                <w:sz w:val="24"/>
                <w:szCs w:val="24"/>
                <w:color w:val="auto"/>
              </w:rPr>
            </w:pPr>
          </w:p>
        </w:tc>
        <w:tc>
          <w:tcPr>
            <w:tcW w:w="3520" w:type="dxa"/>
            <w:vAlign w:val="bottom"/>
            <w:gridSpan w:val="6"/>
          </w:tcPr>
          <w:p>
            <w:pPr>
              <w:jc w:val="right"/>
              <w:ind w:right="8"/>
              <w:spacing w:after="0"/>
              <w:rPr>
                <w:sz w:val="20"/>
                <w:szCs w:val="20"/>
                <w:color w:val="auto"/>
              </w:rPr>
            </w:pPr>
            <w:r>
              <w:rPr>
                <w:rFonts w:ascii="Times New Roman" w:cs="Times New Roman" w:eastAsia="Times New Roman" w:hAnsi="Times New Roman"/>
                <w:sz w:val="18"/>
                <w:szCs w:val="18"/>
                <w:color w:val="auto"/>
              </w:rPr>
              <w:t>212</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7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0" w:type="dxa"/>
            <w:vAlign w:val="bottom"/>
          </w:tcPr>
          <w:p>
            <w:pPr>
              <w:spacing w:after="0"/>
              <w:rPr>
                <w:sz w:val="13"/>
                <w:szCs w:val="13"/>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20" w:type="dxa"/>
            <w:vAlign w:val="bottom"/>
            <w:gridSpan w:val="9"/>
            <w:vMerge w:val="restart"/>
          </w:tcPr>
          <w:p>
            <w:pPr>
              <w:ind w:left="132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0" w:type="dxa"/>
            <w:vAlign w:val="bottom"/>
          </w:tcPr>
          <w:p>
            <w:pPr>
              <w:spacing w:after="0"/>
              <w:rPr>
                <w:sz w:val="1"/>
                <w:szCs w:val="1"/>
                <w:color w:val="auto"/>
              </w:rPr>
            </w:pPr>
          </w:p>
        </w:tc>
      </w:tr>
      <w:tr>
        <w:trPr>
          <w:trHeight w:val="180"/>
        </w:trPr>
        <w:tc>
          <w:tcPr>
            <w:tcW w:w="80" w:type="dxa"/>
            <w:vAlign w:val="bottom"/>
          </w:tcPr>
          <w:p>
            <w:pPr>
              <w:spacing w:after="0"/>
              <w:rPr>
                <w:sz w:val="15"/>
                <w:szCs w:val="15"/>
                <w:color w:val="auto"/>
              </w:rPr>
            </w:pP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6820" w:type="dxa"/>
            <w:vAlign w:val="bottom"/>
            <w:tcBorders>
              <w:bottom w:val="single" w:sz="8" w:color="auto"/>
            </w:tcBorders>
            <w:gridSpan w:val="9"/>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88"/>
              </w:rPr>
              <w:t>    2.39*</w:t>
            </w:r>
          </w:p>
        </w:tc>
        <w:tc>
          <w:tcPr>
            <w:tcW w:w="960" w:type="dxa"/>
            <w:vAlign w:val="bottom"/>
          </w:tcPr>
          <w:p>
            <w:pPr>
              <w:spacing w:after="0"/>
              <w:rPr>
                <w:sz w:val="23"/>
                <w:szCs w:val="23"/>
                <w:color w:val="auto"/>
              </w:rPr>
            </w:pPr>
          </w:p>
        </w:tc>
        <w:tc>
          <w:tcPr>
            <w:tcW w:w="948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Form of 1.90% Notes due 2029 (included in Exhibit 2.38)</w:t>
            </w:r>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4.1</w:t>
            </w:r>
          </w:p>
        </w:tc>
        <w:tc>
          <w:tcPr>
            <w:tcW w:w="960" w:type="dxa"/>
            <w:vAlign w:val="bottom"/>
          </w:tcPr>
          <w:p>
            <w:pPr>
              <w:spacing w:after="0"/>
              <w:rPr>
                <w:sz w:val="24"/>
                <w:szCs w:val="24"/>
                <w:color w:val="auto"/>
              </w:rPr>
            </w:pPr>
          </w:p>
        </w:tc>
        <w:tc>
          <w:tcPr>
            <w:tcW w:w="948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274">
              <w:r>
                <w:rPr>
                  <w:rFonts w:ascii="Times New Roman" w:cs="Times New Roman" w:eastAsia="Times New Roman" w:hAnsi="Times New Roman"/>
                  <w:sz w:val="18"/>
                  <w:szCs w:val="18"/>
                  <w:color w:val="0000EE"/>
                </w:rPr>
                <w:t>2000 Option Plan (amended and restated effective December 16, 2008) (incorporated by reference to Exhibit 99.3 of Form 6-K</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80" w:type="dxa"/>
            <w:vAlign w:val="bottom"/>
            <w:gridSpan w:val="14"/>
          </w:tcPr>
          <w:p>
            <w:pPr>
              <w:spacing w:after="0" w:line="196" w:lineRule="exact"/>
              <w:rPr>
                <w:rFonts w:ascii="Times New Roman" w:cs="Times New Roman" w:eastAsia="Times New Roman" w:hAnsi="Times New Roman"/>
                <w:sz w:val="18"/>
                <w:szCs w:val="18"/>
                <w:color w:val="0000EE"/>
              </w:rPr>
            </w:pPr>
            <w:hyperlink r:id="rId274">
              <w:r>
                <w:rPr>
                  <w:rFonts w:ascii="Times New Roman" w:cs="Times New Roman" w:eastAsia="Times New Roman" w:hAnsi="Times New Roman"/>
                  <w:sz w:val="18"/>
                  <w:szCs w:val="18"/>
                  <w:color w:val="0000EE"/>
                </w:rPr>
                <w:t>furnished with the Securities and Exchange Commission on December 17, 2008)</w:t>
              </w:r>
            </w:hyperlink>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4.2</w:t>
            </w:r>
          </w:p>
        </w:tc>
        <w:tc>
          <w:tcPr>
            <w:tcW w:w="960" w:type="dxa"/>
            <w:vAlign w:val="bottom"/>
          </w:tcPr>
          <w:p>
            <w:pPr>
              <w:spacing w:after="0"/>
              <w:rPr>
                <w:sz w:val="24"/>
                <w:szCs w:val="24"/>
                <w:color w:val="auto"/>
              </w:rPr>
            </w:pPr>
          </w:p>
        </w:tc>
        <w:tc>
          <w:tcPr>
            <w:tcW w:w="9480" w:type="dxa"/>
            <w:vAlign w:val="bottom"/>
            <w:gridSpan w:val="14"/>
          </w:tcPr>
          <w:p>
            <w:pPr>
              <w:spacing w:after="0"/>
              <w:rPr>
                <w:rFonts w:ascii="Times New Roman" w:cs="Times New Roman" w:eastAsia="Times New Roman" w:hAnsi="Times New Roman"/>
                <w:sz w:val="18"/>
                <w:szCs w:val="18"/>
                <w:color w:val="0000EE"/>
              </w:rPr>
            </w:pPr>
            <w:hyperlink r:id="rId275">
              <w:r>
                <w:rPr>
                  <w:rFonts w:ascii="Times New Roman" w:cs="Times New Roman" w:eastAsia="Times New Roman" w:hAnsi="Times New Roman"/>
                  <w:sz w:val="18"/>
                  <w:szCs w:val="18"/>
                  <w:color w:val="0000EE"/>
                </w:rPr>
                <w:t>2008 Share Incentive Plan (incorporated by reference to Exhibit 99.4 of Form 6-K furnished with the Securities and Exchange</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6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275">
              <w:r>
                <w:rPr>
                  <w:rFonts w:ascii="Times New Roman" w:cs="Times New Roman" w:eastAsia="Times New Roman" w:hAnsi="Times New Roman"/>
                  <w:sz w:val="18"/>
                  <w:szCs w:val="18"/>
                  <w:color w:val="0000EE"/>
                </w:rPr>
                <w:t>Commission on December 17, 2008)</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4.3</w:t>
            </w:r>
          </w:p>
        </w:tc>
        <w:tc>
          <w:tcPr>
            <w:tcW w:w="960" w:type="dxa"/>
            <w:vAlign w:val="bottom"/>
          </w:tcPr>
          <w:p>
            <w:pPr>
              <w:spacing w:after="0"/>
              <w:rPr>
                <w:sz w:val="24"/>
                <w:szCs w:val="24"/>
                <w:color w:val="auto"/>
              </w:rPr>
            </w:pPr>
          </w:p>
        </w:tc>
        <w:tc>
          <w:tcPr>
            <w:tcW w:w="948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276">
              <w:r>
                <w:rPr>
                  <w:rFonts w:ascii="Times New Roman" w:cs="Times New Roman" w:eastAsia="Times New Roman" w:hAnsi="Times New Roman"/>
                  <w:sz w:val="18"/>
                  <w:szCs w:val="18"/>
                  <w:color w:val="0000EE"/>
                </w:rPr>
                <w:t>Form of Indemnification Agreement between the Registrant and the Registrant’s directors (incorporated by reference to Exhibit</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8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276">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3</w:t>
              </w:r>
              <w:r>
                <w:rPr>
                  <w:rFonts w:ascii="Times New Roman" w:cs="Times New Roman" w:eastAsia="Times New Roman" w:hAnsi="Times New Roman"/>
                  <w:sz w:val="18"/>
                  <w:szCs w:val="18"/>
                  <w:color w:val="0000EE"/>
                </w:rPr>
                <w:t xml:space="preserve"> of our Registration Statement on Form F-1 (file no. 333-126534) filed with the Securities and Exchange Commission on</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80" w:type="dxa"/>
            <w:vAlign w:val="bottom"/>
            <w:gridSpan w:val="14"/>
          </w:tcPr>
          <w:p>
            <w:pPr>
              <w:spacing w:after="0" w:line="196" w:lineRule="exact"/>
              <w:rPr>
                <w:rFonts w:ascii="Times New Roman" w:cs="Times New Roman" w:eastAsia="Times New Roman" w:hAnsi="Times New Roman"/>
                <w:sz w:val="18"/>
                <w:szCs w:val="18"/>
                <w:color w:val="0000EE"/>
              </w:rPr>
            </w:pPr>
            <w:hyperlink r:id="rId276">
              <w:r>
                <w:rPr>
                  <w:rFonts w:ascii="Times New Roman" w:cs="Times New Roman" w:eastAsia="Times New Roman" w:hAnsi="Times New Roman"/>
                  <w:sz w:val="18"/>
                  <w:szCs w:val="18"/>
                  <w:color w:val="0000EE"/>
                </w:rPr>
                <w:t>July 12, 2005)</w:t>
              </w:r>
            </w:hyperlink>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4.4</w:t>
            </w:r>
          </w:p>
        </w:tc>
        <w:tc>
          <w:tcPr>
            <w:tcW w:w="960" w:type="dxa"/>
            <w:vAlign w:val="bottom"/>
          </w:tcPr>
          <w:p>
            <w:pPr>
              <w:spacing w:after="0"/>
              <w:rPr>
                <w:sz w:val="24"/>
                <w:szCs w:val="24"/>
                <w:color w:val="auto"/>
              </w:rPr>
            </w:pPr>
          </w:p>
        </w:tc>
        <w:tc>
          <w:tcPr>
            <w:tcW w:w="948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277">
              <w:r>
                <w:rPr>
                  <w:rFonts w:ascii="Times New Roman" w:cs="Times New Roman" w:eastAsia="Times New Roman" w:hAnsi="Times New Roman"/>
                  <w:sz w:val="18"/>
                  <w:szCs w:val="18"/>
                  <w:color w:val="0000EE"/>
                </w:rPr>
                <w:t>Form of Employment Agreement between the Registrant and an Executive Officer of the Registrant (incorporated by reference to</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8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277">
              <w:r>
                <w:rPr>
                  <w:rFonts w:ascii="Times New Roman" w:cs="Times New Roman" w:eastAsia="Times New Roman" w:hAnsi="Times New Roman"/>
                  <w:sz w:val="18"/>
                  <w:szCs w:val="18"/>
                  <w:color w:val="0000EE"/>
                </w:rPr>
                <w:t>Exhibit 10.4 of our Registration Statement on Form F-1 (file no. 333-126534) filed with the Securities and Exchange Commission</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80" w:type="dxa"/>
            <w:vAlign w:val="bottom"/>
            <w:gridSpan w:val="14"/>
          </w:tcPr>
          <w:p>
            <w:pPr>
              <w:spacing w:after="0" w:line="196" w:lineRule="exact"/>
              <w:rPr>
                <w:rFonts w:ascii="Times New Roman" w:cs="Times New Roman" w:eastAsia="Times New Roman" w:hAnsi="Times New Roman"/>
                <w:sz w:val="18"/>
                <w:szCs w:val="18"/>
                <w:color w:val="0000EE"/>
              </w:rPr>
            </w:pPr>
            <w:hyperlink r:id="rId277">
              <w:r>
                <w:rPr>
                  <w:rFonts w:ascii="Times New Roman" w:cs="Times New Roman" w:eastAsia="Times New Roman" w:hAnsi="Times New Roman"/>
                  <w:sz w:val="18"/>
                  <w:szCs w:val="18"/>
                  <w:color w:val="0000EE"/>
                </w:rPr>
                <w:t>on July 12, 2005)</w:t>
              </w:r>
            </w:hyperlink>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60" w:type="dxa"/>
            <w:vAlign w:val="bottom"/>
            <w:gridSpan w:val="3"/>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4.5</w:t>
            </w:r>
          </w:p>
        </w:tc>
        <w:tc>
          <w:tcPr>
            <w:tcW w:w="960" w:type="dxa"/>
            <w:vAlign w:val="bottom"/>
          </w:tcPr>
          <w:p>
            <w:pPr>
              <w:spacing w:after="0"/>
              <w:rPr>
                <w:sz w:val="24"/>
                <w:szCs w:val="24"/>
                <w:color w:val="auto"/>
              </w:rPr>
            </w:pPr>
          </w:p>
        </w:tc>
        <w:tc>
          <w:tcPr>
            <w:tcW w:w="948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278">
              <w:r>
                <w:rPr>
                  <w:rFonts w:ascii="Times New Roman" w:cs="Times New Roman" w:eastAsia="Times New Roman" w:hAnsi="Times New Roman"/>
                  <w:sz w:val="18"/>
                  <w:szCs w:val="18"/>
                  <w:color w:val="0000EE"/>
                </w:rPr>
                <w:t>Translation of Exclusive Technology Consulting and Services Agreement dated March 22, 2005 between Baidu Online and Baidu</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8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278">
              <w:r>
                <w:rPr>
                  <w:rFonts w:ascii="Times New Roman" w:cs="Times New Roman" w:eastAsia="Times New Roman" w:hAnsi="Times New Roman"/>
                  <w:sz w:val="18"/>
                  <w:szCs w:val="18"/>
                  <w:color w:val="0000EE"/>
                </w:rPr>
                <w:t>Netcom and the supplementary agreement dated April 22, 2010 (incorporated by reference to Exhibit 4.6 of our Annual Report on</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80" w:type="dxa"/>
            <w:vAlign w:val="bottom"/>
            <w:gridSpan w:val="14"/>
          </w:tcPr>
          <w:p>
            <w:pPr>
              <w:spacing w:after="0" w:line="196" w:lineRule="exact"/>
              <w:rPr>
                <w:rFonts w:ascii="Times New Roman" w:cs="Times New Roman" w:eastAsia="Times New Roman" w:hAnsi="Times New Roman"/>
                <w:sz w:val="18"/>
                <w:szCs w:val="18"/>
                <w:color w:val="0000EE"/>
              </w:rPr>
            </w:pPr>
            <w:hyperlink r:id="rId278">
              <w:r>
                <w:rPr>
                  <w:rFonts w:ascii="Times New Roman" w:cs="Times New Roman" w:eastAsia="Times New Roman" w:hAnsi="Times New Roman"/>
                  <w:sz w:val="18"/>
                  <w:szCs w:val="18"/>
                  <w:color w:val="0000EE"/>
                </w:rPr>
                <w:t>Form 20-F filed with the Securities and Exchange Commission on March 29, 2012)</w:t>
              </w:r>
            </w:hyperlink>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20" w:type="dxa"/>
            <w:vAlign w:val="bottom"/>
            <w:gridSpan w:val="4"/>
            <w:shd w:val="clear" w:color="auto" w:fill="0000EE"/>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4.6</w:t>
            </w:r>
          </w:p>
        </w:tc>
        <w:tc>
          <w:tcPr>
            <w:tcW w:w="960" w:type="dxa"/>
            <w:vAlign w:val="bottom"/>
          </w:tcPr>
          <w:p>
            <w:pPr>
              <w:spacing w:after="0"/>
              <w:rPr>
                <w:sz w:val="24"/>
                <w:szCs w:val="24"/>
                <w:color w:val="auto"/>
              </w:rPr>
            </w:pPr>
          </w:p>
        </w:tc>
        <w:tc>
          <w:tcPr>
            <w:tcW w:w="9480" w:type="dxa"/>
            <w:vAlign w:val="bottom"/>
            <w:gridSpan w:val="14"/>
          </w:tcPr>
          <w:p>
            <w:pPr>
              <w:spacing w:after="0"/>
              <w:rPr>
                <w:rFonts w:ascii="Times New Roman" w:cs="Times New Roman" w:eastAsia="Times New Roman" w:hAnsi="Times New Roman"/>
                <w:sz w:val="18"/>
                <w:szCs w:val="18"/>
                <w:color w:val="0000EE"/>
              </w:rPr>
            </w:pPr>
            <w:hyperlink r:id="rId279">
              <w:r>
                <w:rPr>
                  <w:rFonts w:ascii="Times New Roman" w:cs="Times New Roman" w:eastAsia="Times New Roman" w:hAnsi="Times New Roman"/>
                  <w:sz w:val="18"/>
                  <w:szCs w:val="18"/>
                  <w:color w:val="0000EE"/>
                </w:rPr>
                <w:t>Translation of Operating Agreement dated March 22, 2005 between Baidu Online and Baidu Netcom (incorporated by reference to</w:t>
              </w:r>
            </w:hyperlink>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20" w:type="dxa"/>
            <w:vAlign w:val="bottom"/>
            <w:gridSpan w:val="4"/>
            <w:shd w:val="clear" w:color="auto" w:fill="0000EE"/>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08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8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279">
              <w:r>
                <w:rPr>
                  <w:rFonts w:ascii="Times New Roman" w:cs="Times New Roman" w:eastAsia="Times New Roman" w:hAnsi="Times New Roman"/>
                  <w:sz w:val="18"/>
                  <w:szCs w:val="18"/>
                  <w:color w:val="0000EE"/>
                </w:rPr>
                <w:t>Exhibit 99.4 of our Registration Statement on Form F-1 (file no. 333-126534) filed with the Securities and Exchange Commission</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80" w:type="dxa"/>
            <w:vAlign w:val="bottom"/>
            <w:gridSpan w:val="14"/>
          </w:tcPr>
          <w:p>
            <w:pPr>
              <w:spacing w:after="0" w:line="196" w:lineRule="exact"/>
              <w:rPr>
                <w:rFonts w:ascii="Times New Roman" w:cs="Times New Roman" w:eastAsia="Times New Roman" w:hAnsi="Times New Roman"/>
                <w:sz w:val="18"/>
                <w:szCs w:val="18"/>
                <w:color w:val="0000EE"/>
              </w:rPr>
            </w:pPr>
            <w:hyperlink r:id="rId279">
              <w:r>
                <w:rPr>
                  <w:rFonts w:ascii="Times New Roman" w:cs="Times New Roman" w:eastAsia="Times New Roman" w:hAnsi="Times New Roman"/>
                  <w:sz w:val="18"/>
                  <w:szCs w:val="18"/>
                  <w:color w:val="0000EE"/>
                </w:rPr>
                <w:t>on July 12, 2005)</w:t>
              </w:r>
            </w:hyperlink>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60" w:type="dxa"/>
            <w:vAlign w:val="bottom"/>
            <w:gridSpan w:val="3"/>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4.7</w:t>
            </w:r>
          </w:p>
        </w:tc>
        <w:tc>
          <w:tcPr>
            <w:tcW w:w="960" w:type="dxa"/>
            <w:vAlign w:val="bottom"/>
          </w:tcPr>
          <w:p>
            <w:pPr>
              <w:spacing w:after="0"/>
              <w:rPr>
                <w:sz w:val="24"/>
                <w:szCs w:val="24"/>
                <w:color w:val="auto"/>
              </w:rPr>
            </w:pPr>
          </w:p>
        </w:tc>
        <w:tc>
          <w:tcPr>
            <w:tcW w:w="9480" w:type="dxa"/>
            <w:vAlign w:val="bottom"/>
            <w:gridSpan w:val="14"/>
          </w:tcPr>
          <w:p>
            <w:pPr>
              <w:spacing w:after="0"/>
              <w:rPr>
                <w:rFonts w:ascii="Times New Roman" w:cs="Times New Roman" w:eastAsia="Times New Roman" w:hAnsi="Times New Roman"/>
                <w:sz w:val="18"/>
                <w:szCs w:val="18"/>
                <w:color w:val="0000EE"/>
              </w:rPr>
            </w:pPr>
            <w:hyperlink r:id="rId280">
              <w:r>
                <w:rPr>
                  <w:rFonts w:ascii="Times New Roman" w:cs="Times New Roman" w:eastAsia="Times New Roman" w:hAnsi="Times New Roman"/>
                  <w:sz w:val="18"/>
                  <w:szCs w:val="18"/>
                  <w:color w:val="0000EE"/>
                </w:rPr>
                <w:t>Translation of Software License Agreement dated March 22, 2005 between Baidu Online and Baidu Netcom (incorporated by</w:t>
              </w:r>
            </w:hyperlink>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20" w:type="dxa"/>
            <w:vAlign w:val="bottom"/>
            <w:gridSpan w:val="4"/>
            <w:shd w:val="clear" w:color="auto" w:fill="0000EE"/>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08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80" w:type="dxa"/>
            <w:vAlign w:val="bottom"/>
            <w:gridSpan w:val="14"/>
          </w:tcPr>
          <w:p>
            <w:pPr>
              <w:spacing w:after="0" w:line="196" w:lineRule="exact"/>
              <w:rPr>
                <w:rFonts w:ascii="Times New Roman" w:cs="Times New Roman" w:eastAsia="Times New Roman" w:hAnsi="Times New Roman"/>
                <w:sz w:val="18"/>
                <w:szCs w:val="18"/>
                <w:color w:val="0000EE"/>
              </w:rPr>
            </w:pPr>
            <w:hyperlink r:id="rId280">
              <w:r>
                <w:rPr>
                  <w:rFonts w:ascii="Times New Roman" w:cs="Times New Roman" w:eastAsia="Times New Roman" w:hAnsi="Times New Roman"/>
                  <w:sz w:val="18"/>
                  <w:szCs w:val="18"/>
                  <w:color w:val="0000EE"/>
                </w:rPr>
                <w:t>reference to Exhibit 99.5 of our Registration Statement on Form F-1 (file no. 333-126534) filed with the Securities and Exchange</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6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280">
              <w:r>
                <w:rPr>
                  <w:rFonts w:ascii="Times New Roman" w:cs="Times New Roman" w:eastAsia="Times New Roman" w:hAnsi="Times New Roman"/>
                  <w:sz w:val="18"/>
                  <w:szCs w:val="18"/>
                  <w:color w:val="0000EE"/>
                </w:rPr>
                <w:t>Commission on July 12, 2005)</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20" w:type="dxa"/>
            <w:vAlign w:val="bottom"/>
            <w:gridSpan w:val="4"/>
            <w:shd w:val="clear" w:color="auto" w:fill="0000EE"/>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4.8</w:t>
            </w:r>
          </w:p>
        </w:tc>
        <w:tc>
          <w:tcPr>
            <w:tcW w:w="960" w:type="dxa"/>
            <w:vAlign w:val="bottom"/>
          </w:tcPr>
          <w:p>
            <w:pPr>
              <w:spacing w:after="0"/>
              <w:rPr>
                <w:sz w:val="24"/>
                <w:szCs w:val="24"/>
                <w:color w:val="auto"/>
              </w:rPr>
            </w:pPr>
          </w:p>
        </w:tc>
        <w:tc>
          <w:tcPr>
            <w:tcW w:w="948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281">
              <w:r>
                <w:rPr>
                  <w:rFonts w:ascii="Times New Roman" w:cs="Times New Roman" w:eastAsia="Times New Roman" w:hAnsi="Times New Roman"/>
                  <w:sz w:val="18"/>
                  <w:szCs w:val="18"/>
                  <w:color w:val="0000EE"/>
                </w:rPr>
                <w:t>Translation of Web Layout Copyright License Agreement dated March 1, 2004 between Baidu Online and Baidu Netcom and the</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8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281">
              <w:r>
                <w:rPr>
                  <w:rFonts w:ascii="Times New Roman" w:cs="Times New Roman" w:eastAsia="Times New Roman" w:hAnsi="Times New Roman"/>
                  <w:sz w:val="18"/>
                  <w:szCs w:val="18"/>
                  <w:color w:val="0000EE"/>
                </w:rPr>
                <w:t>supplementary agreement dated August 9, 2004 (incorporated by reference to Exhibit 99.8 of our Registration Statement on Form</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80" w:type="dxa"/>
            <w:vAlign w:val="bottom"/>
            <w:gridSpan w:val="14"/>
          </w:tcPr>
          <w:p>
            <w:pPr>
              <w:spacing w:after="0" w:line="196" w:lineRule="exact"/>
              <w:rPr>
                <w:rFonts w:ascii="Times New Roman" w:cs="Times New Roman" w:eastAsia="Times New Roman" w:hAnsi="Times New Roman"/>
                <w:sz w:val="18"/>
                <w:szCs w:val="18"/>
                <w:color w:val="0000EE"/>
              </w:rPr>
            </w:pPr>
            <w:hyperlink r:id="rId281">
              <w:r>
                <w:rPr>
                  <w:rFonts w:ascii="Times New Roman" w:cs="Times New Roman" w:eastAsia="Times New Roman" w:hAnsi="Times New Roman"/>
                  <w:sz w:val="18"/>
                  <w:szCs w:val="18"/>
                  <w:color w:val="0000EE"/>
                </w:rPr>
                <w:t>F-1 (file no. 333-126534) filed with the Securities and Exchange Commission on July 12, 2005)</w:t>
              </w:r>
            </w:hyperlink>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40" w:type="dxa"/>
            <w:vAlign w:val="bottom"/>
            <w:gridSpan w:val="6"/>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080" w:type="dxa"/>
            <w:vAlign w:val="bottom"/>
            <w:gridSpan w:val="3"/>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4.9</w:t>
            </w:r>
          </w:p>
        </w:tc>
        <w:tc>
          <w:tcPr>
            <w:tcW w:w="960" w:type="dxa"/>
            <w:vAlign w:val="bottom"/>
          </w:tcPr>
          <w:p>
            <w:pPr>
              <w:spacing w:after="0"/>
              <w:rPr>
                <w:sz w:val="24"/>
                <w:szCs w:val="24"/>
                <w:color w:val="auto"/>
              </w:rPr>
            </w:pPr>
          </w:p>
        </w:tc>
        <w:tc>
          <w:tcPr>
            <w:tcW w:w="948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282">
              <w:r>
                <w:rPr>
                  <w:rFonts w:ascii="Times New Roman" w:cs="Times New Roman" w:eastAsia="Times New Roman" w:hAnsi="Times New Roman"/>
                  <w:sz w:val="18"/>
                  <w:szCs w:val="18"/>
                  <w:color w:val="0000EE"/>
                </w:rPr>
                <w:t>Translation of Proxy Agreement dated August 9, 2004 among Baidu Online, Baidu Netcom, Robin Yanhong Li and Eric Yong Xu</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8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282">
              <w:r>
                <w:rPr>
                  <w:rFonts w:ascii="Times New Roman" w:cs="Times New Roman" w:eastAsia="Times New Roman" w:hAnsi="Times New Roman"/>
                  <w:sz w:val="18"/>
                  <w:szCs w:val="18"/>
                  <w:color w:val="0000EE"/>
                </w:rPr>
                <w:t>(incorporated by reference to Exhibit 99.9 of our Registration Statement on Form F-1 (file no. 333-126534) filed with the</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4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282">
              <w:r>
                <w:rPr>
                  <w:rFonts w:ascii="Times New Roman" w:cs="Times New Roman" w:eastAsia="Times New Roman" w:hAnsi="Times New Roman"/>
                  <w:sz w:val="18"/>
                  <w:szCs w:val="18"/>
                  <w:color w:val="0000EE"/>
                  <w:w w:val="99"/>
                </w:rPr>
                <w:t>Securities and Exchange Commission on July 12, 2005)</w:t>
              </w:r>
            </w:hyperlink>
          </w:p>
        </w:tc>
        <w:tc>
          <w:tcPr>
            <w:tcW w:w="544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4.10</w:t>
            </w:r>
          </w:p>
        </w:tc>
        <w:tc>
          <w:tcPr>
            <w:tcW w:w="960" w:type="dxa"/>
            <w:vAlign w:val="bottom"/>
          </w:tcPr>
          <w:p>
            <w:pPr>
              <w:spacing w:after="0"/>
              <w:rPr>
                <w:sz w:val="24"/>
                <w:szCs w:val="24"/>
                <w:color w:val="auto"/>
              </w:rPr>
            </w:pPr>
          </w:p>
        </w:tc>
        <w:tc>
          <w:tcPr>
            <w:tcW w:w="9480" w:type="dxa"/>
            <w:vAlign w:val="bottom"/>
            <w:gridSpan w:val="14"/>
          </w:tcPr>
          <w:p>
            <w:pPr>
              <w:spacing w:after="0"/>
              <w:rPr>
                <w:rFonts w:ascii="Times New Roman" w:cs="Times New Roman" w:eastAsia="Times New Roman" w:hAnsi="Times New Roman"/>
                <w:sz w:val="18"/>
                <w:szCs w:val="18"/>
                <w:color w:val="0000EE"/>
              </w:rPr>
            </w:pPr>
            <w:hyperlink r:id="rId283">
              <w:r>
                <w:rPr>
                  <w:rFonts w:ascii="Times New Roman" w:cs="Times New Roman" w:eastAsia="Times New Roman" w:hAnsi="Times New Roman"/>
                  <w:sz w:val="18"/>
                  <w:szCs w:val="18"/>
                  <w:color w:val="0000EE"/>
                </w:rPr>
                <w:t>English summary of the form of Exclusive Technology Consulting and Services Agreement/ Exclusive Business Cooperation</w:t>
              </w:r>
            </w:hyperlink>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40" w:type="dxa"/>
            <w:vAlign w:val="bottom"/>
            <w:gridSpan w:val="8"/>
            <w:shd w:val="clear" w:color="auto" w:fill="0000EE"/>
          </w:tcPr>
          <w:p>
            <w:pPr>
              <w:spacing w:after="0" w:line="20" w:lineRule="exact"/>
              <w:rPr>
                <w:sz w:val="1"/>
                <w:szCs w:val="1"/>
                <w:color w:val="auto"/>
              </w:rPr>
            </w:pPr>
          </w:p>
        </w:tc>
        <w:tc>
          <w:tcPr>
            <w:tcW w:w="2520" w:type="dxa"/>
            <w:vAlign w:val="bottom"/>
            <w:gridSpan w:val="4"/>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8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283">
              <w:r>
                <w:rPr>
                  <w:rFonts w:ascii="Times New Roman" w:cs="Times New Roman" w:eastAsia="Times New Roman" w:hAnsi="Times New Roman"/>
                  <w:sz w:val="18"/>
                  <w:szCs w:val="18"/>
                  <w:color w:val="0000EE"/>
                </w:rPr>
                <w:t>Agreement between a subsidiary of the Registrant and a variable interest entity (incorporated by reference to Exhibit 4.10 of our</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80" w:type="dxa"/>
            <w:vAlign w:val="bottom"/>
            <w:gridSpan w:val="14"/>
          </w:tcPr>
          <w:p>
            <w:pPr>
              <w:spacing w:after="0" w:line="196" w:lineRule="exact"/>
              <w:rPr>
                <w:rFonts w:ascii="Times New Roman" w:cs="Times New Roman" w:eastAsia="Times New Roman" w:hAnsi="Times New Roman"/>
                <w:sz w:val="18"/>
                <w:szCs w:val="18"/>
                <w:color w:val="0000EE"/>
              </w:rPr>
            </w:pPr>
            <w:hyperlink r:id="rId283">
              <w:r>
                <w:rPr>
                  <w:rFonts w:ascii="Times New Roman" w:cs="Times New Roman" w:eastAsia="Times New Roman" w:hAnsi="Times New Roman"/>
                  <w:sz w:val="18"/>
                  <w:szCs w:val="18"/>
                  <w:color w:val="0000EE"/>
                </w:rPr>
                <w:t>Annual Report on Form 20-F filed with the Securities and Exchange Commission on March 28, 2022)</w:t>
              </w:r>
            </w:hyperlink>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40" w:type="dxa"/>
            <w:vAlign w:val="bottom"/>
            <w:gridSpan w:val="8"/>
            <w:shd w:val="clear" w:color="auto" w:fill="0000EE"/>
          </w:tcPr>
          <w:p>
            <w:pPr>
              <w:spacing w:after="0" w:line="20" w:lineRule="exact"/>
              <w:rPr>
                <w:sz w:val="1"/>
                <w:szCs w:val="1"/>
                <w:color w:val="auto"/>
              </w:rPr>
            </w:pPr>
          </w:p>
        </w:tc>
        <w:tc>
          <w:tcPr>
            <w:tcW w:w="2520" w:type="dxa"/>
            <w:vAlign w:val="bottom"/>
            <w:gridSpan w:val="4"/>
            <w:shd w:val="clear" w:color="auto" w:fill="0000EE"/>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4.11</w:t>
            </w:r>
          </w:p>
        </w:tc>
        <w:tc>
          <w:tcPr>
            <w:tcW w:w="960" w:type="dxa"/>
            <w:vAlign w:val="bottom"/>
          </w:tcPr>
          <w:p>
            <w:pPr>
              <w:spacing w:after="0"/>
              <w:rPr>
                <w:sz w:val="24"/>
                <w:szCs w:val="24"/>
                <w:color w:val="auto"/>
              </w:rPr>
            </w:pPr>
          </w:p>
        </w:tc>
        <w:tc>
          <w:tcPr>
            <w:tcW w:w="948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284">
              <w:r>
                <w:rPr>
                  <w:rFonts w:ascii="Times New Roman" w:cs="Times New Roman" w:eastAsia="Times New Roman" w:hAnsi="Times New Roman"/>
                  <w:sz w:val="18"/>
                  <w:szCs w:val="18"/>
                  <w:color w:val="0000EE"/>
                </w:rPr>
                <w:t>English summary of the form of Operation Agreement among a subsidiary of the Registrant, a variable interest entity and the</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8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284">
              <w:r>
                <w:rPr>
                  <w:rFonts w:ascii="Times New Roman" w:cs="Times New Roman" w:eastAsia="Times New Roman" w:hAnsi="Times New Roman"/>
                  <w:sz w:val="18"/>
                  <w:szCs w:val="18"/>
                  <w:color w:val="0000EE"/>
                </w:rPr>
                <w:t>shareholders of such variable interest entity (incorporated by reference to Exhibit 4.11 of our Annual Report on Form 20-F filed</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80" w:type="dxa"/>
            <w:vAlign w:val="bottom"/>
            <w:gridSpan w:val="14"/>
          </w:tcPr>
          <w:p>
            <w:pPr>
              <w:spacing w:after="0" w:line="196" w:lineRule="exact"/>
              <w:rPr>
                <w:rFonts w:ascii="Times New Roman" w:cs="Times New Roman" w:eastAsia="Times New Roman" w:hAnsi="Times New Roman"/>
                <w:sz w:val="18"/>
                <w:szCs w:val="18"/>
                <w:color w:val="0000EE"/>
              </w:rPr>
            </w:pPr>
            <w:hyperlink r:id="rId284">
              <w:r>
                <w:rPr>
                  <w:rFonts w:ascii="Times New Roman" w:cs="Times New Roman" w:eastAsia="Times New Roman" w:hAnsi="Times New Roman"/>
                  <w:sz w:val="18"/>
                  <w:szCs w:val="18"/>
                  <w:color w:val="0000EE"/>
                </w:rPr>
                <w:t>with the Securities and Exchange Commission on March 28, 2022)</w:t>
              </w:r>
            </w:hyperlink>
          </w:p>
        </w:tc>
        <w:tc>
          <w:tcPr>
            <w:tcW w:w="0" w:type="dxa"/>
            <w:vAlign w:val="bottom"/>
          </w:tcPr>
          <w:p>
            <w:pPr>
              <w:spacing w:after="0"/>
              <w:rPr>
                <w:sz w:val="1"/>
                <w:szCs w:val="1"/>
                <w:color w:val="auto"/>
              </w:rPr>
            </w:pPr>
          </w:p>
        </w:tc>
      </w:tr>
      <w:tr>
        <w:trPr>
          <w:trHeight w:val="385"/>
        </w:trPr>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gridSpan w:val="2"/>
          </w:tcPr>
          <w:p>
            <w:pPr>
              <w:spacing w:after="0"/>
              <w:rPr>
                <w:sz w:val="24"/>
                <w:szCs w:val="24"/>
                <w:color w:val="auto"/>
              </w:rPr>
            </w:pPr>
          </w:p>
        </w:tc>
        <w:tc>
          <w:tcPr>
            <w:tcW w:w="4160" w:type="dxa"/>
            <w:vAlign w:val="bottom"/>
            <w:tcBorders>
              <w:top w:val="single" w:sz="8" w:color="0000EE"/>
            </w:tcBorders>
            <w:gridSpan w:val="6"/>
          </w:tcPr>
          <w:p>
            <w:pPr>
              <w:jc w:val="right"/>
              <w:ind w:right="80"/>
              <w:spacing w:after="0"/>
              <w:rPr>
                <w:sz w:val="20"/>
                <w:szCs w:val="20"/>
                <w:color w:val="auto"/>
              </w:rPr>
            </w:pPr>
            <w:r>
              <w:rPr>
                <w:rFonts w:ascii="Times New Roman" w:cs="Times New Roman" w:eastAsia="Times New Roman" w:hAnsi="Times New Roman"/>
                <w:sz w:val="18"/>
                <w:szCs w:val="18"/>
                <w:color w:val="auto"/>
              </w:rPr>
              <w:t>213</w:t>
            </w:r>
          </w:p>
        </w:tc>
        <w:tc>
          <w:tcPr>
            <w:tcW w:w="660" w:type="dxa"/>
            <w:vAlign w:val="bottom"/>
            <w:tcBorders>
              <w:top w:val="single" w:sz="8" w:color="0000EE"/>
            </w:tcBorders>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8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0" w:type="dxa"/>
            <w:vAlign w:val="bottom"/>
          </w:tcPr>
          <w:p>
            <w:pPr>
              <w:spacing w:after="0"/>
              <w:rPr>
                <w:sz w:val="13"/>
                <w:szCs w:val="13"/>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340" w:type="dxa"/>
            <w:vAlign w:val="bottom"/>
            <w:gridSpan w:val="8"/>
            <w:vMerge w:val="restart"/>
          </w:tcPr>
          <w:p>
            <w:pPr>
              <w:ind w:left="84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0" w:type="dxa"/>
            <w:vAlign w:val="bottom"/>
          </w:tcPr>
          <w:p>
            <w:pPr>
              <w:spacing w:after="0"/>
              <w:rPr>
                <w:sz w:val="1"/>
                <w:szCs w:val="1"/>
                <w:color w:val="auto"/>
              </w:rPr>
            </w:pPr>
          </w:p>
        </w:tc>
      </w:tr>
      <w:tr>
        <w:trPr>
          <w:trHeight w:val="180"/>
        </w:trPr>
        <w:tc>
          <w:tcPr>
            <w:tcW w:w="80" w:type="dxa"/>
            <w:vAlign w:val="bottom"/>
          </w:tcPr>
          <w:p>
            <w:pPr>
              <w:spacing w:after="0"/>
              <w:rPr>
                <w:sz w:val="15"/>
                <w:szCs w:val="15"/>
                <w:color w:val="auto"/>
              </w:rPr>
            </w:pP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6340" w:type="dxa"/>
            <w:vAlign w:val="bottom"/>
            <w:tcBorders>
              <w:bottom w:val="single" w:sz="8" w:color="auto"/>
            </w:tcBorders>
            <w:gridSpan w:val="8"/>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4.12</w:t>
            </w:r>
          </w:p>
        </w:tc>
        <w:tc>
          <w:tcPr>
            <w:tcW w:w="960" w:type="dxa"/>
            <w:vAlign w:val="bottom"/>
          </w:tcPr>
          <w:p>
            <w:pPr>
              <w:spacing w:after="0"/>
              <w:rPr>
                <w:sz w:val="23"/>
                <w:szCs w:val="23"/>
                <w:color w:val="auto"/>
              </w:rPr>
            </w:pPr>
          </w:p>
        </w:tc>
        <w:tc>
          <w:tcPr>
            <w:tcW w:w="948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286">
              <w:r>
                <w:rPr>
                  <w:rFonts w:ascii="Times New Roman" w:cs="Times New Roman" w:eastAsia="Times New Roman" w:hAnsi="Times New Roman"/>
                  <w:sz w:val="18"/>
                  <w:szCs w:val="18"/>
                  <w:color w:val="0000EE"/>
                </w:rPr>
                <w:t>English summary of the form of Web Layout Copyright License Agreement, Software License Agreement and Trademark License</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286">
              <w:r>
                <w:rPr>
                  <w:rFonts w:ascii="Times New Roman" w:cs="Times New Roman" w:eastAsia="Times New Roman" w:hAnsi="Times New Roman"/>
                  <w:sz w:val="18"/>
                  <w:szCs w:val="18"/>
                  <w:color w:val="0000EE"/>
                </w:rPr>
                <w:t>Agreement between a subsidiary of the Registrant and a variable interest entity (incorporated by reference to Exhibit 4.12 of our</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80" w:type="dxa"/>
            <w:vAlign w:val="bottom"/>
            <w:gridSpan w:val="13"/>
          </w:tcPr>
          <w:p>
            <w:pPr>
              <w:spacing w:after="0" w:line="196" w:lineRule="exact"/>
              <w:rPr>
                <w:rFonts w:ascii="Times New Roman" w:cs="Times New Roman" w:eastAsia="Times New Roman" w:hAnsi="Times New Roman"/>
                <w:sz w:val="18"/>
                <w:szCs w:val="18"/>
                <w:color w:val="0000EE"/>
              </w:rPr>
            </w:pPr>
            <w:hyperlink r:id="rId286">
              <w:r>
                <w:rPr>
                  <w:rFonts w:ascii="Times New Roman" w:cs="Times New Roman" w:eastAsia="Times New Roman" w:hAnsi="Times New Roman"/>
                  <w:sz w:val="18"/>
                  <w:szCs w:val="18"/>
                  <w:color w:val="0000EE"/>
                </w:rPr>
                <w:t>Annual Report on Form 20-F filed with the Securities and Exchange Commission on March 15, 2019)</w:t>
              </w:r>
            </w:hyperlink>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4.13</w:t>
            </w:r>
          </w:p>
        </w:tc>
        <w:tc>
          <w:tcPr>
            <w:tcW w:w="960" w:type="dxa"/>
            <w:vAlign w:val="bottom"/>
          </w:tcPr>
          <w:p>
            <w:pPr>
              <w:spacing w:after="0"/>
              <w:rPr>
                <w:sz w:val="24"/>
                <w:szCs w:val="24"/>
                <w:color w:val="auto"/>
              </w:rPr>
            </w:pPr>
          </w:p>
        </w:tc>
        <w:tc>
          <w:tcPr>
            <w:tcW w:w="948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287">
              <w:r>
                <w:rPr>
                  <w:rFonts w:ascii="Times New Roman" w:cs="Times New Roman" w:eastAsia="Times New Roman" w:hAnsi="Times New Roman"/>
                  <w:sz w:val="18"/>
                  <w:szCs w:val="18"/>
                  <w:color w:val="0000EE"/>
                </w:rPr>
                <w:t>English summary of the form of Proxy Agreement/Power of Attorney among a subsidiary of the Registrant, a variable interest</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287">
              <w:r>
                <w:rPr>
                  <w:rFonts w:ascii="Times New Roman" w:cs="Times New Roman" w:eastAsia="Times New Roman" w:hAnsi="Times New Roman"/>
                  <w:sz w:val="18"/>
                  <w:szCs w:val="18"/>
                  <w:color w:val="0000EE"/>
                </w:rPr>
                <w:t>entity and the shareholders of the variable interest entity (incorporated by reference to Exhibit 4.13 of our Annual Report on Form</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60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287">
              <w:r>
                <w:rPr>
                  <w:rFonts w:ascii="Times New Roman" w:cs="Times New Roman" w:eastAsia="Times New Roman" w:hAnsi="Times New Roman"/>
                  <w:sz w:val="18"/>
                  <w:szCs w:val="18"/>
                  <w:color w:val="0000EE"/>
                  <w:w w:val="99"/>
                </w:rPr>
                <w:t>20-F filed with the Securities and Exchange Commission on March 28, 2022)</w:t>
              </w:r>
            </w:hyperlink>
          </w:p>
        </w:tc>
        <w:tc>
          <w:tcPr>
            <w:tcW w:w="38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4.14</w:t>
            </w:r>
          </w:p>
        </w:tc>
        <w:tc>
          <w:tcPr>
            <w:tcW w:w="960" w:type="dxa"/>
            <w:vAlign w:val="bottom"/>
          </w:tcPr>
          <w:p>
            <w:pPr>
              <w:spacing w:after="0"/>
              <w:rPr>
                <w:sz w:val="24"/>
                <w:szCs w:val="24"/>
                <w:color w:val="auto"/>
              </w:rPr>
            </w:pPr>
          </w:p>
        </w:tc>
        <w:tc>
          <w:tcPr>
            <w:tcW w:w="948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288">
              <w:r>
                <w:rPr>
                  <w:rFonts w:ascii="Times New Roman" w:cs="Times New Roman" w:eastAsia="Times New Roman" w:hAnsi="Times New Roman"/>
                  <w:sz w:val="18"/>
                  <w:szCs w:val="18"/>
                  <w:color w:val="0000EE"/>
                </w:rPr>
                <w:t>English summary of the form of Equity Pledge Agreement between a subsidiary of the Registrant and the shareholder of a variable</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288">
              <w:r>
                <w:rPr>
                  <w:rFonts w:ascii="Times New Roman" w:cs="Times New Roman" w:eastAsia="Times New Roman" w:hAnsi="Times New Roman"/>
                  <w:sz w:val="18"/>
                  <w:szCs w:val="18"/>
                  <w:color w:val="0000EE"/>
                </w:rPr>
                <w:t>interest entity (incorporated by reference to Exhibit 4.14 of our Annual Report on Form 20-F filed with the Securities and</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80" w:type="dxa"/>
            <w:vAlign w:val="bottom"/>
            <w:gridSpan w:val="13"/>
          </w:tcPr>
          <w:p>
            <w:pPr>
              <w:spacing w:after="0" w:line="196" w:lineRule="exact"/>
              <w:rPr>
                <w:rFonts w:ascii="Times New Roman" w:cs="Times New Roman" w:eastAsia="Times New Roman" w:hAnsi="Times New Roman"/>
                <w:sz w:val="18"/>
                <w:szCs w:val="18"/>
                <w:color w:val="0000EE"/>
              </w:rPr>
            </w:pPr>
            <w:hyperlink r:id="rId288">
              <w:r>
                <w:rPr>
                  <w:rFonts w:ascii="Times New Roman" w:cs="Times New Roman" w:eastAsia="Times New Roman" w:hAnsi="Times New Roman"/>
                  <w:sz w:val="18"/>
                  <w:szCs w:val="18"/>
                  <w:color w:val="0000EE"/>
                </w:rPr>
                <w:t>Exchange Commission on March 28, 2022)</w:t>
              </w:r>
            </w:hyperlink>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4.15</w:t>
            </w:r>
          </w:p>
        </w:tc>
        <w:tc>
          <w:tcPr>
            <w:tcW w:w="960" w:type="dxa"/>
            <w:vAlign w:val="bottom"/>
          </w:tcPr>
          <w:p>
            <w:pPr>
              <w:spacing w:after="0"/>
              <w:rPr>
                <w:sz w:val="24"/>
                <w:szCs w:val="24"/>
                <w:color w:val="auto"/>
              </w:rPr>
            </w:pPr>
          </w:p>
        </w:tc>
        <w:tc>
          <w:tcPr>
            <w:tcW w:w="948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289">
              <w:r>
                <w:rPr>
                  <w:rFonts w:ascii="Times New Roman" w:cs="Times New Roman" w:eastAsia="Times New Roman" w:hAnsi="Times New Roman"/>
                  <w:sz w:val="18"/>
                  <w:szCs w:val="18"/>
                  <w:color w:val="0000EE"/>
                </w:rPr>
                <w:t>English summary of the form of Exclusive Equity Purchase Option Agreement among a subsidiary of the Registrant, a variable</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289">
              <w:r>
                <w:rPr>
                  <w:rFonts w:ascii="Times New Roman" w:cs="Times New Roman" w:eastAsia="Times New Roman" w:hAnsi="Times New Roman"/>
                  <w:sz w:val="18"/>
                  <w:szCs w:val="18"/>
                  <w:color w:val="0000EE"/>
                </w:rPr>
                <w:t>interest entity, the shareholders of a variable interest entity and an offshore Holding company (if applicable) (incorporated by</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289">
              <w:r>
                <w:rPr>
                  <w:rFonts w:ascii="Times New Roman" w:cs="Times New Roman" w:eastAsia="Times New Roman" w:hAnsi="Times New Roman"/>
                  <w:sz w:val="18"/>
                  <w:szCs w:val="18"/>
                  <w:color w:val="0000EE"/>
                </w:rPr>
                <w:t>reference to Exhibit 4.15 of our Annual Report on Form 20-F filed with the Securities and Exchange Commission on March 28,</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5"/>
              </w:rPr>
            </w:pPr>
            <w:hyperlink r:id="rId289">
              <w:r>
                <w:rPr>
                  <w:rFonts w:ascii="Times New Roman" w:cs="Times New Roman" w:eastAsia="Times New Roman" w:hAnsi="Times New Roman"/>
                  <w:sz w:val="18"/>
                  <w:szCs w:val="18"/>
                  <w:color w:val="0000EE"/>
                  <w:w w:val="95"/>
                </w:rPr>
                <w:t>2022)</w:t>
              </w:r>
            </w:hyperlink>
          </w:p>
        </w:tc>
        <w:tc>
          <w:tcPr>
            <w:tcW w:w="10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4.16</w:t>
            </w:r>
          </w:p>
        </w:tc>
        <w:tc>
          <w:tcPr>
            <w:tcW w:w="960" w:type="dxa"/>
            <w:vAlign w:val="bottom"/>
          </w:tcPr>
          <w:p>
            <w:pPr>
              <w:spacing w:after="0"/>
              <w:rPr>
                <w:sz w:val="24"/>
                <w:szCs w:val="24"/>
                <w:color w:val="auto"/>
              </w:rPr>
            </w:pPr>
          </w:p>
        </w:tc>
        <w:tc>
          <w:tcPr>
            <w:tcW w:w="948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290">
              <w:r>
                <w:rPr>
                  <w:rFonts w:ascii="Times New Roman" w:cs="Times New Roman" w:eastAsia="Times New Roman" w:hAnsi="Times New Roman"/>
                  <w:sz w:val="18"/>
                  <w:szCs w:val="18"/>
                  <w:color w:val="0000EE"/>
                </w:rPr>
                <w:t>English summary of the form of Loan Agreement between a subsidiary of the Registrant and the shareholder of a variable interest</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290">
              <w:r>
                <w:rPr>
                  <w:rFonts w:ascii="Times New Roman" w:cs="Times New Roman" w:eastAsia="Times New Roman" w:hAnsi="Times New Roman"/>
                  <w:sz w:val="18"/>
                  <w:szCs w:val="18"/>
                  <w:color w:val="0000EE"/>
                </w:rPr>
                <w:t>entity (incorporated by reference to Exhibit 4.16 of our Annual Report on Form 20-F filed with the Securities and Exchange</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290">
              <w:r>
                <w:rPr>
                  <w:rFonts w:ascii="Times New Roman" w:cs="Times New Roman" w:eastAsia="Times New Roman" w:hAnsi="Times New Roman"/>
                  <w:sz w:val="18"/>
                  <w:szCs w:val="18"/>
                  <w:color w:val="0000EE"/>
                  <w:w w:val="99"/>
                </w:rPr>
                <w:t>Commission on March 28, 2022)</w:t>
              </w:r>
            </w:hyperlink>
          </w:p>
        </w:tc>
        <w:tc>
          <w:tcPr>
            <w:tcW w:w="708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4.17</w:t>
            </w:r>
          </w:p>
        </w:tc>
        <w:tc>
          <w:tcPr>
            <w:tcW w:w="960" w:type="dxa"/>
            <w:vAlign w:val="bottom"/>
          </w:tcPr>
          <w:p>
            <w:pPr>
              <w:spacing w:after="0"/>
              <w:rPr>
                <w:sz w:val="24"/>
                <w:szCs w:val="24"/>
                <w:color w:val="auto"/>
              </w:rPr>
            </w:pPr>
          </w:p>
        </w:tc>
        <w:tc>
          <w:tcPr>
            <w:tcW w:w="948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291">
              <w:r>
                <w:rPr>
                  <w:rFonts w:ascii="Times New Roman" w:cs="Times New Roman" w:eastAsia="Times New Roman" w:hAnsi="Times New Roman"/>
                  <w:sz w:val="18"/>
                  <w:szCs w:val="18"/>
                  <w:color w:val="0000EE"/>
                </w:rPr>
                <w:t>Translation of the Supplementary Agreement to Exclusive Technology Consulting and Services Agreement dated June 23, 2006</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291">
              <w:r>
                <w:rPr>
                  <w:rFonts w:ascii="Times New Roman" w:cs="Times New Roman" w:eastAsia="Times New Roman" w:hAnsi="Times New Roman"/>
                  <w:sz w:val="18"/>
                  <w:szCs w:val="18"/>
                  <w:color w:val="0000EE"/>
                </w:rPr>
                <w:t>between Baidu Online and Beijing Perusal, dated as of April 22, 2010 (incorporated by reference to Exhibit 4.25 of our Annual</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80" w:type="dxa"/>
            <w:vAlign w:val="bottom"/>
            <w:gridSpan w:val="13"/>
          </w:tcPr>
          <w:p>
            <w:pPr>
              <w:spacing w:after="0" w:line="196" w:lineRule="exact"/>
              <w:rPr>
                <w:rFonts w:ascii="Times New Roman" w:cs="Times New Roman" w:eastAsia="Times New Roman" w:hAnsi="Times New Roman"/>
                <w:sz w:val="18"/>
                <w:szCs w:val="18"/>
                <w:color w:val="0000EE"/>
              </w:rPr>
            </w:pPr>
            <w:hyperlink r:id="rId291">
              <w:r>
                <w:rPr>
                  <w:rFonts w:ascii="Times New Roman" w:cs="Times New Roman" w:eastAsia="Times New Roman" w:hAnsi="Times New Roman"/>
                  <w:sz w:val="18"/>
                  <w:szCs w:val="18"/>
                  <w:color w:val="0000EE"/>
                </w:rPr>
                <w:t>Report on Form 20-F filed with the Securities and Exchange Commission on March 29, 2012)</w:t>
              </w:r>
            </w:hyperlink>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40" w:type="dxa"/>
            <w:vAlign w:val="bottom"/>
            <w:gridSpan w:val="3"/>
            <w:shd w:val="clear" w:color="auto" w:fill="0000EE"/>
          </w:tcPr>
          <w:p>
            <w:pPr>
              <w:spacing w:after="0" w:line="20" w:lineRule="exact"/>
              <w:rPr>
                <w:sz w:val="1"/>
                <w:szCs w:val="1"/>
                <w:color w:val="auto"/>
              </w:rPr>
            </w:pPr>
          </w:p>
        </w:tc>
        <w:tc>
          <w:tcPr>
            <w:tcW w:w="2760" w:type="dxa"/>
            <w:vAlign w:val="bottom"/>
            <w:gridSpan w:val="3"/>
            <w:shd w:val="clear" w:color="auto" w:fill="0000EE"/>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4.18</w:t>
            </w:r>
          </w:p>
        </w:tc>
        <w:tc>
          <w:tcPr>
            <w:tcW w:w="960" w:type="dxa"/>
            <w:vAlign w:val="bottom"/>
          </w:tcPr>
          <w:p>
            <w:pPr>
              <w:spacing w:after="0"/>
              <w:rPr>
                <w:sz w:val="24"/>
                <w:szCs w:val="24"/>
                <w:color w:val="auto"/>
              </w:rPr>
            </w:pPr>
          </w:p>
        </w:tc>
        <w:tc>
          <w:tcPr>
            <w:tcW w:w="948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292">
              <w:r>
                <w:rPr>
                  <w:rFonts w:ascii="Times New Roman" w:cs="Times New Roman" w:eastAsia="Times New Roman" w:hAnsi="Times New Roman"/>
                  <w:sz w:val="18"/>
                  <w:szCs w:val="18"/>
                  <w:color w:val="0000EE"/>
                </w:rPr>
                <w:t>Translation of the Web Layout Copyright License Agreement dated June 23, 2006 between Baidu Online and Beijing Perusal</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292">
              <w:r>
                <w:rPr>
                  <w:rFonts w:ascii="Times New Roman" w:cs="Times New Roman" w:eastAsia="Times New Roman" w:hAnsi="Times New Roman"/>
                  <w:sz w:val="18"/>
                  <w:szCs w:val="18"/>
                  <w:color w:val="0000EE"/>
                </w:rPr>
                <w:t>(incorporated by reference to Exhibit 4.27 of our Annual Report on Form 20-F filed with the Securities and Exchange Commission</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4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292">
              <w:r>
                <w:rPr>
                  <w:rFonts w:ascii="Times New Roman" w:cs="Times New Roman" w:eastAsia="Times New Roman" w:hAnsi="Times New Roman"/>
                  <w:sz w:val="18"/>
                  <w:szCs w:val="18"/>
                  <w:color w:val="0000EE"/>
                  <w:w w:val="99"/>
                </w:rPr>
                <w:t>on March 29, 2011)</w:t>
              </w:r>
            </w:hyperlink>
          </w:p>
        </w:tc>
        <w:tc>
          <w:tcPr>
            <w:tcW w:w="804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4.19</w:t>
            </w:r>
          </w:p>
        </w:tc>
        <w:tc>
          <w:tcPr>
            <w:tcW w:w="960" w:type="dxa"/>
            <w:vAlign w:val="bottom"/>
          </w:tcPr>
          <w:p>
            <w:pPr>
              <w:spacing w:after="0"/>
              <w:rPr>
                <w:sz w:val="24"/>
                <w:szCs w:val="24"/>
                <w:color w:val="auto"/>
              </w:rPr>
            </w:pPr>
          </w:p>
        </w:tc>
        <w:tc>
          <w:tcPr>
            <w:tcW w:w="948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293">
              <w:r>
                <w:rPr>
                  <w:rFonts w:ascii="Times New Roman" w:cs="Times New Roman" w:eastAsia="Times New Roman" w:hAnsi="Times New Roman"/>
                  <w:sz w:val="18"/>
                  <w:szCs w:val="18"/>
                  <w:color w:val="0000EE"/>
                </w:rPr>
                <w:t>Translation of the supplementary agreements, dated March 11, 2010 and April 22, 2010 to the Software License Agreement dated</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293">
              <w:r>
                <w:rPr>
                  <w:rFonts w:ascii="Times New Roman" w:cs="Times New Roman" w:eastAsia="Times New Roman" w:hAnsi="Times New Roman"/>
                  <w:sz w:val="18"/>
                  <w:szCs w:val="18"/>
                  <w:color w:val="0000EE"/>
                </w:rPr>
                <w:t>March 22, 2005 between Baidu Online and Baidu Netcom (incorporated by reference to Exhibit 4.48 of our Annual Report on</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80" w:type="dxa"/>
            <w:vAlign w:val="bottom"/>
            <w:gridSpan w:val="13"/>
          </w:tcPr>
          <w:p>
            <w:pPr>
              <w:spacing w:after="0" w:line="196" w:lineRule="exact"/>
              <w:rPr>
                <w:rFonts w:ascii="Times New Roman" w:cs="Times New Roman" w:eastAsia="Times New Roman" w:hAnsi="Times New Roman"/>
                <w:sz w:val="18"/>
                <w:szCs w:val="18"/>
                <w:color w:val="0000EE"/>
              </w:rPr>
            </w:pPr>
            <w:hyperlink r:id="rId293">
              <w:r>
                <w:rPr>
                  <w:rFonts w:ascii="Times New Roman" w:cs="Times New Roman" w:eastAsia="Times New Roman" w:hAnsi="Times New Roman"/>
                  <w:sz w:val="18"/>
                  <w:szCs w:val="18"/>
                  <w:color w:val="0000EE"/>
                </w:rPr>
                <w:t>Form 20-F filed with the Securities and Exchange Commission on March 29, 2011)</w:t>
              </w:r>
            </w:hyperlink>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0" w:type="dxa"/>
            <w:vAlign w:val="bottom"/>
            <w:gridSpan w:val="6"/>
            <w:shd w:val="clear" w:color="auto" w:fill="0000EE"/>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294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4.20</w:t>
            </w:r>
          </w:p>
        </w:tc>
        <w:tc>
          <w:tcPr>
            <w:tcW w:w="960" w:type="dxa"/>
            <w:vAlign w:val="bottom"/>
          </w:tcPr>
          <w:p>
            <w:pPr>
              <w:spacing w:after="0"/>
              <w:rPr>
                <w:sz w:val="24"/>
                <w:szCs w:val="24"/>
                <w:color w:val="auto"/>
              </w:rPr>
            </w:pPr>
          </w:p>
        </w:tc>
        <w:tc>
          <w:tcPr>
            <w:tcW w:w="948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294">
              <w:r>
                <w:rPr>
                  <w:rFonts w:ascii="Times New Roman" w:cs="Times New Roman" w:eastAsia="Times New Roman" w:hAnsi="Times New Roman"/>
                  <w:sz w:val="18"/>
                  <w:szCs w:val="18"/>
                  <w:color w:val="0000EE"/>
                </w:rPr>
                <w:t>Translation of the supplementary agreement dated March 1, 2010 to the Web Layout Copyright License Agreement dated March 1,</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294">
              <w:r>
                <w:rPr>
                  <w:rFonts w:ascii="Times New Roman" w:cs="Times New Roman" w:eastAsia="Times New Roman" w:hAnsi="Times New Roman"/>
                  <w:sz w:val="18"/>
                  <w:szCs w:val="18"/>
                  <w:color w:val="0000EE"/>
                </w:rPr>
                <w:t>2004 between Baidu Online and Baidu Netcom and the supplementary agreement dated August 9, 2004 (incorporated by reference</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96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294">
              <w:r>
                <w:rPr>
                  <w:rFonts w:ascii="Times New Roman" w:cs="Times New Roman" w:eastAsia="Times New Roman" w:hAnsi="Times New Roman"/>
                  <w:sz w:val="18"/>
                  <w:szCs w:val="18"/>
                  <w:color w:val="0000EE"/>
                  <w:w w:val="99"/>
                </w:rPr>
                <w:t>to Exhibit 4.50 of our Annual Report on Form 20-F filed with the Securities and Exchange Commission on March 29, 2011)</w:t>
              </w:r>
            </w:hyperlink>
          </w:p>
        </w:tc>
        <w:tc>
          <w:tcPr>
            <w:tcW w:w="5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4.21</w:t>
            </w:r>
          </w:p>
        </w:tc>
        <w:tc>
          <w:tcPr>
            <w:tcW w:w="960" w:type="dxa"/>
            <w:vAlign w:val="bottom"/>
          </w:tcPr>
          <w:p>
            <w:pPr>
              <w:spacing w:after="0"/>
              <w:rPr>
                <w:sz w:val="24"/>
                <w:szCs w:val="24"/>
                <w:color w:val="auto"/>
              </w:rPr>
            </w:pPr>
          </w:p>
        </w:tc>
        <w:tc>
          <w:tcPr>
            <w:tcW w:w="946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295">
              <w:r>
                <w:rPr>
                  <w:rFonts w:ascii="Times New Roman" w:cs="Times New Roman" w:eastAsia="Times New Roman" w:hAnsi="Times New Roman"/>
                  <w:sz w:val="18"/>
                  <w:szCs w:val="18"/>
                  <w:color w:val="0000EE"/>
                </w:rPr>
                <w:t>Translation of the supplementary agreement dated April 22, 2010 to the Operating Agreement dated March 22, 2005 between</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295">
              <w:r>
                <w:rPr>
                  <w:rFonts w:ascii="Times New Roman" w:cs="Times New Roman" w:eastAsia="Times New Roman" w:hAnsi="Times New Roman"/>
                  <w:sz w:val="18"/>
                  <w:szCs w:val="18"/>
                  <w:color w:val="0000EE"/>
                </w:rPr>
                <w:t>Baidu Online and Baidu Netcom (incorporated by reference to Exhibit 4.51 of our Annual Report on Form 20-F filed with the</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80" w:type="dxa"/>
            <w:vAlign w:val="bottom"/>
            <w:gridSpan w:val="13"/>
          </w:tcPr>
          <w:p>
            <w:pPr>
              <w:spacing w:after="0" w:line="196" w:lineRule="exact"/>
              <w:rPr>
                <w:rFonts w:ascii="Times New Roman" w:cs="Times New Roman" w:eastAsia="Times New Roman" w:hAnsi="Times New Roman"/>
                <w:sz w:val="18"/>
                <w:szCs w:val="18"/>
                <w:color w:val="0000EE"/>
              </w:rPr>
            </w:pPr>
            <w:hyperlink r:id="rId295">
              <w:r>
                <w:rPr>
                  <w:rFonts w:ascii="Times New Roman" w:cs="Times New Roman" w:eastAsia="Times New Roman" w:hAnsi="Times New Roman"/>
                  <w:sz w:val="18"/>
                  <w:szCs w:val="18"/>
                  <w:color w:val="0000EE"/>
                </w:rPr>
                <w:t>Securities and Exchange Commission on March 29, 2011)</w:t>
              </w:r>
            </w:hyperlink>
          </w:p>
        </w:tc>
        <w:tc>
          <w:tcPr>
            <w:tcW w:w="0" w:type="dxa"/>
            <w:vAlign w:val="bottom"/>
          </w:tcPr>
          <w:p>
            <w:pPr>
              <w:spacing w:after="0"/>
              <w:rPr>
                <w:sz w:val="1"/>
                <w:szCs w:val="1"/>
                <w:color w:val="auto"/>
              </w:rPr>
            </w:pPr>
          </w:p>
        </w:tc>
      </w:tr>
      <w:tr>
        <w:trPr>
          <w:trHeight w:val="385"/>
        </w:trPr>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gridSpan w:val="2"/>
          </w:tcPr>
          <w:p>
            <w:pPr>
              <w:spacing w:after="0"/>
              <w:rPr>
                <w:sz w:val="24"/>
                <w:szCs w:val="24"/>
                <w:color w:val="auto"/>
              </w:rPr>
            </w:pPr>
          </w:p>
        </w:tc>
        <w:tc>
          <w:tcPr>
            <w:tcW w:w="4180" w:type="dxa"/>
            <w:vAlign w:val="bottom"/>
            <w:tcBorders>
              <w:top w:val="single" w:sz="8" w:color="0000EE"/>
            </w:tcBorders>
            <w:gridSpan w:val="5"/>
          </w:tcPr>
          <w:p>
            <w:pPr>
              <w:jc w:val="right"/>
              <w:ind w:right="28"/>
              <w:spacing w:after="0"/>
              <w:rPr>
                <w:sz w:val="20"/>
                <w:szCs w:val="20"/>
                <w:color w:val="auto"/>
              </w:rPr>
            </w:pPr>
            <w:r>
              <w:rPr>
                <w:rFonts w:ascii="Times New Roman" w:cs="Times New Roman" w:eastAsia="Times New Roman" w:hAnsi="Times New Roman"/>
                <w:sz w:val="18"/>
                <w:szCs w:val="18"/>
                <w:color w:val="auto"/>
              </w:rPr>
              <w:t>214</w:t>
            </w:r>
          </w:p>
        </w:tc>
        <w:tc>
          <w:tcPr>
            <w:tcW w:w="1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9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0" w:type="dxa"/>
            <w:vAlign w:val="bottom"/>
          </w:tcPr>
          <w:p>
            <w:pPr>
              <w:spacing w:after="0"/>
              <w:rPr>
                <w:sz w:val="13"/>
                <w:szCs w:val="13"/>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20" w:type="dxa"/>
            <w:vAlign w:val="bottom"/>
            <w:gridSpan w:val="9"/>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0" w:type="dxa"/>
            <w:vAlign w:val="bottom"/>
          </w:tcPr>
          <w:p>
            <w:pPr>
              <w:spacing w:after="0"/>
              <w:rPr>
                <w:sz w:val="1"/>
                <w:szCs w:val="1"/>
                <w:color w:val="auto"/>
              </w:rPr>
            </w:pPr>
          </w:p>
        </w:tc>
      </w:tr>
      <w:tr>
        <w:trPr>
          <w:trHeight w:val="180"/>
        </w:trPr>
        <w:tc>
          <w:tcPr>
            <w:tcW w:w="80" w:type="dxa"/>
            <w:vAlign w:val="bottom"/>
          </w:tcPr>
          <w:p>
            <w:pPr>
              <w:spacing w:after="0"/>
              <w:rPr>
                <w:sz w:val="15"/>
                <w:szCs w:val="15"/>
                <w:color w:val="auto"/>
              </w:rPr>
            </w:pP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3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020" w:type="dxa"/>
            <w:vAlign w:val="bottom"/>
            <w:tcBorders>
              <w:bottom w:val="single" w:sz="8" w:color="auto"/>
            </w:tcBorders>
            <w:gridSpan w:val="9"/>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4.22</w:t>
            </w:r>
          </w:p>
        </w:tc>
        <w:tc>
          <w:tcPr>
            <w:tcW w:w="960" w:type="dxa"/>
            <w:vAlign w:val="bottom"/>
          </w:tcPr>
          <w:p>
            <w:pPr>
              <w:spacing w:after="0"/>
              <w:rPr>
                <w:sz w:val="23"/>
                <w:szCs w:val="23"/>
                <w:color w:val="auto"/>
              </w:rPr>
            </w:pPr>
          </w:p>
        </w:tc>
        <w:tc>
          <w:tcPr>
            <w:tcW w:w="948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297">
              <w:r>
                <w:rPr>
                  <w:rFonts w:ascii="Times New Roman" w:cs="Times New Roman" w:eastAsia="Times New Roman" w:hAnsi="Times New Roman"/>
                  <w:sz w:val="18"/>
                  <w:szCs w:val="18"/>
                  <w:color w:val="0000EE"/>
                </w:rPr>
                <w:t>Translation of the supplementary agreement to the Loan Agreement among Robin Yanhong Li, Baidu Netcom and Baidu Online</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297">
              <w:r>
                <w:rPr>
                  <w:rFonts w:ascii="Times New Roman" w:cs="Times New Roman" w:eastAsia="Times New Roman" w:hAnsi="Times New Roman"/>
                  <w:sz w:val="18"/>
                  <w:szCs w:val="18"/>
                  <w:color w:val="0000EE"/>
                </w:rPr>
                <w:t>dated September 6, 2011 (incorporated by reference to Exhibit 4.65 of our Annual Report on Form 20-F filed with the Securities</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6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297">
              <w:r>
                <w:rPr>
                  <w:rFonts w:ascii="Times New Roman" w:cs="Times New Roman" w:eastAsia="Times New Roman" w:hAnsi="Times New Roman"/>
                  <w:sz w:val="18"/>
                  <w:szCs w:val="18"/>
                  <w:color w:val="0000EE"/>
                  <w:w w:val="99"/>
                </w:rPr>
                <w:t>and Exchange Commission on March 29, 2012)</w:t>
              </w:r>
            </w:hyperlink>
          </w:p>
        </w:tc>
        <w:tc>
          <w:tcPr>
            <w:tcW w:w="602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4.23</w:t>
            </w:r>
          </w:p>
        </w:tc>
        <w:tc>
          <w:tcPr>
            <w:tcW w:w="960" w:type="dxa"/>
            <w:vAlign w:val="bottom"/>
          </w:tcPr>
          <w:p>
            <w:pPr>
              <w:spacing w:after="0"/>
              <w:rPr>
                <w:sz w:val="24"/>
                <w:szCs w:val="24"/>
                <w:color w:val="auto"/>
              </w:rPr>
            </w:pPr>
          </w:p>
        </w:tc>
        <w:tc>
          <w:tcPr>
            <w:tcW w:w="948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298">
              <w:r>
                <w:rPr>
                  <w:rFonts w:ascii="Times New Roman" w:cs="Times New Roman" w:eastAsia="Times New Roman" w:hAnsi="Times New Roman"/>
                  <w:sz w:val="18"/>
                  <w:szCs w:val="18"/>
                  <w:color w:val="0000EE"/>
                </w:rPr>
                <w:t>Translation of the supplementary agreement to the Software License Agreement between Baidu Online and Baidu Netcom dated</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298">
              <w:r>
                <w:rPr>
                  <w:rFonts w:ascii="Times New Roman" w:cs="Times New Roman" w:eastAsia="Times New Roman" w:hAnsi="Times New Roman"/>
                  <w:sz w:val="18"/>
                  <w:szCs w:val="18"/>
                  <w:color w:val="0000EE"/>
                </w:rPr>
                <w:t>January 30, 2011 (incorporated by reference to Exhibit 4.68 of our Annual Report on Form 20-F filed with the Securities and</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80" w:type="dxa"/>
            <w:vAlign w:val="bottom"/>
            <w:gridSpan w:val="13"/>
          </w:tcPr>
          <w:p>
            <w:pPr>
              <w:spacing w:after="0" w:line="196" w:lineRule="exact"/>
              <w:rPr>
                <w:rFonts w:ascii="Times New Roman" w:cs="Times New Roman" w:eastAsia="Times New Roman" w:hAnsi="Times New Roman"/>
                <w:sz w:val="18"/>
                <w:szCs w:val="18"/>
                <w:color w:val="0000EE"/>
              </w:rPr>
            </w:pPr>
            <w:hyperlink r:id="rId298">
              <w:r>
                <w:rPr>
                  <w:rFonts w:ascii="Times New Roman" w:cs="Times New Roman" w:eastAsia="Times New Roman" w:hAnsi="Times New Roman"/>
                  <w:sz w:val="18"/>
                  <w:szCs w:val="18"/>
                  <w:color w:val="0000EE"/>
                </w:rPr>
                <w:t>Exchange Commission on March 29, 2012)</w:t>
              </w:r>
            </w:hyperlink>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4.24</w:t>
            </w:r>
          </w:p>
        </w:tc>
        <w:tc>
          <w:tcPr>
            <w:tcW w:w="960" w:type="dxa"/>
            <w:vAlign w:val="bottom"/>
          </w:tcPr>
          <w:p>
            <w:pPr>
              <w:spacing w:after="0"/>
              <w:rPr>
                <w:sz w:val="24"/>
                <w:szCs w:val="24"/>
                <w:color w:val="auto"/>
              </w:rPr>
            </w:pPr>
          </w:p>
        </w:tc>
        <w:tc>
          <w:tcPr>
            <w:tcW w:w="948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299">
              <w:r>
                <w:rPr>
                  <w:rFonts w:ascii="Times New Roman" w:cs="Times New Roman" w:eastAsia="Times New Roman" w:hAnsi="Times New Roman"/>
                  <w:sz w:val="18"/>
                  <w:szCs w:val="18"/>
                  <w:color w:val="0000EE"/>
                </w:rPr>
                <w:t>Translation of the supplementary agreement to the Web Layout Copyright License Agreement between Baidu Online and Baidu</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299">
              <w:r>
                <w:rPr>
                  <w:rFonts w:ascii="Times New Roman" w:cs="Times New Roman" w:eastAsia="Times New Roman" w:hAnsi="Times New Roman"/>
                  <w:sz w:val="18"/>
                  <w:szCs w:val="18"/>
                  <w:color w:val="0000EE"/>
                </w:rPr>
                <w:t>Netcom dated January 30, 2011 (incorporated by reference to Exhibit 4.69 of our Annual Report on Form 20-F filed with the</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2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299">
              <w:r>
                <w:rPr>
                  <w:rFonts w:ascii="Times New Roman" w:cs="Times New Roman" w:eastAsia="Times New Roman" w:hAnsi="Times New Roman"/>
                  <w:sz w:val="18"/>
                  <w:szCs w:val="18"/>
                  <w:color w:val="0000EE"/>
                  <w:w w:val="99"/>
                </w:rPr>
                <w:t>Securities and Exchange Commission on March 29, 2012)</w:t>
              </w:r>
            </w:hyperlink>
          </w:p>
        </w:tc>
        <w:tc>
          <w:tcPr>
            <w:tcW w:w="526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4.25</w:t>
            </w:r>
          </w:p>
        </w:tc>
        <w:tc>
          <w:tcPr>
            <w:tcW w:w="960" w:type="dxa"/>
            <w:vAlign w:val="bottom"/>
          </w:tcPr>
          <w:p>
            <w:pPr>
              <w:spacing w:after="0"/>
              <w:rPr>
                <w:sz w:val="24"/>
                <w:szCs w:val="24"/>
                <w:color w:val="auto"/>
              </w:rPr>
            </w:pPr>
          </w:p>
        </w:tc>
        <w:tc>
          <w:tcPr>
            <w:tcW w:w="948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300">
              <w:r>
                <w:rPr>
                  <w:rFonts w:ascii="Times New Roman" w:cs="Times New Roman" w:eastAsia="Times New Roman" w:hAnsi="Times New Roman"/>
                  <w:sz w:val="18"/>
                  <w:szCs w:val="18"/>
                  <w:color w:val="0000EE"/>
                </w:rPr>
                <w:t>Translation of the supplementary agreement to the Web Layout Copyright License Agreement between Baidu Online and Baidu</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300">
              <w:r>
                <w:rPr>
                  <w:rFonts w:ascii="Times New Roman" w:cs="Times New Roman" w:eastAsia="Times New Roman" w:hAnsi="Times New Roman"/>
                  <w:sz w:val="18"/>
                  <w:szCs w:val="18"/>
                  <w:color w:val="0000EE"/>
                </w:rPr>
                <w:t>Netcom dated August 15, 2013 (incorporated by reference to Exhibit 4.64 of our Annual Report on Form 20-F filed with the</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2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300">
              <w:r>
                <w:rPr>
                  <w:rFonts w:ascii="Times New Roman" w:cs="Times New Roman" w:eastAsia="Times New Roman" w:hAnsi="Times New Roman"/>
                  <w:sz w:val="18"/>
                  <w:szCs w:val="18"/>
                  <w:color w:val="0000EE"/>
                  <w:w w:val="99"/>
                </w:rPr>
                <w:t>Securities and Exchange Commission on March 28, 2014)</w:t>
              </w:r>
            </w:hyperlink>
          </w:p>
        </w:tc>
        <w:tc>
          <w:tcPr>
            <w:tcW w:w="526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4.26</w:t>
            </w:r>
          </w:p>
        </w:tc>
        <w:tc>
          <w:tcPr>
            <w:tcW w:w="960" w:type="dxa"/>
            <w:vAlign w:val="bottom"/>
          </w:tcPr>
          <w:p>
            <w:pPr>
              <w:spacing w:after="0"/>
              <w:rPr>
                <w:sz w:val="24"/>
                <w:szCs w:val="24"/>
                <w:color w:val="auto"/>
              </w:rPr>
            </w:pPr>
          </w:p>
        </w:tc>
        <w:tc>
          <w:tcPr>
            <w:tcW w:w="948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301">
              <w:r>
                <w:rPr>
                  <w:rFonts w:ascii="Times New Roman" w:cs="Times New Roman" w:eastAsia="Times New Roman" w:hAnsi="Times New Roman"/>
                  <w:sz w:val="18"/>
                  <w:szCs w:val="18"/>
                  <w:color w:val="0000EE"/>
                </w:rPr>
                <w:t>Translation of the supplementary agreement to the Software License Agreement between Baidu Online and Baidu Netcom dated</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6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301">
              <w:r>
                <w:rPr>
                  <w:rFonts w:ascii="Times New Roman" w:cs="Times New Roman" w:eastAsia="Times New Roman" w:hAnsi="Times New Roman"/>
                  <w:sz w:val="18"/>
                  <w:szCs w:val="18"/>
                  <w:color w:val="0000EE"/>
                </w:rPr>
                <w:t>August 15, 2013 (incorporated by reference to Exhibit 4.65 of our Annual Report on Form 20-F filed with the Securities and</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80" w:type="dxa"/>
            <w:vAlign w:val="bottom"/>
            <w:gridSpan w:val="13"/>
          </w:tcPr>
          <w:p>
            <w:pPr>
              <w:spacing w:after="0" w:line="196" w:lineRule="exact"/>
              <w:rPr>
                <w:rFonts w:ascii="Times New Roman" w:cs="Times New Roman" w:eastAsia="Times New Roman" w:hAnsi="Times New Roman"/>
                <w:sz w:val="18"/>
                <w:szCs w:val="18"/>
                <w:color w:val="0000EE"/>
              </w:rPr>
            </w:pPr>
            <w:hyperlink r:id="rId301">
              <w:r>
                <w:rPr>
                  <w:rFonts w:ascii="Times New Roman" w:cs="Times New Roman" w:eastAsia="Times New Roman" w:hAnsi="Times New Roman"/>
                  <w:sz w:val="18"/>
                  <w:szCs w:val="18"/>
                  <w:color w:val="0000EE"/>
                </w:rPr>
                <w:t>Exchange Commission on March 28, 2014)</w:t>
              </w:r>
            </w:hyperlink>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4.27</w:t>
            </w:r>
          </w:p>
        </w:tc>
        <w:tc>
          <w:tcPr>
            <w:tcW w:w="960" w:type="dxa"/>
            <w:vAlign w:val="bottom"/>
          </w:tcPr>
          <w:p>
            <w:pPr>
              <w:spacing w:after="0"/>
              <w:rPr>
                <w:sz w:val="24"/>
                <w:szCs w:val="24"/>
                <w:color w:val="auto"/>
              </w:rPr>
            </w:pPr>
          </w:p>
        </w:tc>
        <w:tc>
          <w:tcPr>
            <w:tcW w:w="946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302">
              <w:r>
                <w:rPr>
                  <w:rFonts w:ascii="Times New Roman" w:cs="Times New Roman" w:eastAsia="Times New Roman" w:hAnsi="Times New Roman"/>
                  <w:sz w:val="18"/>
                  <w:szCs w:val="18"/>
                  <w:color w:val="0000EE"/>
                </w:rPr>
                <w:t>Translation of the supplementary agreement to the Web Layout Copyright License Agreement between Baidu Online and Beijing</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302">
              <w:r>
                <w:rPr>
                  <w:rFonts w:ascii="Times New Roman" w:cs="Times New Roman" w:eastAsia="Times New Roman" w:hAnsi="Times New Roman"/>
                  <w:sz w:val="18"/>
                  <w:szCs w:val="18"/>
                  <w:color w:val="0000EE"/>
                </w:rPr>
                <w:t>Perusal dated August 15, 2013 (incorporated by reference to Exhibit 4.66 of our Annual Report on Form 20-F filed with the</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80" w:type="dxa"/>
            <w:vAlign w:val="bottom"/>
            <w:gridSpan w:val="13"/>
          </w:tcPr>
          <w:p>
            <w:pPr>
              <w:spacing w:after="0" w:line="196" w:lineRule="exact"/>
              <w:rPr>
                <w:rFonts w:ascii="Times New Roman" w:cs="Times New Roman" w:eastAsia="Times New Roman" w:hAnsi="Times New Roman"/>
                <w:sz w:val="18"/>
                <w:szCs w:val="18"/>
                <w:color w:val="0000EE"/>
              </w:rPr>
            </w:pPr>
            <w:hyperlink r:id="rId302">
              <w:r>
                <w:rPr>
                  <w:rFonts w:ascii="Times New Roman" w:cs="Times New Roman" w:eastAsia="Times New Roman" w:hAnsi="Times New Roman"/>
                  <w:sz w:val="18"/>
                  <w:szCs w:val="18"/>
                  <w:color w:val="0000EE"/>
                </w:rPr>
                <w:t>Securities and Exchange Commission on March 28, 2014)</w:t>
              </w:r>
            </w:hyperlink>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0" w:type="dxa"/>
            <w:vAlign w:val="bottom"/>
            <w:gridSpan w:val="2"/>
            <w:shd w:val="clear" w:color="auto" w:fill="0000EE"/>
          </w:tcPr>
          <w:p>
            <w:pPr>
              <w:spacing w:after="0" w:line="20" w:lineRule="exact"/>
              <w:rPr>
                <w:sz w:val="1"/>
                <w:szCs w:val="1"/>
                <w:color w:val="auto"/>
              </w:rPr>
            </w:pPr>
          </w:p>
        </w:tc>
        <w:tc>
          <w:tcPr>
            <w:tcW w:w="1800" w:type="dxa"/>
            <w:vAlign w:val="bottom"/>
            <w:gridSpan w:val="3"/>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4.28</w:t>
            </w:r>
          </w:p>
        </w:tc>
        <w:tc>
          <w:tcPr>
            <w:tcW w:w="960" w:type="dxa"/>
            <w:vAlign w:val="bottom"/>
          </w:tcPr>
          <w:p>
            <w:pPr>
              <w:spacing w:after="0"/>
              <w:rPr>
                <w:sz w:val="24"/>
                <w:szCs w:val="24"/>
                <w:color w:val="auto"/>
              </w:rPr>
            </w:pPr>
          </w:p>
        </w:tc>
        <w:tc>
          <w:tcPr>
            <w:tcW w:w="948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303">
              <w:r>
                <w:rPr>
                  <w:rFonts w:ascii="Times New Roman" w:cs="Times New Roman" w:eastAsia="Times New Roman" w:hAnsi="Times New Roman"/>
                  <w:sz w:val="18"/>
                  <w:szCs w:val="18"/>
                  <w:color w:val="0000EE"/>
                </w:rPr>
                <w:t>Translation of the Termination Agreements among Baidu Online, Beijing Perusal, Jiping Liu and Yazhu Zhang, former individual</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303">
              <w:r>
                <w:rPr>
                  <w:rFonts w:ascii="Times New Roman" w:cs="Times New Roman" w:eastAsia="Times New Roman" w:hAnsi="Times New Roman"/>
                  <w:sz w:val="18"/>
                  <w:szCs w:val="18"/>
                  <w:color w:val="0000EE"/>
                </w:rPr>
                <w:t>shareholders of Beijing Perusal, dated March 15, 2016 and May 3, 2016, respectively (incorporated by reference to Exhibit 4.34 of</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80" w:type="dxa"/>
            <w:vAlign w:val="bottom"/>
            <w:gridSpan w:val="13"/>
          </w:tcPr>
          <w:p>
            <w:pPr>
              <w:spacing w:after="0" w:line="196" w:lineRule="exact"/>
              <w:rPr>
                <w:rFonts w:ascii="Times New Roman" w:cs="Times New Roman" w:eastAsia="Times New Roman" w:hAnsi="Times New Roman"/>
                <w:sz w:val="18"/>
                <w:szCs w:val="18"/>
                <w:color w:val="0000EE"/>
              </w:rPr>
            </w:pPr>
            <w:hyperlink r:id="rId303">
              <w:r>
                <w:rPr>
                  <w:rFonts w:ascii="Times New Roman" w:cs="Times New Roman" w:eastAsia="Times New Roman" w:hAnsi="Times New Roman"/>
                  <w:sz w:val="18"/>
                  <w:szCs w:val="18"/>
                  <w:color w:val="0000EE"/>
                </w:rPr>
                <w:t>our Annual Report on Form 20-F filed with the Securities and Exchange Commission on March 31, 2017)</w:t>
              </w:r>
            </w:hyperlink>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0" w:type="dxa"/>
            <w:vAlign w:val="bottom"/>
            <w:gridSpan w:val="2"/>
            <w:shd w:val="clear" w:color="auto" w:fill="0000EE"/>
          </w:tcPr>
          <w:p>
            <w:pPr>
              <w:spacing w:after="0" w:line="20" w:lineRule="exact"/>
              <w:rPr>
                <w:sz w:val="1"/>
                <w:szCs w:val="1"/>
                <w:color w:val="auto"/>
              </w:rPr>
            </w:pPr>
          </w:p>
        </w:tc>
        <w:tc>
          <w:tcPr>
            <w:tcW w:w="2080" w:type="dxa"/>
            <w:vAlign w:val="bottom"/>
            <w:gridSpan w:val="5"/>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4.29</w:t>
            </w:r>
          </w:p>
        </w:tc>
        <w:tc>
          <w:tcPr>
            <w:tcW w:w="960" w:type="dxa"/>
            <w:vAlign w:val="bottom"/>
          </w:tcPr>
          <w:p>
            <w:pPr>
              <w:spacing w:after="0"/>
              <w:rPr>
                <w:sz w:val="24"/>
                <w:szCs w:val="24"/>
                <w:color w:val="auto"/>
              </w:rPr>
            </w:pPr>
          </w:p>
        </w:tc>
        <w:tc>
          <w:tcPr>
            <w:tcW w:w="946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304">
              <w:r>
                <w:rPr>
                  <w:rFonts w:ascii="Times New Roman" w:cs="Times New Roman" w:eastAsia="Times New Roman" w:hAnsi="Times New Roman"/>
                  <w:sz w:val="18"/>
                  <w:szCs w:val="18"/>
                  <w:color w:val="0000EE"/>
                  <w:w w:val="99"/>
                </w:rPr>
                <w:t>Translation of the Amended and Restated Loan Agreements between Baidu Online and Zhixiang Liang, and between Baidu Online</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304">
              <w:r>
                <w:rPr>
                  <w:rFonts w:ascii="Times New Roman" w:cs="Times New Roman" w:eastAsia="Times New Roman" w:hAnsi="Times New Roman"/>
                  <w:sz w:val="18"/>
                  <w:szCs w:val="18"/>
                  <w:color w:val="0000EE"/>
                  <w:w w:val="99"/>
                </w:rPr>
                <w:t>and Xiaodong Wang, both dated June 20, 2016 (incorporated by reference to Exhibit 4.35 of our Annual Report on Form 20-F filed</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84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304">
              <w:r>
                <w:rPr>
                  <w:rFonts w:ascii="Times New Roman" w:cs="Times New Roman" w:eastAsia="Times New Roman" w:hAnsi="Times New Roman"/>
                  <w:sz w:val="18"/>
                  <w:szCs w:val="18"/>
                  <w:color w:val="0000EE"/>
                  <w:w w:val="99"/>
                </w:rPr>
                <w:t>with the Securities and Exchange Commission on March 31, 2017)</w:t>
              </w:r>
            </w:hyperlink>
          </w:p>
        </w:tc>
        <w:tc>
          <w:tcPr>
            <w:tcW w:w="46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4.30</w:t>
            </w:r>
          </w:p>
        </w:tc>
        <w:tc>
          <w:tcPr>
            <w:tcW w:w="960" w:type="dxa"/>
            <w:vAlign w:val="bottom"/>
          </w:tcPr>
          <w:p>
            <w:pPr>
              <w:spacing w:after="0"/>
              <w:rPr>
                <w:sz w:val="24"/>
                <w:szCs w:val="24"/>
                <w:color w:val="auto"/>
              </w:rPr>
            </w:pPr>
          </w:p>
        </w:tc>
        <w:tc>
          <w:tcPr>
            <w:tcW w:w="948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305">
              <w:r>
                <w:rPr>
                  <w:rFonts w:ascii="Times New Roman" w:cs="Times New Roman" w:eastAsia="Times New Roman" w:hAnsi="Times New Roman"/>
                  <w:sz w:val="18"/>
                  <w:szCs w:val="18"/>
                  <w:color w:val="0000EE"/>
                </w:rPr>
                <w:t>Translation of the Equity Transfer Agreements between Jiping Liu and Zhixiang Liang, between Jiping Liu and Xiaodong Wang,</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305">
              <w:r>
                <w:rPr>
                  <w:rFonts w:ascii="Times New Roman" w:cs="Times New Roman" w:eastAsia="Times New Roman" w:hAnsi="Times New Roman"/>
                  <w:sz w:val="18"/>
                  <w:szCs w:val="18"/>
                  <w:color w:val="0000EE"/>
                </w:rPr>
                <w:t>and between Yazhu Zhang and Xiaodong Wang, all dated May 3, 2016 (incorporated by reference to Exhibit 4.36 of our Annual</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80" w:type="dxa"/>
            <w:vAlign w:val="bottom"/>
            <w:gridSpan w:val="13"/>
          </w:tcPr>
          <w:p>
            <w:pPr>
              <w:spacing w:after="0" w:line="196" w:lineRule="exact"/>
              <w:rPr>
                <w:rFonts w:ascii="Times New Roman" w:cs="Times New Roman" w:eastAsia="Times New Roman" w:hAnsi="Times New Roman"/>
                <w:sz w:val="18"/>
                <w:szCs w:val="18"/>
                <w:color w:val="0000EE"/>
              </w:rPr>
            </w:pPr>
            <w:hyperlink r:id="rId305">
              <w:r>
                <w:rPr>
                  <w:rFonts w:ascii="Times New Roman" w:cs="Times New Roman" w:eastAsia="Times New Roman" w:hAnsi="Times New Roman"/>
                  <w:sz w:val="18"/>
                  <w:szCs w:val="18"/>
                  <w:color w:val="0000EE"/>
                </w:rPr>
                <w:t>Report on Form 20-F filed with the Securities and Exchange Commission on March 31, 2017)</w:t>
              </w:r>
            </w:hyperlink>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0" w:type="dxa"/>
            <w:vAlign w:val="bottom"/>
            <w:gridSpan w:val="2"/>
            <w:shd w:val="clear" w:color="auto" w:fill="0000EE"/>
          </w:tcPr>
          <w:p>
            <w:pPr>
              <w:spacing w:after="0" w:line="20" w:lineRule="exact"/>
              <w:rPr>
                <w:sz w:val="1"/>
                <w:szCs w:val="1"/>
                <w:color w:val="auto"/>
              </w:rPr>
            </w:pPr>
          </w:p>
        </w:tc>
        <w:tc>
          <w:tcPr>
            <w:tcW w:w="2080" w:type="dxa"/>
            <w:vAlign w:val="bottom"/>
            <w:gridSpan w:val="5"/>
            <w:shd w:val="clear" w:color="auto" w:fill="0000EE"/>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4.31</w:t>
            </w:r>
          </w:p>
        </w:tc>
        <w:tc>
          <w:tcPr>
            <w:tcW w:w="960" w:type="dxa"/>
            <w:vAlign w:val="bottom"/>
          </w:tcPr>
          <w:p>
            <w:pPr>
              <w:spacing w:after="0"/>
              <w:rPr>
                <w:sz w:val="24"/>
                <w:szCs w:val="24"/>
                <w:color w:val="auto"/>
              </w:rPr>
            </w:pPr>
          </w:p>
        </w:tc>
        <w:tc>
          <w:tcPr>
            <w:tcW w:w="946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306">
              <w:r>
                <w:rPr>
                  <w:rFonts w:ascii="Times New Roman" w:cs="Times New Roman" w:eastAsia="Times New Roman" w:hAnsi="Times New Roman"/>
                  <w:sz w:val="18"/>
                  <w:szCs w:val="18"/>
                  <w:color w:val="0000EE"/>
                </w:rPr>
                <w:t>Translation of Proxy Agreement among Zhixiang Liang and Baidu Online and of Proxy Agreement among Xiaodong Wang and</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306">
              <w:r>
                <w:rPr>
                  <w:rFonts w:ascii="Times New Roman" w:cs="Times New Roman" w:eastAsia="Times New Roman" w:hAnsi="Times New Roman"/>
                  <w:sz w:val="18"/>
                  <w:szCs w:val="18"/>
                  <w:color w:val="0000EE"/>
                </w:rPr>
                <w:t>Baidu Online, both dated May 3, 2016 (incorporated by reference to Exhibit 4.37 of our Annual Report on Form 20-F filed with</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48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306">
              <w:r>
                <w:rPr>
                  <w:rFonts w:ascii="Times New Roman" w:cs="Times New Roman" w:eastAsia="Times New Roman" w:hAnsi="Times New Roman"/>
                  <w:sz w:val="18"/>
                  <w:szCs w:val="18"/>
                  <w:color w:val="0000EE"/>
                  <w:w w:val="99"/>
                </w:rPr>
                <w:t>the Securities and Exchange Commission on March 31, 2017)</w:t>
              </w:r>
            </w:hyperlink>
          </w:p>
        </w:tc>
        <w:tc>
          <w:tcPr>
            <w:tcW w:w="500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4.32</w:t>
            </w:r>
          </w:p>
        </w:tc>
        <w:tc>
          <w:tcPr>
            <w:tcW w:w="960" w:type="dxa"/>
            <w:vAlign w:val="bottom"/>
          </w:tcPr>
          <w:p>
            <w:pPr>
              <w:spacing w:after="0"/>
              <w:rPr>
                <w:sz w:val="24"/>
                <w:szCs w:val="24"/>
                <w:color w:val="auto"/>
              </w:rPr>
            </w:pPr>
          </w:p>
        </w:tc>
        <w:tc>
          <w:tcPr>
            <w:tcW w:w="948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307">
              <w:r>
                <w:rPr>
                  <w:rFonts w:ascii="Times New Roman" w:cs="Times New Roman" w:eastAsia="Times New Roman" w:hAnsi="Times New Roman"/>
                  <w:sz w:val="18"/>
                  <w:szCs w:val="18"/>
                  <w:color w:val="0000EE"/>
                </w:rPr>
                <w:t>Translation of the Operating Agreement among Baidu Online, Beijing Perusal, Zhixiang Liang, and Xiaodong Wang, dated May 3,</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6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307">
              <w:r>
                <w:rPr>
                  <w:rFonts w:ascii="Times New Roman" w:cs="Times New Roman" w:eastAsia="Times New Roman" w:hAnsi="Times New Roman"/>
                  <w:sz w:val="18"/>
                  <w:szCs w:val="18"/>
                  <w:color w:val="0000EE"/>
                </w:rPr>
                <w:t>2016 (incorporated by reference to Exhibit 4.38 of our Annual Report on Form 20-F filed with the Securities and Exchange</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307">
              <w:r>
                <w:rPr>
                  <w:rFonts w:ascii="Times New Roman" w:cs="Times New Roman" w:eastAsia="Times New Roman" w:hAnsi="Times New Roman"/>
                  <w:sz w:val="18"/>
                  <w:szCs w:val="18"/>
                  <w:color w:val="0000EE"/>
                  <w:w w:val="99"/>
                </w:rPr>
                <w:t>Commission on March 31, 2017)</w:t>
              </w:r>
            </w:hyperlink>
          </w:p>
        </w:tc>
        <w:tc>
          <w:tcPr>
            <w:tcW w:w="708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4.33</w:t>
            </w:r>
          </w:p>
        </w:tc>
        <w:tc>
          <w:tcPr>
            <w:tcW w:w="960" w:type="dxa"/>
            <w:vAlign w:val="bottom"/>
          </w:tcPr>
          <w:p>
            <w:pPr>
              <w:spacing w:after="0"/>
              <w:rPr>
                <w:sz w:val="24"/>
                <w:szCs w:val="24"/>
                <w:color w:val="auto"/>
              </w:rPr>
            </w:pPr>
          </w:p>
        </w:tc>
        <w:tc>
          <w:tcPr>
            <w:tcW w:w="946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308">
              <w:r>
                <w:rPr>
                  <w:rFonts w:ascii="Times New Roman" w:cs="Times New Roman" w:eastAsia="Times New Roman" w:hAnsi="Times New Roman"/>
                  <w:sz w:val="18"/>
                  <w:szCs w:val="18"/>
                  <w:color w:val="0000EE"/>
                </w:rPr>
                <w:t>Translation of the Amended and Restated Equity Pledge Agreements between Baidu Online and Zhixiang Liang, and between</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80" w:type="dxa"/>
            <w:vAlign w:val="bottom"/>
            <w:gridSpan w:val="13"/>
          </w:tcPr>
          <w:p>
            <w:pPr>
              <w:spacing w:after="0" w:line="196" w:lineRule="exact"/>
              <w:rPr>
                <w:rFonts w:ascii="Times New Roman" w:cs="Times New Roman" w:eastAsia="Times New Roman" w:hAnsi="Times New Roman"/>
                <w:sz w:val="18"/>
                <w:szCs w:val="18"/>
                <w:color w:val="0000EE"/>
              </w:rPr>
            </w:pPr>
            <w:hyperlink r:id="rId308">
              <w:r>
                <w:rPr>
                  <w:rFonts w:ascii="Times New Roman" w:cs="Times New Roman" w:eastAsia="Times New Roman" w:hAnsi="Times New Roman"/>
                  <w:sz w:val="18"/>
                  <w:szCs w:val="18"/>
                  <w:color w:val="0000EE"/>
                </w:rPr>
                <w:t>Baidu Online and Xiaodong Wang, both dated June 20, 2016 (incorporated by reference to Exhibit 4.39 of our Annual Report on</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6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308">
              <w:r>
                <w:rPr>
                  <w:rFonts w:ascii="Times New Roman" w:cs="Times New Roman" w:eastAsia="Times New Roman" w:hAnsi="Times New Roman"/>
                  <w:sz w:val="18"/>
                  <w:szCs w:val="18"/>
                  <w:color w:val="0000EE"/>
                </w:rPr>
                <w:t>Form 20-F filed with the Securities and Exchange Commission on March 31, 2017)</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gridSpan w:val="2"/>
          </w:tcPr>
          <w:p>
            <w:pPr>
              <w:spacing w:after="0"/>
              <w:rPr>
                <w:sz w:val="24"/>
                <w:szCs w:val="24"/>
                <w:color w:val="auto"/>
              </w:rPr>
            </w:pPr>
          </w:p>
        </w:tc>
        <w:tc>
          <w:tcPr>
            <w:tcW w:w="4180" w:type="dxa"/>
            <w:vAlign w:val="bottom"/>
            <w:tcBorders>
              <w:top w:val="single" w:sz="8" w:color="0000EE"/>
            </w:tcBorders>
            <w:gridSpan w:val="4"/>
          </w:tcPr>
          <w:p>
            <w:pPr>
              <w:jc w:val="right"/>
              <w:ind w:right="28"/>
              <w:spacing w:after="0"/>
              <w:rPr>
                <w:sz w:val="20"/>
                <w:szCs w:val="20"/>
                <w:color w:val="auto"/>
              </w:rPr>
            </w:pPr>
            <w:r>
              <w:rPr>
                <w:rFonts w:ascii="Times New Roman" w:cs="Times New Roman" w:eastAsia="Times New Roman" w:hAnsi="Times New Roman"/>
                <w:sz w:val="18"/>
                <w:szCs w:val="18"/>
                <w:color w:val="auto"/>
              </w:rPr>
              <w:t>215</w:t>
            </w:r>
          </w:p>
        </w:tc>
        <w:tc>
          <w:tcPr>
            <w:tcW w:w="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180" w:type="dxa"/>
            <w:vAlign w:val="bottom"/>
            <w:tcBorders>
              <w:top w:val="single" w:sz="8" w:color="0000EE"/>
            </w:tcBorders>
          </w:tcPr>
          <w:p>
            <w:pPr>
              <w:spacing w:after="0"/>
              <w:rPr>
                <w:sz w:val="24"/>
                <w:szCs w:val="24"/>
                <w:color w:val="auto"/>
              </w:rPr>
            </w:pP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30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0" w:type="dxa"/>
            <w:vAlign w:val="bottom"/>
          </w:tcPr>
          <w:p>
            <w:pPr>
              <w:spacing w:after="0"/>
              <w:rPr>
                <w:sz w:val="13"/>
                <w:szCs w:val="13"/>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340" w:type="dxa"/>
            <w:vAlign w:val="bottom"/>
            <w:gridSpan w:val="4"/>
            <w:vMerge w:val="restart"/>
          </w:tcPr>
          <w:p>
            <w:pPr>
              <w:ind w:left="84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0" w:type="dxa"/>
            <w:vAlign w:val="bottom"/>
          </w:tcPr>
          <w:p>
            <w:pPr>
              <w:spacing w:after="0"/>
              <w:rPr>
                <w:sz w:val="1"/>
                <w:szCs w:val="1"/>
                <w:color w:val="auto"/>
              </w:rPr>
            </w:pPr>
          </w:p>
        </w:tc>
      </w:tr>
      <w:tr>
        <w:trPr>
          <w:trHeight w:val="180"/>
        </w:trPr>
        <w:tc>
          <w:tcPr>
            <w:tcW w:w="80" w:type="dxa"/>
            <w:vAlign w:val="bottom"/>
          </w:tcPr>
          <w:p>
            <w:pPr>
              <w:spacing w:after="0"/>
              <w:rPr>
                <w:sz w:val="15"/>
                <w:szCs w:val="15"/>
                <w:color w:val="auto"/>
              </w:rPr>
            </w:pP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6340" w:type="dxa"/>
            <w:vAlign w:val="bottom"/>
            <w:tcBorders>
              <w:bottom w:val="single" w:sz="8" w:color="auto"/>
            </w:tcBorders>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4.34</w:t>
            </w:r>
          </w:p>
        </w:tc>
        <w:tc>
          <w:tcPr>
            <w:tcW w:w="960" w:type="dxa"/>
            <w:vAlign w:val="bottom"/>
          </w:tcPr>
          <w:p>
            <w:pPr>
              <w:spacing w:after="0"/>
              <w:rPr>
                <w:sz w:val="23"/>
                <w:szCs w:val="23"/>
                <w:color w:val="auto"/>
              </w:rPr>
            </w:pPr>
          </w:p>
        </w:tc>
        <w:tc>
          <w:tcPr>
            <w:tcW w:w="948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310">
              <w:r>
                <w:rPr>
                  <w:rFonts w:ascii="Times New Roman" w:cs="Times New Roman" w:eastAsia="Times New Roman" w:hAnsi="Times New Roman"/>
                  <w:sz w:val="18"/>
                  <w:szCs w:val="18"/>
                  <w:color w:val="0000EE"/>
                </w:rPr>
                <w:t>Translation of the Amended and Restated Exclusive Equity Purchase and Transfer Option Agreements among Baidu Online,</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8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310">
              <w:r>
                <w:rPr>
                  <w:rFonts w:ascii="Times New Roman" w:cs="Times New Roman" w:eastAsia="Times New Roman" w:hAnsi="Times New Roman"/>
                  <w:sz w:val="18"/>
                  <w:szCs w:val="18"/>
                  <w:color w:val="0000EE"/>
                </w:rPr>
                <w:t>Zhixiang Liang and Beijing Perusal, and among Baidu Online, Xiaodong Wang and Beijing Perusal, both dated June 20, 2016</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8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310">
              <w:r>
                <w:rPr>
                  <w:rFonts w:ascii="Times New Roman" w:cs="Times New Roman" w:eastAsia="Times New Roman" w:hAnsi="Times New Roman"/>
                  <w:sz w:val="18"/>
                  <w:szCs w:val="18"/>
                  <w:color w:val="0000EE"/>
                </w:rPr>
                <w:t>(incorporated by reference to Exhibit 4.40 of our Annual Report on Form 20-F filed with the Securities and Exchange Commission</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4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310">
              <w:r>
                <w:rPr>
                  <w:rFonts w:ascii="Times New Roman" w:cs="Times New Roman" w:eastAsia="Times New Roman" w:hAnsi="Times New Roman"/>
                  <w:sz w:val="18"/>
                  <w:szCs w:val="18"/>
                  <w:color w:val="0000EE"/>
                  <w:w w:val="99"/>
                </w:rPr>
                <w:t>on March 31, 2017)</w:t>
              </w:r>
            </w:hyperlink>
          </w:p>
        </w:tc>
        <w:tc>
          <w:tcPr>
            <w:tcW w:w="804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4.35</w:t>
            </w:r>
          </w:p>
        </w:tc>
        <w:tc>
          <w:tcPr>
            <w:tcW w:w="960" w:type="dxa"/>
            <w:vAlign w:val="bottom"/>
          </w:tcPr>
          <w:p>
            <w:pPr>
              <w:spacing w:after="0"/>
              <w:rPr>
                <w:sz w:val="24"/>
                <w:szCs w:val="24"/>
                <w:color w:val="auto"/>
              </w:rPr>
            </w:pPr>
          </w:p>
        </w:tc>
        <w:tc>
          <w:tcPr>
            <w:tcW w:w="948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311">
              <w:r>
                <w:rPr>
                  <w:rFonts w:ascii="Times New Roman" w:cs="Times New Roman" w:eastAsia="Times New Roman" w:hAnsi="Times New Roman"/>
                  <w:sz w:val="18"/>
                  <w:szCs w:val="18"/>
                  <w:color w:val="0000EE"/>
                </w:rPr>
                <w:t>Translation of Irrevocable Power of Attorney issued by Zhixiang Liang, the individual shareholder of Beijing Perusal, dated</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8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311">
              <w:r>
                <w:rPr>
                  <w:rFonts w:ascii="Times New Roman" w:cs="Times New Roman" w:eastAsia="Times New Roman" w:hAnsi="Times New Roman"/>
                  <w:sz w:val="18"/>
                  <w:szCs w:val="18"/>
                  <w:color w:val="0000EE"/>
                </w:rPr>
                <w:t>May 3, 2016 (incorporated by reference to Exhibit 4.41 of our Annual Report on Form 20-F filed with the Securities and Exchange</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2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rPr>
            </w:pPr>
            <w:hyperlink r:id="rId311">
              <w:r>
                <w:rPr>
                  <w:rFonts w:ascii="Times New Roman" w:cs="Times New Roman" w:eastAsia="Times New Roman" w:hAnsi="Times New Roman"/>
                  <w:sz w:val="18"/>
                  <w:szCs w:val="18"/>
                  <w:color w:val="0000EE"/>
                </w:rPr>
                <w:t>Commission on March 31, 2017)</w:t>
              </w:r>
            </w:hyperlink>
          </w:p>
        </w:tc>
        <w:tc>
          <w:tcPr>
            <w:tcW w:w="70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4.36</w:t>
            </w:r>
          </w:p>
        </w:tc>
        <w:tc>
          <w:tcPr>
            <w:tcW w:w="960" w:type="dxa"/>
            <w:vAlign w:val="bottom"/>
          </w:tcPr>
          <w:p>
            <w:pPr>
              <w:spacing w:after="0"/>
              <w:rPr>
                <w:sz w:val="24"/>
                <w:szCs w:val="24"/>
                <w:color w:val="auto"/>
              </w:rPr>
            </w:pPr>
          </w:p>
        </w:tc>
        <w:tc>
          <w:tcPr>
            <w:tcW w:w="948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312">
              <w:r>
                <w:rPr>
                  <w:rFonts w:ascii="Times New Roman" w:cs="Times New Roman" w:eastAsia="Times New Roman" w:hAnsi="Times New Roman"/>
                  <w:sz w:val="18"/>
                  <w:szCs w:val="18"/>
                  <w:color w:val="0000EE"/>
                </w:rPr>
                <w:t>Translation of Irrevocable Power of Attorney issued by Xiaodong Wang, the individual shareholder of Beijing Perusal, dated</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8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312">
              <w:r>
                <w:rPr>
                  <w:rFonts w:ascii="Times New Roman" w:cs="Times New Roman" w:eastAsia="Times New Roman" w:hAnsi="Times New Roman"/>
                  <w:sz w:val="18"/>
                  <w:szCs w:val="18"/>
                  <w:color w:val="0000EE"/>
                </w:rPr>
                <w:t>May 3, 2016 (incorporated by reference to Exhibit 4.42 of our Annual Report on Form 20-F filed with the Securities and Exchange</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2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rPr>
            </w:pPr>
            <w:hyperlink r:id="rId312">
              <w:r>
                <w:rPr>
                  <w:rFonts w:ascii="Times New Roman" w:cs="Times New Roman" w:eastAsia="Times New Roman" w:hAnsi="Times New Roman"/>
                  <w:sz w:val="18"/>
                  <w:szCs w:val="18"/>
                  <w:color w:val="0000EE"/>
                </w:rPr>
                <w:t>Commission on March 31, 2017)</w:t>
              </w:r>
            </w:hyperlink>
          </w:p>
        </w:tc>
        <w:tc>
          <w:tcPr>
            <w:tcW w:w="70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4.37</w:t>
            </w:r>
          </w:p>
        </w:tc>
        <w:tc>
          <w:tcPr>
            <w:tcW w:w="960" w:type="dxa"/>
            <w:vAlign w:val="bottom"/>
          </w:tcPr>
          <w:p>
            <w:pPr>
              <w:spacing w:after="0"/>
              <w:rPr>
                <w:sz w:val="24"/>
                <w:szCs w:val="24"/>
                <w:color w:val="auto"/>
              </w:rPr>
            </w:pPr>
          </w:p>
        </w:tc>
        <w:tc>
          <w:tcPr>
            <w:tcW w:w="948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313">
              <w:r>
                <w:rPr>
                  <w:rFonts w:ascii="Times New Roman" w:cs="Times New Roman" w:eastAsia="Times New Roman" w:hAnsi="Times New Roman"/>
                  <w:sz w:val="18"/>
                  <w:szCs w:val="18"/>
                  <w:color w:val="0000EE"/>
                </w:rPr>
                <w:t>Translation of the Termination Agreement of Current Control Contracts among Baidu Online, Baidu Netcom, Robin Yanhong Li</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8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313">
              <w:r>
                <w:rPr>
                  <w:rFonts w:ascii="Times New Roman" w:cs="Times New Roman" w:eastAsia="Times New Roman" w:hAnsi="Times New Roman"/>
                  <w:sz w:val="18"/>
                  <w:szCs w:val="18"/>
                  <w:color w:val="0000EE"/>
                </w:rPr>
                <w:t>and Zhan Wang dated June 13, 2016 (incorporated by reference to Exhibit 4.43 of our Annual Report on Form 20-F filed with the</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80" w:type="dxa"/>
            <w:vAlign w:val="bottom"/>
            <w:gridSpan w:val="10"/>
          </w:tcPr>
          <w:p>
            <w:pPr>
              <w:spacing w:after="0" w:line="196" w:lineRule="exact"/>
              <w:rPr>
                <w:rFonts w:ascii="Times New Roman" w:cs="Times New Roman" w:eastAsia="Times New Roman" w:hAnsi="Times New Roman"/>
                <w:sz w:val="18"/>
                <w:szCs w:val="18"/>
                <w:color w:val="0000EE"/>
              </w:rPr>
            </w:pPr>
            <w:hyperlink r:id="rId313">
              <w:r>
                <w:rPr>
                  <w:rFonts w:ascii="Times New Roman" w:cs="Times New Roman" w:eastAsia="Times New Roman" w:hAnsi="Times New Roman"/>
                  <w:sz w:val="18"/>
                  <w:szCs w:val="18"/>
                  <w:color w:val="0000EE"/>
                </w:rPr>
                <w:t>Securities and Exchange Commission on March 31, 2017)</w:t>
              </w:r>
            </w:hyperlink>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4.38</w:t>
            </w:r>
          </w:p>
        </w:tc>
        <w:tc>
          <w:tcPr>
            <w:tcW w:w="960" w:type="dxa"/>
            <w:vAlign w:val="bottom"/>
          </w:tcPr>
          <w:p>
            <w:pPr>
              <w:spacing w:after="0"/>
              <w:rPr>
                <w:sz w:val="24"/>
                <w:szCs w:val="24"/>
                <w:color w:val="auto"/>
              </w:rPr>
            </w:pPr>
          </w:p>
        </w:tc>
        <w:tc>
          <w:tcPr>
            <w:tcW w:w="948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314">
              <w:r>
                <w:rPr>
                  <w:rFonts w:ascii="Times New Roman" w:cs="Times New Roman" w:eastAsia="Times New Roman" w:hAnsi="Times New Roman"/>
                  <w:sz w:val="18"/>
                  <w:szCs w:val="18"/>
                  <w:color w:val="0000EE"/>
                </w:rPr>
                <w:t>Translation of the Amended and Restated Loan Agreement between Baidu Online and Hailong Xiang dated January 18, 2017</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8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314">
              <w:r>
                <w:rPr>
                  <w:rFonts w:ascii="Times New Roman" w:cs="Times New Roman" w:eastAsia="Times New Roman" w:hAnsi="Times New Roman"/>
                  <w:sz w:val="18"/>
                  <w:szCs w:val="18"/>
                  <w:color w:val="0000EE"/>
                </w:rPr>
                <w:t>(incorporated by reference to Exhibit 4.44 of our Annual Report on Form 20-F filed with the Securities and Exchange Commission</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4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314">
              <w:r>
                <w:rPr>
                  <w:rFonts w:ascii="Times New Roman" w:cs="Times New Roman" w:eastAsia="Times New Roman" w:hAnsi="Times New Roman"/>
                  <w:sz w:val="18"/>
                  <w:szCs w:val="18"/>
                  <w:color w:val="0000EE"/>
                  <w:w w:val="99"/>
                </w:rPr>
                <w:t>on March 31, 2017)</w:t>
              </w:r>
            </w:hyperlink>
          </w:p>
        </w:tc>
        <w:tc>
          <w:tcPr>
            <w:tcW w:w="804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4.39</w:t>
            </w:r>
          </w:p>
        </w:tc>
        <w:tc>
          <w:tcPr>
            <w:tcW w:w="960" w:type="dxa"/>
            <w:vAlign w:val="bottom"/>
          </w:tcPr>
          <w:p>
            <w:pPr>
              <w:spacing w:after="0"/>
              <w:rPr>
                <w:sz w:val="24"/>
                <w:szCs w:val="24"/>
                <w:color w:val="auto"/>
              </w:rPr>
            </w:pPr>
          </w:p>
        </w:tc>
        <w:tc>
          <w:tcPr>
            <w:tcW w:w="948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315">
              <w:r>
                <w:rPr>
                  <w:rFonts w:ascii="Times New Roman" w:cs="Times New Roman" w:eastAsia="Times New Roman" w:hAnsi="Times New Roman"/>
                  <w:sz w:val="18"/>
                  <w:szCs w:val="18"/>
                  <w:color w:val="0000EE"/>
                </w:rPr>
                <w:t>Translation of the Amended and Restated Loan Agreement between Baidu Online and Robin Yanhong Li dated January 18, 2017</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8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315">
              <w:r>
                <w:rPr>
                  <w:rFonts w:ascii="Times New Roman" w:cs="Times New Roman" w:eastAsia="Times New Roman" w:hAnsi="Times New Roman"/>
                  <w:sz w:val="18"/>
                  <w:szCs w:val="18"/>
                  <w:color w:val="0000EE"/>
                </w:rPr>
                <w:t>(incorporated by reference to Exhibit 4.45 of our Annual Report on Form 20-F filed with the Securities and Exchange Commission</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4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315">
              <w:r>
                <w:rPr>
                  <w:rFonts w:ascii="Times New Roman" w:cs="Times New Roman" w:eastAsia="Times New Roman" w:hAnsi="Times New Roman"/>
                  <w:sz w:val="18"/>
                  <w:szCs w:val="18"/>
                  <w:color w:val="0000EE"/>
                  <w:w w:val="99"/>
                </w:rPr>
                <w:t>on March 31, 2017)</w:t>
              </w:r>
            </w:hyperlink>
          </w:p>
        </w:tc>
        <w:tc>
          <w:tcPr>
            <w:tcW w:w="804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4.40</w:t>
            </w:r>
          </w:p>
        </w:tc>
        <w:tc>
          <w:tcPr>
            <w:tcW w:w="960" w:type="dxa"/>
            <w:vAlign w:val="bottom"/>
          </w:tcPr>
          <w:p>
            <w:pPr>
              <w:spacing w:after="0"/>
              <w:rPr>
                <w:sz w:val="24"/>
                <w:szCs w:val="24"/>
                <w:color w:val="auto"/>
              </w:rPr>
            </w:pPr>
          </w:p>
        </w:tc>
        <w:tc>
          <w:tcPr>
            <w:tcW w:w="948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316">
              <w:r>
                <w:rPr>
                  <w:rFonts w:ascii="Times New Roman" w:cs="Times New Roman" w:eastAsia="Times New Roman" w:hAnsi="Times New Roman"/>
                  <w:sz w:val="18"/>
                  <w:szCs w:val="18"/>
                  <w:color w:val="0000EE"/>
                </w:rPr>
                <w:t>Translation of the Equity Transfer Agreement between Than Wang and Hailong Xiang dated June 13, 2016 (incorporated by</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8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316">
              <w:r>
                <w:rPr>
                  <w:rFonts w:ascii="Times New Roman" w:cs="Times New Roman" w:eastAsia="Times New Roman" w:hAnsi="Times New Roman"/>
                  <w:sz w:val="18"/>
                  <w:szCs w:val="18"/>
                  <w:color w:val="0000EE"/>
                </w:rPr>
                <w:t>reference to Exhibit 4.46 of our Annual Report on Form 20-F filed with the Securities and Exchange Commission on March 31,</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5"/>
              </w:rPr>
            </w:pPr>
            <w:hyperlink r:id="rId316">
              <w:r>
                <w:rPr>
                  <w:rFonts w:ascii="Times New Roman" w:cs="Times New Roman" w:eastAsia="Times New Roman" w:hAnsi="Times New Roman"/>
                  <w:sz w:val="18"/>
                  <w:szCs w:val="18"/>
                  <w:color w:val="0000EE"/>
                  <w:w w:val="95"/>
                </w:rPr>
                <w:t>2017)</w:t>
              </w:r>
            </w:hyperlink>
          </w:p>
        </w:tc>
        <w:tc>
          <w:tcPr>
            <w:tcW w:w="10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4.41</w:t>
            </w:r>
          </w:p>
        </w:tc>
        <w:tc>
          <w:tcPr>
            <w:tcW w:w="960" w:type="dxa"/>
            <w:vAlign w:val="bottom"/>
          </w:tcPr>
          <w:p>
            <w:pPr>
              <w:spacing w:after="0"/>
              <w:rPr>
                <w:sz w:val="24"/>
                <w:szCs w:val="24"/>
                <w:color w:val="auto"/>
              </w:rPr>
            </w:pPr>
          </w:p>
        </w:tc>
        <w:tc>
          <w:tcPr>
            <w:tcW w:w="948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317">
              <w:r>
                <w:rPr>
                  <w:rFonts w:ascii="Times New Roman" w:cs="Times New Roman" w:eastAsia="Times New Roman" w:hAnsi="Times New Roman"/>
                  <w:sz w:val="18"/>
                  <w:szCs w:val="18"/>
                  <w:color w:val="0000EE"/>
                </w:rPr>
                <w:t>Translation of the Proxy Agreement among Robin Yanhong Li, Hailong Xiang and Baidu Online dated June 13, 2016</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8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317">
              <w:r>
                <w:rPr>
                  <w:rFonts w:ascii="Times New Roman" w:cs="Times New Roman" w:eastAsia="Times New Roman" w:hAnsi="Times New Roman"/>
                  <w:sz w:val="18"/>
                  <w:szCs w:val="18"/>
                  <w:color w:val="0000EE"/>
                </w:rPr>
                <w:t>(incorporated by reference to Exhibit 4.47 of our Annual Report on Form 20-F filed with the Securities and Exchange Commission</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4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317">
              <w:r>
                <w:rPr>
                  <w:rFonts w:ascii="Times New Roman" w:cs="Times New Roman" w:eastAsia="Times New Roman" w:hAnsi="Times New Roman"/>
                  <w:sz w:val="18"/>
                  <w:szCs w:val="18"/>
                  <w:color w:val="0000EE"/>
                  <w:w w:val="99"/>
                </w:rPr>
                <w:t>on March 31, 2017)</w:t>
              </w:r>
            </w:hyperlink>
          </w:p>
        </w:tc>
        <w:tc>
          <w:tcPr>
            <w:tcW w:w="804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4.42</w:t>
            </w:r>
          </w:p>
        </w:tc>
        <w:tc>
          <w:tcPr>
            <w:tcW w:w="960" w:type="dxa"/>
            <w:vAlign w:val="bottom"/>
          </w:tcPr>
          <w:p>
            <w:pPr>
              <w:spacing w:after="0"/>
              <w:rPr>
                <w:sz w:val="24"/>
                <w:szCs w:val="24"/>
                <w:color w:val="auto"/>
              </w:rPr>
            </w:pPr>
          </w:p>
        </w:tc>
        <w:tc>
          <w:tcPr>
            <w:tcW w:w="948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318">
              <w:r>
                <w:rPr>
                  <w:rFonts w:ascii="Times New Roman" w:cs="Times New Roman" w:eastAsia="Times New Roman" w:hAnsi="Times New Roman"/>
                  <w:sz w:val="18"/>
                  <w:szCs w:val="18"/>
                  <w:color w:val="0000EE"/>
                </w:rPr>
                <w:t>Translation of the Operating Agreement among Baidu Online, Baidu Netcom, Robin Yanhong Li, Hailong Xiang dated June 13,</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8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318">
              <w:r>
                <w:rPr>
                  <w:rFonts w:ascii="Times New Roman" w:cs="Times New Roman" w:eastAsia="Times New Roman" w:hAnsi="Times New Roman"/>
                  <w:sz w:val="18"/>
                  <w:szCs w:val="18"/>
                  <w:color w:val="0000EE"/>
                </w:rPr>
                <w:t>2016 (incorporated by reference to Exhibit 4.48 of our Annual Report on Form 20-F filed with the Securities and Exchange</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318">
              <w:r>
                <w:rPr>
                  <w:rFonts w:ascii="Times New Roman" w:cs="Times New Roman" w:eastAsia="Times New Roman" w:hAnsi="Times New Roman"/>
                  <w:sz w:val="18"/>
                  <w:szCs w:val="18"/>
                  <w:color w:val="0000EE"/>
                  <w:w w:val="99"/>
                </w:rPr>
                <w:t>Commission on March 31, 2017)</w:t>
              </w:r>
            </w:hyperlink>
          </w:p>
        </w:tc>
        <w:tc>
          <w:tcPr>
            <w:tcW w:w="70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4.43</w:t>
            </w:r>
          </w:p>
        </w:tc>
        <w:tc>
          <w:tcPr>
            <w:tcW w:w="960" w:type="dxa"/>
            <w:vAlign w:val="bottom"/>
          </w:tcPr>
          <w:p>
            <w:pPr>
              <w:spacing w:after="0"/>
              <w:rPr>
                <w:sz w:val="24"/>
                <w:szCs w:val="24"/>
                <w:color w:val="auto"/>
              </w:rPr>
            </w:pPr>
          </w:p>
        </w:tc>
        <w:tc>
          <w:tcPr>
            <w:tcW w:w="948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319">
              <w:r>
                <w:rPr>
                  <w:rFonts w:ascii="Times New Roman" w:cs="Times New Roman" w:eastAsia="Times New Roman" w:hAnsi="Times New Roman"/>
                  <w:sz w:val="18"/>
                  <w:szCs w:val="18"/>
                  <w:color w:val="0000EE"/>
                </w:rPr>
                <w:t>Translation of the Amended and Restated Equity Pledge Agreement between Baidu Online and Hailong Xiang dated January 18,</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8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319">
              <w:r>
                <w:rPr>
                  <w:rFonts w:ascii="Times New Roman" w:cs="Times New Roman" w:eastAsia="Times New Roman" w:hAnsi="Times New Roman"/>
                  <w:sz w:val="18"/>
                  <w:szCs w:val="18"/>
                  <w:color w:val="0000EE"/>
                </w:rPr>
                <w:t>2017 (incorporated by reference to Exhibit 4.49 of our Annual Report on Form 20-F filed with the Securities and Exchange</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2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rPr>
            </w:pPr>
            <w:hyperlink r:id="rId319">
              <w:r>
                <w:rPr>
                  <w:rFonts w:ascii="Times New Roman" w:cs="Times New Roman" w:eastAsia="Times New Roman" w:hAnsi="Times New Roman"/>
                  <w:sz w:val="18"/>
                  <w:szCs w:val="18"/>
                  <w:color w:val="0000EE"/>
                </w:rPr>
                <w:t>Commission on March 31, 2017)</w:t>
              </w:r>
            </w:hyperlink>
          </w:p>
        </w:tc>
        <w:tc>
          <w:tcPr>
            <w:tcW w:w="70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4.44</w:t>
            </w:r>
          </w:p>
        </w:tc>
        <w:tc>
          <w:tcPr>
            <w:tcW w:w="960" w:type="dxa"/>
            <w:vAlign w:val="bottom"/>
          </w:tcPr>
          <w:p>
            <w:pPr>
              <w:spacing w:after="0"/>
              <w:rPr>
                <w:sz w:val="24"/>
                <w:szCs w:val="24"/>
                <w:color w:val="auto"/>
              </w:rPr>
            </w:pPr>
          </w:p>
        </w:tc>
        <w:tc>
          <w:tcPr>
            <w:tcW w:w="948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320">
              <w:r>
                <w:rPr>
                  <w:rFonts w:ascii="Times New Roman" w:cs="Times New Roman" w:eastAsia="Times New Roman" w:hAnsi="Times New Roman"/>
                  <w:sz w:val="18"/>
                  <w:szCs w:val="18"/>
                  <w:color w:val="0000EE"/>
                </w:rPr>
                <w:t>Translation of the Amended and Restated Equity Pledge Agreement between Baidu Online and Robin Yanhong Li dated</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8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320">
              <w:r>
                <w:rPr>
                  <w:rFonts w:ascii="Times New Roman" w:cs="Times New Roman" w:eastAsia="Times New Roman" w:hAnsi="Times New Roman"/>
                  <w:sz w:val="18"/>
                  <w:szCs w:val="18"/>
                  <w:color w:val="0000EE"/>
                </w:rPr>
                <w:t>January 18, 2017 (incorporated by reference to Exhibit 4.50 of our Annual Report on Form 20-F filed with the Securities and</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80" w:type="dxa"/>
            <w:vAlign w:val="bottom"/>
            <w:gridSpan w:val="10"/>
          </w:tcPr>
          <w:p>
            <w:pPr>
              <w:spacing w:after="0" w:line="196" w:lineRule="exact"/>
              <w:rPr>
                <w:rFonts w:ascii="Times New Roman" w:cs="Times New Roman" w:eastAsia="Times New Roman" w:hAnsi="Times New Roman"/>
                <w:sz w:val="18"/>
                <w:szCs w:val="18"/>
                <w:color w:val="0000EE"/>
              </w:rPr>
            </w:pPr>
            <w:hyperlink r:id="rId320">
              <w:r>
                <w:rPr>
                  <w:rFonts w:ascii="Times New Roman" w:cs="Times New Roman" w:eastAsia="Times New Roman" w:hAnsi="Times New Roman"/>
                  <w:sz w:val="18"/>
                  <w:szCs w:val="18"/>
                  <w:color w:val="0000EE"/>
                </w:rPr>
                <w:t>Exchange Commission on March 31, 2017)</w:t>
              </w:r>
            </w:hyperlink>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140" w:type="dxa"/>
            <w:vAlign w:val="bottom"/>
            <w:gridSpan w:val="6"/>
            <w:shd w:val="clear" w:color="auto" w:fill="0000EE"/>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4.45</w:t>
            </w:r>
          </w:p>
        </w:tc>
        <w:tc>
          <w:tcPr>
            <w:tcW w:w="960" w:type="dxa"/>
            <w:vAlign w:val="bottom"/>
          </w:tcPr>
          <w:p>
            <w:pPr>
              <w:spacing w:after="0"/>
              <w:rPr>
                <w:sz w:val="24"/>
                <w:szCs w:val="24"/>
                <w:color w:val="auto"/>
              </w:rPr>
            </w:pPr>
          </w:p>
        </w:tc>
        <w:tc>
          <w:tcPr>
            <w:tcW w:w="948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321">
              <w:r>
                <w:rPr>
                  <w:rFonts w:ascii="Times New Roman" w:cs="Times New Roman" w:eastAsia="Times New Roman" w:hAnsi="Times New Roman"/>
                  <w:sz w:val="18"/>
                  <w:szCs w:val="18"/>
                  <w:color w:val="0000EE"/>
                </w:rPr>
                <w:t>Translation of the Amended and Restated Exclusive Equity Purchase and Transfer Option Agreement among Baidu Online,</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6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321">
              <w:r>
                <w:rPr>
                  <w:rFonts w:ascii="Times New Roman" w:cs="Times New Roman" w:eastAsia="Times New Roman" w:hAnsi="Times New Roman"/>
                  <w:sz w:val="18"/>
                  <w:szCs w:val="18"/>
                  <w:color w:val="0000EE"/>
                </w:rPr>
                <w:t>Hailong Xiang and Baidu Netcom dated January 18, 2017 (incorporated by reference to Exhibit 4.51 of our Annual Report on</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80" w:type="dxa"/>
            <w:vAlign w:val="bottom"/>
            <w:gridSpan w:val="10"/>
          </w:tcPr>
          <w:p>
            <w:pPr>
              <w:spacing w:after="0" w:line="196" w:lineRule="exact"/>
              <w:rPr>
                <w:rFonts w:ascii="Times New Roman" w:cs="Times New Roman" w:eastAsia="Times New Roman" w:hAnsi="Times New Roman"/>
                <w:sz w:val="18"/>
                <w:szCs w:val="18"/>
                <w:color w:val="0000EE"/>
              </w:rPr>
            </w:pPr>
            <w:hyperlink r:id="rId321">
              <w:r>
                <w:rPr>
                  <w:rFonts w:ascii="Times New Roman" w:cs="Times New Roman" w:eastAsia="Times New Roman" w:hAnsi="Times New Roman"/>
                  <w:sz w:val="18"/>
                  <w:szCs w:val="18"/>
                  <w:color w:val="0000EE"/>
                </w:rPr>
                <w:t>Form 20-F filed with the Securities and Exchange Commission on March 31, 2017)</w:t>
              </w:r>
            </w:hyperlink>
          </w:p>
        </w:tc>
        <w:tc>
          <w:tcPr>
            <w:tcW w:w="0" w:type="dxa"/>
            <w:vAlign w:val="bottom"/>
          </w:tcPr>
          <w:p>
            <w:pPr>
              <w:spacing w:after="0"/>
              <w:rPr>
                <w:sz w:val="1"/>
                <w:szCs w:val="1"/>
                <w:color w:val="auto"/>
              </w:rPr>
            </w:pPr>
          </w:p>
        </w:tc>
      </w:tr>
      <w:tr>
        <w:trPr>
          <w:trHeight w:val="385"/>
        </w:trPr>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gridSpan w:val="2"/>
          </w:tcPr>
          <w:p>
            <w:pPr>
              <w:spacing w:after="0"/>
              <w:rPr>
                <w:sz w:val="24"/>
                <w:szCs w:val="24"/>
                <w:color w:val="auto"/>
              </w:rPr>
            </w:pPr>
          </w:p>
        </w:tc>
        <w:tc>
          <w:tcPr>
            <w:tcW w:w="4180" w:type="dxa"/>
            <w:vAlign w:val="bottom"/>
            <w:tcBorders>
              <w:top w:val="single" w:sz="8" w:color="0000EE"/>
            </w:tcBorders>
            <w:gridSpan w:val="6"/>
          </w:tcPr>
          <w:p>
            <w:pPr>
              <w:jc w:val="right"/>
              <w:ind w:right="28"/>
              <w:spacing w:after="0"/>
              <w:rPr>
                <w:sz w:val="20"/>
                <w:szCs w:val="20"/>
                <w:color w:val="auto"/>
              </w:rPr>
            </w:pPr>
            <w:r>
              <w:rPr>
                <w:rFonts w:ascii="Times New Roman" w:cs="Times New Roman" w:eastAsia="Times New Roman" w:hAnsi="Times New Roman"/>
                <w:sz w:val="18"/>
                <w:szCs w:val="18"/>
                <w:color w:val="auto"/>
              </w:rPr>
              <w:t>216</w:t>
            </w:r>
          </w:p>
        </w:tc>
        <w:tc>
          <w:tcPr>
            <w:tcW w:w="1820" w:type="dxa"/>
            <w:vAlign w:val="bottom"/>
            <w:tcBorders>
              <w:top w:val="single" w:sz="8" w:color="0000EE"/>
            </w:tcBorders>
          </w:tcPr>
          <w:p>
            <w:pPr>
              <w:spacing w:after="0"/>
              <w:rPr>
                <w:sz w:val="24"/>
                <w:szCs w:val="24"/>
                <w:color w:val="auto"/>
              </w:rPr>
            </w:pPr>
          </w:p>
        </w:tc>
        <w:tc>
          <w:tcPr>
            <w:tcW w:w="3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3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0" w:type="dxa"/>
            <w:vAlign w:val="bottom"/>
          </w:tcPr>
          <w:p>
            <w:pPr>
              <w:spacing w:after="0"/>
              <w:rPr>
                <w:sz w:val="13"/>
                <w:szCs w:val="13"/>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20" w:type="dxa"/>
            <w:vAlign w:val="bottom"/>
            <w:gridSpan w:val="6"/>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0" w:type="dxa"/>
            <w:vAlign w:val="bottom"/>
          </w:tcPr>
          <w:p>
            <w:pPr>
              <w:spacing w:after="0"/>
              <w:rPr>
                <w:sz w:val="1"/>
                <w:szCs w:val="1"/>
                <w:color w:val="auto"/>
              </w:rPr>
            </w:pPr>
          </w:p>
        </w:tc>
      </w:tr>
      <w:tr>
        <w:trPr>
          <w:trHeight w:val="180"/>
        </w:trPr>
        <w:tc>
          <w:tcPr>
            <w:tcW w:w="80" w:type="dxa"/>
            <w:vAlign w:val="bottom"/>
          </w:tcPr>
          <w:p>
            <w:pPr>
              <w:spacing w:after="0"/>
              <w:rPr>
                <w:sz w:val="15"/>
                <w:szCs w:val="15"/>
                <w:color w:val="auto"/>
              </w:rPr>
            </w:pP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020" w:type="dxa"/>
            <w:vAlign w:val="bottom"/>
            <w:tcBorders>
              <w:bottom w:val="single" w:sz="8" w:color="auto"/>
            </w:tcBorders>
            <w:gridSpan w:val="6"/>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4.46</w:t>
            </w:r>
          </w:p>
        </w:tc>
        <w:tc>
          <w:tcPr>
            <w:tcW w:w="960" w:type="dxa"/>
            <w:vAlign w:val="bottom"/>
          </w:tcPr>
          <w:p>
            <w:pPr>
              <w:spacing w:after="0"/>
              <w:rPr>
                <w:sz w:val="23"/>
                <w:szCs w:val="23"/>
                <w:color w:val="auto"/>
              </w:rPr>
            </w:pPr>
          </w:p>
        </w:tc>
        <w:tc>
          <w:tcPr>
            <w:tcW w:w="948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323">
              <w:r>
                <w:rPr>
                  <w:rFonts w:ascii="Times New Roman" w:cs="Times New Roman" w:eastAsia="Times New Roman" w:hAnsi="Times New Roman"/>
                  <w:sz w:val="18"/>
                  <w:szCs w:val="18"/>
                  <w:color w:val="0000EE"/>
                </w:rPr>
                <w:t>Translation of the Amended and Restated Exclusive Equity Purchase and Transfer Option Agreement among Baidu Online, Robin</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6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323">
              <w:r>
                <w:rPr>
                  <w:rFonts w:ascii="Times New Roman" w:cs="Times New Roman" w:eastAsia="Times New Roman" w:hAnsi="Times New Roman"/>
                  <w:sz w:val="18"/>
                  <w:szCs w:val="18"/>
                  <w:color w:val="0000EE"/>
                </w:rPr>
                <w:t>Yanhong Li and Baidu Netcom dated January 18, 2017 (incorporated by reference to Exhibit 4.52 of our Annual Report on Form</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60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323">
              <w:r>
                <w:rPr>
                  <w:rFonts w:ascii="Times New Roman" w:cs="Times New Roman" w:eastAsia="Times New Roman" w:hAnsi="Times New Roman"/>
                  <w:sz w:val="18"/>
                  <w:szCs w:val="18"/>
                  <w:color w:val="0000EE"/>
                  <w:w w:val="99"/>
                </w:rPr>
                <w:t>20-F filed with the Securities and Exchange Commission on March 31, 2017)</w:t>
              </w:r>
            </w:hyperlink>
          </w:p>
        </w:tc>
        <w:tc>
          <w:tcPr>
            <w:tcW w:w="38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4.47</w:t>
            </w:r>
          </w:p>
        </w:tc>
        <w:tc>
          <w:tcPr>
            <w:tcW w:w="960" w:type="dxa"/>
            <w:vAlign w:val="bottom"/>
          </w:tcPr>
          <w:p>
            <w:pPr>
              <w:spacing w:after="0"/>
              <w:rPr>
                <w:sz w:val="24"/>
                <w:szCs w:val="24"/>
                <w:color w:val="auto"/>
              </w:rPr>
            </w:pPr>
          </w:p>
        </w:tc>
        <w:tc>
          <w:tcPr>
            <w:tcW w:w="9480" w:type="dxa"/>
            <w:vAlign w:val="bottom"/>
            <w:gridSpan w:val="13"/>
          </w:tcPr>
          <w:p>
            <w:pPr>
              <w:spacing w:after="0"/>
              <w:rPr>
                <w:rFonts w:ascii="Times New Roman" w:cs="Times New Roman" w:eastAsia="Times New Roman" w:hAnsi="Times New Roman"/>
                <w:sz w:val="18"/>
                <w:szCs w:val="18"/>
                <w:color w:val="0000EE"/>
              </w:rPr>
            </w:pPr>
            <w:hyperlink r:id="rId324">
              <w:r>
                <w:rPr>
                  <w:rFonts w:ascii="Times New Roman" w:cs="Times New Roman" w:eastAsia="Times New Roman" w:hAnsi="Times New Roman"/>
                  <w:sz w:val="18"/>
                  <w:szCs w:val="18"/>
                  <w:color w:val="0000EE"/>
                </w:rPr>
                <w:t>Translation of Irrevocable Power of Attorney issued by Robin Yanhong Li, an individual shareholder of Baidu Netcom, dated</w:t>
              </w:r>
            </w:hyperlink>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860" w:type="dxa"/>
            <w:vAlign w:val="bottom"/>
            <w:gridSpan w:val="2"/>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324">
              <w:r>
                <w:rPr>
                  <w:rFonts w:ascii="Times New Roman" w:cs="Times New Roman" w:eastAsia="Times New Roman" w:hAnsi="Times New Roman"/>
                  <w:sz w:val="18"/>
                  <w:szCs w:val="18"/>
                  <w:color w:val="0000EE"/>
                </w:rPr>
                <w:t>June 13, 2016 (incorporated by reference to Exhibit 4.53 of our Annual Report on Form 20-F filed with the Securities and</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80" w:type="dxa"/>
            <w:vAlign w:val="bottom"/>
            <w:gridSpan w:val="13"/>
          </w:tcPr>
          <w:p>
            <w:pPr>
              <w:spacing w:after="0" w:line="196" w:lineRule="exact"/>
              <w:rPr>
                <w:rFonts w:ascii="Times New Roman" w:cs="Times New Roman" w:eastAsia="Times New Roman" w:hAnsi="Times New Roman"/>
                <w:sz w:val="18"/>
                <w:szCs w:val="18"/>
                <w:color w:val="0000EE"/>
              </w:rPr>
            </w:pPr>
            <w:hyperlink r:id="rId324">
              <w:r>
                <w:rPr>
                  <w:rFonts w:ascii="Times New Roman" w:cs="Times New Roman" w:eastAsia="Times New Roman" w:hAnsi="Times New Roman"/>
                  <w:sz w:val="18"/>
                  <w:szCs w:val="18"/>
                  <w:color w:val="0000EE"/>
                </w:rPr>
                <w:t>Exchange Commission on March 31, 2017)</w:t>
              </w:r>
            </w:hyperlink>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4.48</w:t>
            </w:r>
          </w:p>
        </w:tc>
        <w:tc>
          <w:tcPr>
            <w:tcW w:w="960" w:type="dxa"/>
            <w:vAlign w:val="bottom"/>
          </w:tcPr>
          <w:p>
            <w:pPr>
              <w:spacing w:after="0"/>
              <w:rPr>
                <w:sz w:val="24"/>
                <w:szCs w:val="24"/>
                <w:color w:val="auto"/>
              </w:rPr>
            </w:pPr>
          </w:p>
        </w:tc>
        <w:tc>
          <w:tcPr>
            <w:tcW w:w="9480" w:type="dxa"/>
            <w:vAlign w:val="bottom"/>
            <w:gridSpan w:val="13"/>
          </w:tcPr>
          <w:p>
            <w:pPr>
              <w:spacing w:after="0"/>
              <w:rPr>
                <w:rFonts w:ascii="Times New Roman" w:cs="Times New Roman" w:eastAsia="Times New Roman" w:hAnsi="Times New Roman"/>
                <w:sz w:val="18"/>
                <w:szCs w:val="18"/>
                <w:color w:val="0000EE"/>
              </w:rPr>
            </w:pPr>
            <w:hyperlink r:id="rId325">
              <w:r>
                <w:rPr>
                  <w:rFonts w:ascii="Times New Roman" w:cs="Times New Roman" w:eastAsia="Times New Roman" w:hAnsi="Times New Roman"/>
                  <w:sz w:val="18"/>
                  <w:szCs w:val="18"/>
                  <w:color w:val="0000EE"/>
                </w:rPr>
                <w:t>Translation of Irrevocable Power of Attorney issued by Hailong Xiang, an individual shareholder of Baidu Netcom, dated June 13,</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60" w:type="dxa"/>
            <w:vAlign w:val="bottom"/>
            <w:tcBorders>
              <w:top w:val="single" w:sz="8" w:color="0000EE"/>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325">
              <w:r>
                <w:rPr>
                  <w:rFonts w:ascii="Times New Roman" w:cs="Times New Roman" w:eastAsia="Times New Roman" w:hAnsi="Times New Roman"/>
                  <w:sz w:val="18"/>
                  <w:szCs w:val="18"/>
                  <w:color w:val="0000EE"/>
                </w:rPr>
                <w:t>2016 (incorporated by reference to Exhibit 4.54 of our Annual Report on Form 20-F filed with the Securities and Exchange</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325">
              <w:r>
                <w:rPr>
                  <w:rFonts w:ascii="Times New Roman" w:cs="Times New Roman" w:eastAsia="Times New Roman" w:hAnsi="Times New Roman"/>
                  <w:sz w:val="18"/>
                  <w:szCs w:val="18"/>
                  <w:color w:val="0000EE"/>
                  <w:w w:val="99"/>
                </w:rPr>
                <w:t>Commission on March 31, 2017)</w:t>
              </w:r>
            </w:hyperlink>
          </w:p>
        </w:tc>
        <w:tc>
          <w:tcPr>
            <w:tcW w:w="708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4.49</w:t>
            </w:r>
          </w:p>
        </w:tc>
        <w:tc>
          <w:tcPr>
            <w:tcW w:w="960" w:type="dxa"/>
            <w:vAlign w:val="bottom"/>
          </w:tcPr>
          <w:p>
            <w:pPr>
              <w:spacing w:after="0"/>
              <w:rPr>
                <w:sz w:val="24"/>
                <w:szCs w:val="24"/>
                <w:color w:val="auto"/>
              </w:rPr>
            </w:pPr>
          </w:p>
        </w:tc>
        <w:tc>
          <w:tcPr>
            <w:tcW w:w="9480" w:type="dxa"/>
            <w:vAlign w:val="bottom"/>
            <w:gridSpan w:val="13"/>
          </w:tcPr>
          <w:p>
            <w:pPr>
              <w:spacing w:after="0"/>
              <w:rPr>
                <w:rFonts w:ascii="Times New Roman" w:cs="Times New Roman" w:eastAsia="Times New Roman" w:hAnsi="Times New Roman"/>
                <w:sz w:val="18"/>
                <w:szCs w:val="18"/>
                <w:color w:val="0000EE"/>
              </w:rPr>
            </w:pPr>
            <w:hyperlink r:id="rId326">
              <w:r>
                <w:rPr>
                  <w:rFonts w:ascii="Times New Roman" w:cs="Times New Roman" w:eastAsia="Times New Roman" w:hAnsi="Times New Roman"/>
                  <w:sz w:val="18"/>
                  <w:szCs w:val="18"/>
                  <w:color w:val="0000EE"/>
                </w:rPr>
                <w:t>Standstill Agreement between Baidu, Inc. and Ctrip.com International, Ltd. dated October 26, 2015 (incorporated by reference to</w:t>
              </w:r>
            </w:hyperlink>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860" w:type="dxa"/>
            <w:vAlign w:val="bottom"/>
            <w:gridSpan w:val="2"/>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326">
              <w:r>
                <w:rPr>
                  <w:rFonts w:ascii="Times New Roman" w:cs="Times New Roman" w:eastAsia="Times New Roman" w:hAnsi="Times New Roman"/>
                  <w:sz w:val="18"/>
                  <w:szCs w:val="18"/>
                  <w:color w:val="0000EE"/>
                </w:rPr>
                <w:t>Exhibit 3 of our Report on Schedule 13D filed with the Securities and Exchange Commission with respect to Ctrip.com</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80" w:type="dxa"/>
            <w:vAlign w:val="bottom"/>
            <w:gridSpan w:val="13"/>
          </w:tcPr>
          <w:p>
            <w:pPr>
              <w:spacing w:after="0" w:line="196" w:lineRule="exact"/>
              <w:rPr>
                <w:rFonts w:ascii="Times New Roman" w:cs="Times New Roman" w:eastAsia="Times New Roman" w:hAnsi="Times New Roman"/>
                <w:sz w:val="18"/>
                <w:szCs w:val="18"/>
                <w:color w:val="0000EE"/>
              </w:rPr>
            </w:pPr>
            <w:hyperlink r:id="rId326">
              <w:r>
                <w:rPr>
                  <w:rFonts w:ascii="Times New Roman" w:cs="Times New Roman" w:eastAsia="Times New Roman" w:hAnsi="Times New Roman"/>
                  <w:sz w:val="18"/>
                  <w:szCs w:val="18"/>
                  <w:color w:val="0000EE"/>
                </w:rPr>
                <w:t>International, Ltd. on November 4, 2015)</w:t>
              </w:r>
            </w:hyperlink>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4.50</w:t>
            </w:r>
          </w:p>
        </w:tc>
        <w:tc>
          <w:tcPr>
            <w:tcW w:w="960" w:type="dxa"/>
            <w:vAlign w:val="bottom"/>
          </w:tcPr>
          <w:p>
            <w:pPr>
              <w:spacing w:after="0"/>
              <w:rPr>
                <w:sz w:val="24"/>
                <w:szCs w:val="24"/>
                <w:color w:val="auto"/>
              </w:rPr>
            </w:pPr>
          </w:p>
        </w:tc>
        <w:tc>
          <w:tcPr>
            <w:tcW w:w="948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327">
              <w:r>
                <w:rPr>
                  <w:rFonts w:ascii="Times New Roman" w:cs="Times New Roman" w:eastAsia="Times New Roman" w:hAnsi="Times New Roman"/>
                  <w:sz w:val="18"/>
                  <w:szCs w:val="18"/>
                  <w:color w:val="0000EE"/>
                </w:rPr>
                <w:t>Registration Rights Agreement between Baidu Holdings Limited and Ctrip.com International, Ltd. dated October 26, 2015</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80" w:type="dxa"/>
            <w:vAlign w:val="bottom"/>
            <w:gridSpan w:val="13"/>
          </w:tcPr>
          <w:p>
            <w:pPr>
              <w:spacing w:after="0" w:line="196" w:lineRule="exact"/>
              <w:rPr>
                <w:rFonts w:ascii="Times New Roman" w:cs="Times New Roman" w:eastAsia="Times New Roman" w:hAnsi="Times New Roman"/>
                <w:sz w:val="18"/>
                <w:szCs w:val="18"/>
                <w:color w:val="0000EE"/>
              </w:rPr>
            </w:pPr>
            <w:hyperlink r:id="rId327">
              <w:r>
                <w:rPr>
                  <w:rFonts w:ascii="Times New Roman" w:cs="Times New Roman" w:eastAsia="Times New Roman" w:hAnsi="Times New Roman"/>
                  <w:sz w:val="18"/>
                  <w:szCs w:val="18"/>
                  <w:color w:val="0000EE"/>
                </w:rPr>
                <w:t>(incorporated by reference to Exhibit 4 of our Report on Schedule 13D filed with the Securities and Exchange Commission with</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50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327">
              <w:r>
                <w:rPr>
                  <w:rFonts w:ascii="Times New Roman" w:cs="Times New Roman" w:eastAsia="Times New Roman" w:hAnsi="Times New Roman"/>
                  <w:sz w:val="18"/>
                  <w:szCs w:val="18"/>
                  <w:color w:val="0000EE"/>
                  <w:w w:val="99"/>
                </w:rPr>
                <w:t>respect to Ctrip.com International, Ltd. on November 4, 2015)</w:t>
              </w:r>
            </w:hyperlink>
          </w:p>
        </w:tc>
        <w:tc>
          <w:tcPr>
            <w:tcW w:w="4960" w:type="dxa"/>
            <w:vAlign w:val="bottom"/>
            <w:tcBorders>
              <w:top w:val="single" w:sz="8" w:color="0000EE"/>
            </w:tcBorders>
            <w:gridSpan w:val="4"/>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4.51</w:t>
            </w:r>
          </w:p>
        </w:tc>
        <w:tc>
          <w:tcPr>
            <w:tcW w:w="960" w:type="dxa"/>
            <w:vAlign w:val="bottom"/>
          </w:tcPr>
          <w:p>
            <w:pPr>
              <w:spacing w:after="0"/>
              <w:rPr>
                <w:sz w:val="24"/>
                <w:szCs w:val="24"/>
                <w:color w:val="auto"/>
              </w:rPr>
            </w:pPr>
          </w:p>
        </w:tc>
        <w:tc>
          <w:tcPr>
            <w:tcW w:w="946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328">
              <w:r>
                <w:rPr>
                  <w:rFonts w:ascii="Times New Roman" w:cs="Times New Roman" w:eastAsia="Times New Roman" w:hAnsi="Times New Roman"/>
                  <w:sz w:val="18"/>
                  <w:szCs w:val="18"/>
                  <w:u w:val="single" w:color="auto"/>
                  <w:color w:val="0000EE"/>
                </w:rPr>
                <w:t>US$</w:t>
              </w:r>
              <w:r>
                <w:rPr>
                  <w:rFonts w:ascii="Times New Roman" w:cs="Times New Roman" w:eastAsia="Times New Roman" w:hAnsi="Times New Roman"/>
                  <w:sz w:val="18"/>
                  <w:szCs w:val="18"/>
                  <w:color w:val="0000EE"/>
                </w:rPr>
                <w:t>2,000,000,000 Facilities Agreement between the Registrant and other parties thereto dated June 8, 2016 (incorporated by</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328">
              <w:r>
                <w:rPr>
                  <w:rFonts w:ascii="Times New Roman" w:cs="Times New Roman" w:eastAsia="Times New Roman" w:hAnsi="Times New Roman"/>
                  <w:sz w:val="18"/>
                  <w:szCs w:val="18"/>
                  <w:color w:val="0000EE"/>
                </w:rPr>
                <w:t>reference to Exhibit 4.68 of our Annual Report on Form 20-F filed with the Securities and Exchange Commission on March 31,</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5"/>
              </w:rPr>
            </w:pPr>
            <w:hyperlink r:id="rId328">
              <w:r>
                <w:rPr>
                  <w:rFonts w:ascii="Times New Roman" w:cs="Times New Roman" w:eastAsia="Times New Roman" w:hAnsi="Times New Roman"/>
                  <w:sz w:val="18"/>
                  <w:szCs w:val="18"/>
                  <w:color w:val="0000EE"/>
                  <w:w w:val="95"/>
                </w:rPr>
                <w:t>2017)</w:t>
              </w:r>
            </w:hyperlink>
          </w:p>
        </w:tc>
        <w:tc>
          <w:tcPr>
            <w:tcW w:w="10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4.54</w:t>
            </w:r>
          </w:p>
        </w:tc>
        <w:tc>
          <w:tcPr>
            <w:tcW w:w="960" w:type="dxa"/>
            <w:vAlign w:val="bottom"/>
          </w:tcPr>
          <w:p>
            <w:pPr>
              <w:spacing w:after="0"/>
              <w:rPr>
                <w:sz w:val="24"/>
                <w:szCs w:val="24"/>
                <w:color w:val="auto"/>
              </w:rPr>
            </w:pPr>
          </w:p>
        </w:tc>
        <w:tc>
          <w:tcPr>
            <w:tcW w:w="9480" w:type="dxa"/>
            <w:vAlign w:val="bottom"/>
            <w:gridSpan w:val="13"/>
          </w:tcPr>
          <w:p>
            <w:pPr>
              <w:spacing w:after="0"/>
              <w:rPr>
                <w:rFonts w:ascii="Times New Roman" w:cs="Times New Roman" w:eastAsia="Times New Roman" w:hAnsi="Times New Roman"/>
                <w:sz w:val="18"/>
                <w:szCs w:val="18"/>
                <w:color w:val="0000EE"/>
                <w:w w:val="99"/>
              </w:rPr>
            </w:pPr>
            <w:hyperlink r:id="rId329">
              <w:r>
                <w:rPr>
                  <w:rFonts w:ascii="Times New Roman" w:cs="Times New Roman" w:eastAsia="Times New Roman" w:hAnsi="Times New Roman"/>
                  <w:sz w:val="18"/>
                  <w:szCs w:val="18"/>
                  <w:color w:val="0000EE"/>
                  <w:w w:val="99"/>
                </w:rPr>
                <w:t>Share Purchase Agreement among Baidu Holdings Limited, Baidu (Hong Kong) Limited, 91 Wireless Websoft Limited and certain</w:t>
              </w:r>
            </w:hyperlink>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40" w:type="dxa"/>
            <w:vAlign w:val="bottom"/>
            <w:gridSpan w:val="3"/>
            <w:shd w:val="clear" w:color="auto" w:fill="0000EE"/>
          </w:tcPr>
          <w:p>
            <w:pPr>
              <w:spacing w:after="0" w:line="20" w:lineRule="exact"/>
              <w:rPr>
                <w:sz w:val="1"/>
                <w:szCs w:val="1"/>
                <w:color w:val="auto"/>
              </w:rPr>
            </w:pPr>
          </w:p>
        </w:tc>
        <w:tc>
          <w:tcPr>
            <w:tcW w:w="2020" w:type="dxa"/>
            <w:vAlign w:val="bottom"/>
            <w:gridSpan w:val="4"/>
            <w:shd w:val="clear" w:color="auto" w:fill="0000EE"/>
          </w:tcPr>
          <w:p>
            <w:pPr>
              <w:spacing w:after="0" w:line="20" w:lineRule="exact"/>
              <w:rPr>
                <w:sz w:val="1"/>
                <w:szCs w:val="1"/>
                <w:color w:val="auto"/>
              </w:rPr>
            </w:pPr>
          </w:p>
        </w:tc>
        <w:tc>
          <w:tcPr>
            <w:tcW w:w="3900" w:type="dxa"/>
            <w:vAlign w:val="bottom"/>
            <w:gridSpan w:val="3"/>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80" w:type="dxa"/>
            <w:vAlign w:val="bottom"/>
            <w:gridSpan w:val="13"/>
          </w:tcPr>
          <w:p>
            <w:pPr>
              <w:spacing w:after="0" w:line="196" w:lineRule="exact"/>
              <w:rPr>
                <w:rFonts w:ascii="Times New Roman" w:cs="Times New Roman" w:eastAsia="Times New Roman" w:hAnsi="Times New Roman"/>
                <w:sz w:val="18"/>
                <w:szCs w:val="18"/>
                <w:color w:val="0000EE"/>
              </w:rPr>
            </w:pPr>
            <w:hyperlink r:id="rId329">
              <w:r>
                <w:rPr>
                  <w:rFonts w:ascii="Times New Roman" w:cs="Times New Roman" w:eastAsia="Times New Roman" w:hAnsi="Times New Roman"/>
                  <w:sz w:val="18"/>
                  <w:szCs w:val="18"/>
                  <w:color w:val="0000EE"/>
                </w:rPr>
                <w:t>investors party thereto, dated April 28, 2018 and as amended on August 21, 2018 (incorporated by reference to Exhibit 4.54 of our</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6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329">
              <w:r>
                <w:rPr>
                  <w:rFonts w:ascii="Times New Roman" w:cs="Times New Roman" w:eastAsia="Times New Roman" w:hAnsi="Times New Roman"/>
                  <w:sz w:val="18"/>
                  <w:szCs w:val="18"/>
                  <w:color w:val="0000EE"/>
                </w:rPr>
                <w:t>Annual Report on Form 20-F filed with the Securities and Exchange Commission on March 15, 2019)</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40" w:type="dxa"/>
            <w:vAlign w:val="bottom"/>
            <w:gridSpan w:val="3"/>
            <w:shd w:val="clear" w:color="auto" w:fill="0000EE"/>
          </w:tcPr>
          <w:p>
            <w:pPr>
              <w:spacing w:after="0" w:line="20" w:lineRule="exact"/>
              <w:rPr>
                <w:sz w:val="1"/>
                <w:szCs w:val="1"/>
                <w:color w:val="auto"/>
              </w:rPr>
            </w:pPr>
          </w:p>
        </w:tc>
        <w:tc>
          <w:tcPr>
            <w:tcW w:w="2020" w:type="dxa"/>
            <w:vAlign w:val="bottom"/>
            <w:gridSpan w:val="4"/>
            <w:shd w:val="clear" w:color="auto" w:fill="0000EE"/>
          </w:tcPr>
          <w:p>
            <w:pPr>
              <w:spacing w:after="0" w:line="20" w:lineRule="exact"/>
              <w:rPr>
                <w:sz w:val="1"/>
                <w:szCs w:val="1"/>
                <w:color w:val="auto"/>
              </w:rPr>
            </w:pPr>
          </w:p>
        </w:tc>
        <w:tc>
          <w:tcPr>
            <w:tcW w:w="3900" w:type="dxa"/>
            <w:vAlign w:val="bottom"/>
            <w:gridSpan w:val="3"/>
            <w:shd w:val="clear" w:color="auto" w:fill="0000EE"/>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4.55</w:t>
            </w:r>
          </w:p>
        </w:tc>
        <w:tc>
          <w:tcPr>
            <w:tcW w:w="960" w:type="dxa"/>
            <w:vAlign w:val="bottom"/>
          </w:tcPr>
          <w:p>
            <w:pPr>
              <w:spacing w:after="0"/>
              <w:rPr>
                <w:sz w:val="24"/>
                <w:szCs w:val="24"/>
                <w:color w:val="auto"/>
              </w:rPr>
            </w:pPr>
          </w:p>
        </w:tc>
        <w:tc>
          <w:tcPr>
            <w:tcW w:w="9480" w:type="dxa"/>
            <w:vAlign w:val="bottom"/>
            <w:gridSpan w:val="13"/>
          </w:tcPr>
          <w:p>
            <w:pPr>
              <w:spacing w:after="0"/>
              <w:rPr>
                <w:rFonts w:ascii="Times New Roman" w:cs="Times New Roman" w:eastAsia="Times New Roman" w:hAnsi="Times New Roman"/>
                <w:sz w:val="18"/>
                <w:szCs w:val="18"/>
                <w:color w:val="0000EE"/>
              </w:rPr>
            </w:pPr>
            <w:hyperlink r:id="rId330">
              <w:r>
                <w:rPr>
                  <w:rFonts w:ascii="Times New Roman" w:cs="Times New Roman" w:eastAsia="Times New Roman" w:hAnsi="Times New Roman"/>
                  <w:sz w:val="18"/>
                  <w:szCs w:val="18"/>
                  <w:color w:val="0000EE"/>
                </w:rPr>
                <w:t>Amended and Restated Shareholders Agreement among Baidu Holdings Limited, Baidu (Hong Kong) Limited, Duxiaoman</w:t>
              </w:r>
            </w:hyperlink>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40" w:type="dxa"/>
            <w:vAlign w:val="bottom"/>
            <w:gridSpan w:val="3"/>
            <w:shd w:val="clear" w:color="auto" w:fill="0000EE"/>
          </w:tcPr>
          <w:p>
            <w:pPr>
              <w:spacing w:after="0" w:line="20" w:lineRule="exact"/>
              <w:rPr>
                <w:sz w:val="1"/>
                <w:szCs w:val="1"/>
                <w:color w:val="auto"/>
              </w:rPr>
            </w:pPr>
          </w:p>
        </w:tc>
        <w:tc>
          <w:tcPr>
            <w:tcW w:w="2020" w:type="dxa"/>
            <w:vAlign w:val="bottom"/>
            <w:gridSpan w:val="4"/>
            <w:shd w:val="clear" w:color="auto" w:fill="0000EE"/>
          </w:tcPr>
          <w:p>
            <w:pPr>
              <w:spacing w:after="0" w:line="20" w:lineRule="exact"/>
              <w:rPr>
                <w:sz w:val="1"/>
                <w:szCs w:val="1"/>
                <w:color w:val="auto"/>
              </w:rPr>
            </w:pPr>
          </w:p>
        </w:tc>
        <w:tc>
          <w:tcPr>
            <w:tcW w:w="3900" w:type="dxa"/>
            <w:vAlign w:val="bottom"/>
            <w:gridSpan w:val="3"/>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330">
              <w:r>
                <w:rPr>
                  <w:rFonts w:ascii="Times New Roman" w:cs="Times New Roman" w:eastAsia="Times New Roman" w:hAnsi="Times New Roman"/>
                  <w:sz w:val="18"/>
                  <w:szCs w:val="18"/>
                  <w:color w:val="0000EE"/>
                </w:rPr>
                <w:t>(Cayman) Limited and certain investors party thereto, dated November 17, 2018 (incorporated by reference to Exhibit 4.55 of our</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80" w:type="dxa"/>
            <w:vAlign w:val="bottom"/>
            <w:gridSpan w:val="13"/>
          </w:tcPr>
          <w:p>
            <w:pPr>
              <w:spacing w:after="0" w:line="196" w:lineRule="exact"/>
              <w:rPr>
                <w:rFonts w:ascii="Times New Roman" w:cs="Times New Roman" w:eastAsia="Times New Roman" w:hAnsi="Times New Roman"/>
                <w:sz w:val="18"/>
                <w:szCs w:val="18"/>
                <w:color w:val="0000EE"/>
              </w:rPr>
            </w:pPr>
            <w:hyperlink r:id="rId330">
              <w:r>
                <w:rPr>
                  <w:rFonts w:ascii="Times New Roman" w:cs="Times New Roman" w:eastAsia="Times New Roman" w:hAnsi="Times New Roman"/>
                  <w:sz w:val="18"/>
                  <w:szCs w:val="18"/>
                  <w:color w:val="0000EE"/>
                </w:rPr>
                <w:t>Annual Report on Form 20-F filed with the Securities and Exchange Commission on March 15, 2019)</w:t>
              </w:r>
            </w:hyperlink>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40" w:type="dxa"/>
            <w:vAlign w:val="bottom"/>
            <w:gridSpan w:val="3"/>
            <w:shd w:val="clear" w:color="auto" w:fill="0000EE"/>
          </w:tcPr>
          <w:p>
            <w:pPr>
              <w:spacing w:after="0" w:line="20" w:lineRule="exact"/>
              <w:rPr>
                <w:sz w:val="1"/>
                <w:szCs w:val="1"/>
                <w:color w:val="auto"/>
              </w:rPr>
            </w:pPr>
          </w:p>
        </w:tc>
        <w:tc>
          <w:tcPr>
            <w:tcW w:w="2020" w:type="dxa"/>
            <w:vAlign w:val="bottom"/>
            <w:gridSpan w:val="4"/>
            <w:shd w:val="clear" w:color="auto" w:fill="0000EE"/>
          </w:tcPr>
          <w:p>
            <w:pPr>
              <w:spacing w:after="0" w:line="20" w:lineRule="exact"/>
              <w:rPr>
                <w:sz w:val="1"/>
                <w:szCs w:val="1"/>
                <w:color w:val="auto"/>
              </w:rPr>
            </w:pPr>
          </w:p>
        </w:tc>
        <w:tc>
          <w:tcPr>
            <w:tcW w:w="3900" w:type="dxa"/>
            <w:vAlign w:val="bottom"/>
            <w:gridSpan w:val="3"/>
            <w:shd w:val="clear" w:color="auto" w:fill="0000EE"/>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4.56</w:t>
            </w:r>
          </w:p>
        </w:tc>
        <w:tc>
          <w:tcPr>
            <w:tcW w:w="960" w:type="dxa"/>
            <w:vAlign w:val="bottom"/>
          </w:tcPr>
          <w:p>
            <w:pPr>
              <w:spacing w:after="0"/>
              <w:rPr>
                <w:sz w:val="24"/>
                <w:szCs w:val="24"/>
                <w:color w:val="auto"/>
              </w:rPr>
            </w:pPr>
          </w:p>
        </w:tc>
        <w:tc>
          <w:tcPr>
            <w:tcW w:w="9480" w:type="dxa"/>
            <w:vAlign w:val="bottom"/>
            <w:gridSpan w:val="13"/>
          </w:tcPr>
          <w:p>
            <w:pPr>
              <w:spacing w:after="0"/>
              <w:rPr>
                <w:rFonts w:ascii="Times New Roman" w:cs="Times New Roman" w:eastAsia="Times New Roman" w:hAnsi="Times New Roman"/>
                <w:sz w:val="18"/>
                <w:szCs w:val="18"/>
                <w:color w:val="0000EE"/>
              </w:rPr>
            </w:pPr>
            <w:hyperlink r:id="rId331">
              <w:r>
                <w:rPr>
                  <w:rFonts w:ascii="Times New Roman" w:cs="Times New Roman" w:eastAsia="Times New Roman" w:hAnsi="Times New Roman"/>
                  <w:sz w:val="18"/>
                  <w:szCs w:val="18"/>
                  <w:color w:val="0000EE"/>
                </w:rPr>
                <w:t>2018 Share Incentive Plan (incorporated by reference to Exhibit 4.56 of our Annual Report on Form 20-F filed with the Securities</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6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331">
              <w:r>
                <w:rPr>
                  <w:rFonts w:ascii="Times New Roman" w:cs="Times New Roman" w:eastAsia="Times New Roman" w:hAnsi="Times New Roman"/>
                  <w:sz w:val="18"/>
                  <w:szCs w:val="18"/>
                  <w:color w:val="0000EE"/>
                  <w:w w:val="99"/>
                </w:rPr>
                <w:t>and Exchange Commission on March 15, 2019)</w:t>
              </w:r>
            </w:hyperlink>
          </w:p>
        </w:tc>
        <w:tc>
          <w:tcPr>
            <w:tcW w:w="6000" w:type="dxa"/>
            <w:vAlign w:val="bottom"/>
            <w:tcBorders>
              <w:top w:val="single" w:sz="8" w:color="0000EE"/>
            </w:tcBorders>
            <w:gridSpan w:val="5"/>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4.58</w:t>
            </w:r>
          </w:p>
        </w:tc>
        <w:tc>
          <w:tcPr>
            <w:tcW w:w="960" w:type="dxa"/>
            <w:vAlign w:val="bottom"/>
          </w:tcPr>
          <w:p>
            <w:pPr>
              <w:spacing w:after="0"/>
              <w:rPr>
                <w:sz w:val="24"/>
                <w:szCs w:val="24"/>
                <w:color w:val="auto"/>
              </w:rPr>
            </w:pPr>
          </w:p>
        </w:tc>
        <w:tc>
          <w:tcPr>
            <w:tcW w:w="946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332">
              <w:r>
                <w:rPr>
                  <w:rFonts w:ascii="Times New Roman" w:cs="Times New Roman" w:eastAsia="Times New Roman" w:hAnsi="Times New Roman"/>
                  <w:sz w:val="18"/>
                  <w:szCs w:val="18"/>
                  <w:color w:val="0000EE"/>
                </w:rPr>
                <w:t>Translation of the Amended and Restated Loan Agreement between Baidu Online and Hailong Xiang dated May 7, 2018</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332">
              <w:r>
                <w:rPr>
                  <w:rFonts w:ascii="Times New Roman" w:cs="Times New Roman" w:eastAsia="Times New Roman" w:hAnsi="Times New Roman"/>
                  <w:sz w:val="18"/>
                  <w:szCs w:val="18"/>
                  <w:color w:val="0000EE"/>
                </w:rPr>
                <w:t>(incorporated by reference to Exhibit 4.58 of our Annual Report on Form 20-F filed with the Securities and Exchange Commission</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4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332">
              <w:r>
                <w:rPr>
                  <w:rFonts w:ascii="Times New Roman" w:cs="Times New Roman" w:eastAsia="Times New Roman" w:hAnsi="Times New Roman"/>
                  <w:sz w:val="18"/>
                  <w:szCs w:val="18"/>
                  <w:color w:val="0000EE"/>
                  <w:w w:val="99"/>
                </w:rPr>
                <w:t>on March 15, 2019)</w:t>
              </w:r>
            </w:hyperlink>
          </w:p>
        </w:tc>
        <w:tc>
          <w:tcPr>
            <w:tcW w:w="804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4.59</w:t>
            </w:r>
          </w:p>
        </w:tc>
        <w:tc>
          <w:tcPr>
            <w:tcW w:w="960" w:type="dxa"/>
            <w:vAlign w:val="bottom"/>
          </w:tcPr>
          <w:p>
            <w:pPr>
              <w:spacing w:after="0"/>
              <w:rPr>
                <w:sz w:val="24"/>
                <w:szCs w:val="24"/>
                <w:color w:val="auto"/>
              </w:rPr>
            </w:pPr>
          </w:p>
        </w:tc>
        <w:tc>
          <w:tcPr>
            <w:tcW w:w="948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333">
              <w:r>
                <w:rPr>
                  <w:rFonts w:ascii="Times New Roman" w:cs="Times New Roman" w:eastAsia="Times New Roman" w:hAnsi="Times New Roman"/>
                  <w:sz w:val="18"/>
                  <w:szCs w:val="18"/>
                  <w:color w:val="0000EE"/>
                </w:rPr>
                <w:t>Translation of the Amended and Restated Loan Agreement between Baidu Online and Robin Yanhong Li dated May 7, 2018</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333">
              <w:r>
                <w:rPr>
                  <w:rFonts w:ascii="Times New Roman" w:cs="Times New Roman" w:eastAsia="Times New Roman" w:hAnsi="Times New Roman"/>
                  <w:sz w:val="18"/>
                  <w:szCs w:val="18"/>
                  <w:color w:val="0000EE"/>
                </w:rPr>
                <w:t>(incorporated by reference to Exhibit 4.59 of our Annual Report on Form 20-F filed with the Securities and Exchange Commission</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4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333">
              <w:r>
                <w:rPr>
                  <w:rFonts w:ascii="Times New Roman" w:cs="Times New Roman" w:eastAsia="Times New Roman" w:hAnsi="Times New Roman"/>
                  <w:sz w:val="18"/>
                  <w:szCs w:val="18"/>
                  <w:color w:val="0000EE"/>
                  <w:w w:val="99"/>
                </w:rPr>
                <w:t>on March 15, 2019)</w:t>
              </w:r>
            </w:hyperlink>
          </w:p>
        </w:tc>
        <w:tc>
          <w:tcPr>
            <w:tcW w:w="804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4.60</w:t>
            </w:r>
          </w:p>
        </w:tc>
        <w:tc>
          <w:tcPr>
            <w:tcW w:w="960" w:type="dxa"/>
            <w:vAlign w:val="bottom"/>
          </w:tcPr>
          <w:p>
            <w:pPr>
              <w:spacing w:after="0"/>
              <w:rPr>
                <w:sz w:val="24"/>
                <w:szCs w:val="24"/>
                <w:color w:val="auto"/>
              </w:rPr>
            </w:pPr>
          </w:p>
        </w:tc>
        <w:tc>
          <w:tcPr>
            <w:tcW w:w="9480" w:type="dxa"/>
            <w:vAlign w:val="bottom"/>
            <w:gridSpan w:val="13"/>
          </w:tcPr>
          <w:p>
            <w:pPr>
              <w:spacing w:after="0"/>
              <w:rPr>
                <w:rFonts w:ascii="Times New Roman" w:cs="Times New Roman" w:eastAsia="Times New Roman" w:hAnsi="Times New Roman"/>
                <w:sz w:val="18"/>
                <w:szCs w:val="18"/>
                <w:color w:val="0000EE"/>
              </w:rPr>
            </w:pPr>
            <w:hyperlink r:id="rId334">
              <w:r>
                <w:rPr>
                  <w:rFonts w:ascii="Times New Roman" w:cs="Times New Roman" w:eastAsia="Times New Roman" w:hAnsi="Times New Roman"/>
                  <w:sz w:val="18"/>
                  <w:szCs w:val="18"/>
                  <w:color w:val="0000EE"/>
                </w:rPr>
                <w:t>Translation of the Proxy Agreement between Robin Yanhong Li and Baidu, Inc. dated March 31, 2018 (incorporated by reference</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6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334">
              <w:r>
                <w:rPr>
                  <w:rFonts w:ascii="Times New Roman" w:cs="Times New Roman" w:eastAsia="Times New Roman" w:hAnsi="Times New Roman"/>
                  <w:sz w:val="18"/>
                  <w:szCs w:val="18"/>
                  <w:color w:val="0000EE"/>
                </w:rPr>
                <w:t>to Exhibit 4.60 of our Annual Report on Form 20-F filed with the Securities and Exchange Commission on March 15, 2019)</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gridSpan w:val="2"/>
          </w:tcPr>
          <w:p>
            <w:pPr>
              <w:spacing w:after="0"/>
              <w:rPr>
                <w:sz w:val="24"/>
                <w:szCs w:val="24"/>
                <w:color w:val="auto"/>
              </w:rPr>
            </w:pPr>
          </w:p>
        </w:tc>
        <w:tc>
          <w:tcPr>
            <w:tcW w:w="4480" w:type="dxa"/>
            <w:vAlign w:val="bottom"/>
            <w:tcBorders>
              <w:top w:val="single" w:sz="8" w:color="0000EE"/>
            </w:tcBorders>
            <w:gridSpan w:val="7"/>
          </w:tcPr>
          <w:p>
            <w:pPr>
              <w:jc w:val="right"/>
              <w:ind w:right="328"/>
              <w:spacing w:after="0"/>
              <w:rPr>
                <w:sz w:val="20"/>
                <w:szCs w:val="20"/>
                <w:color w:val="auto"/>
              </w:rPr>
            </w:pPr>
            <w:r>
              <w:rPr>
                <w:rFonts w:ascii="Times New Roman" w:cs="Times New Roman" w:eastAsia="Times New Roman" w:hAnsi="Times New Roman"/>
                <w:sz w:val="18"/>
                <w:szCs w:val="18"/>
                <w:color w:val="auto"/>
              </w:rPr>
              <w:t>217</w:t>
            </w:r>
          </w:p>
        </w:tc>
        <w:tc>
          <w:tcPr>
            <w:tcW w:w="1100" w:type="dxa"/>
            <w:vAlign w:val="bottom"/>
            <w:tcBorders>
              <w:top w:val="single" w:sz="8" w:color="0000EE"/>
            </w:tcBorders>
          </w:tcPr>
          <w:p>
            <w:pPr>
              <w:spacing w:after="0"/>
              <w:rPr>
                <w:sz w:val="24"/>
                <w:szCs w:val="24"/>
                <w:color w:val="auto"/>
              </w:rPr>
            </w:pPr>
          </w:p>
        </w:tc>
        <w:tc>
          <w:tcPr>
            <w:tcW w:w="1760" w:type="dxa"/>
            <w:vAlign w:val="bottom"/>
            <w:tcBorders>
              <w:top w:val="single" w:sz="8" w:color="0000EE"/>
            </w:tcBorders>
          </w:tcPr>
          <w:p>
            <w:pPr>
              <w:spacing w:after="0"/>
              <w:rPr>
                <w:sz w:val="24"/>
                <w:szCs w:val="24"/>
                <w:color w:val="auto"/>
              </w:rPr>
            </w:pPr>
          </w:p>
        </w:tc>
        <w:tc>
          <w:tcPr>
            <w:tcW w:w="1600" w:type="dxa"/>
            <w:vAlign w:val="bottom"/>
            <w:tcBorders>
              <w:top w:val="single" w:sz="8" w:color="0000EE"/>
            </w:tcBorders>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3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0" w:type="dxa"/>
            <w:vAlign w:val="bottom"/>
          </w:tcPr>
          <w:p>
            <w:pPr>
              <w:spacing w:after="0"/>
              <w:rPr>
                <w:sz w:val="13"/>
                <w:szCs w:val="13"/>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20" w:type="dxa"/>
            <w:vAlign w:val="bottom"/>
            <w:gridSpan w:val="6"/>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0" w:type="dxa"/>
            <w:vAlign w:val="bottom"/>
          </w:tcPr>
          <w:p>
            <w:pPr>
              <w:spacing w:after="0"/>
              <w:rPr>
                <w:sz w:val="1"/>
                <w:szCs w:val="1"/>
                <w:color w:val="auto"/>
              </w:rPr>
            </w:pPr>
          </w:p>
        </w:tc>
      </w:tr>
      <w:tr>
        <w:trPr>
          <w:trHeight w:val="180"/>
        </w:trPr>
        <w:tc>
          <w:tcPr>
            <w:tcW w:w="80" w:type="dxa"/>
            <w:vAlign w:val="bottom"/>
          </w:tcPr>
          <w:p>
            <w:pPr>
              <w:spacing w:after="0"/>
              <w:rPr>
                <w:sz w:val="15"/>
                <w:szCs w:val="15"/>
                <w:color w:val="auto"/>
              </w:rPr>
            </w:pP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020" w:type="dxa"/>
            <w:vAlign w:val="bottom"/>
            <w:tcBorders>
              <w:bottom w:val="single" w:sz="8" w:color="auto"/>
            </w:tcBorders>
            <w:gridSpan w:val="6"/>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4.61</w:t>
            </w:r>
          </w:p>
        </w:tc>
        <w:tc>
          <w:tcPr>
            <w:tcW w:w="960" w:type="dxa"/>
            <w:vAlign w:val="bottom"/>
          </w:tcPr>
          <w:p>
            <w:pPr>
              <w:spacing w:after="0"/>
              <w:rPr>
                <w:sz w:val="23"/>
                <w:szCs w:val="23"/>
                <w:color w:val="auto"/>
              </w:rPr>
            </w:pPr>
          </w:p>
        </w:tc>
        <w:tc>
          <w:tcPr>
            <w:tcW w:w="9480" w:type="dxa"/>
            <w:vAlign w:val="bottom"/>
            <w:gridSpan w:val="11"/>
          </w:tcPr>
          <w:p>
            <w:pPr>
              <w:spacing w:after="0"/>
              <w:rPr>
                <w:rFonts w:ascii="Times New Roman" w:cs="Times New Roman" w:eastAsia="Times New Roman" w:hAnsi="Times New Roman"/>
                <w:sz w:val="18"/>
                <w:szCs w:val="18"/>
                <w:color w:val="0000EE"/>
              </w:rPr>
            </w:pPr>
            <w:hyperlink r:id="rId336">
              <w:r>
                <w:rPr>
                  <w:rFonts w:ascii="Times New Roman" w:cs="Times New Roman" w:eastAsia="Times New Roman" w:hAnsi="Times New Roman"/>
                  <w:sz w:val="18"/>
                  <w:szCs w:val="18"/>
                  <w:color w:val="0000EE"/>
                </w:rPr>
                <w:t>Translation of the Proxy Agreement between Hailong Xiang and Baidu, Inc. dated March 31, 2018 (incorporated by reference to</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78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336">
              <w:r>
                <w:rPr>
                  <w:rFonts w:ascii="Times New Roman" w:cs="Times New Roman" w:eastAsia="Times New Roman" w:hAnsi="Times New Roman"/>
                  <w:sz w:val="18"/>
                  <w:szCs w:val="18"/>
                  <w:color w:val="0000EE"/>
                  <w:w w:val="99"/>
                </w:rPr>
                <w:t>Exhibit 4.61 of our Annual Report on Form 20-F filed with the Securities and Exchange Commission on March 15, 2019)</w:t>
              </w:r>
            </w:hyperlink>
          </w:p>
        </w:tc>
        <w:tc>
          <w:tcPr>
            <w:tcW w:w="6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4.62</w:t>
            </w:r>
          </w:p>
        </w:tc>
        <w:tc>
          <w:tcPr>
            <w:tcW w:w="960" w:type="dxa"/>
            <w:vAlign w:val="bottom"/>
          </w:tcPr>
          <w:p>
            <w:pPr>
              <w:spacing w:after="0"/>
              <w:rPr>
                <w:sz w:val="24"/>
                <w:szCs w:val="24"/>
                <w:color w:val="auto"/>
              </w:rPr>
            </w:pPr>
          </w:p>
        </w:tc>
        <w:tc>
          <w:tcPr>
            <w:tcW w:w="9480" w:type="dxa"/>
            <w:vAlign w:val="bottom"/>
            <w:gridSpan w:val="11"/>
          </w:tcPr>
          <w:p>
            <w:pPr>
              <w:spacing w:after="0"/>
              <w:rPr>
                <w:rFonts w:ascii="Times New Roman" w:cs="Times New Roman" w:eastAsia="Times New Roman" w:hAnsi="Times New Roman"/>
                <w:sz w:val="18"/>
                <w:szCs w:val="18"/>
                <w:color w:val="0000EE"/>
              </w:rPr>
            </w:pPr>
            <w:hyperlink r:id="rId337">
              <w:r>
                <w:rPr>
                  <w:rFonts w:ascii="Times New Roman" w:cs="Times New Roman" w:eastAsia="Times New Roman" w:hAnsi="Times New Roman"/>
                  <w:sz w:val="18"/>
                  <w:szCs w:val="18"/>
                  <w:color w:val="0000EE"/>
                </w:rPr>
                <w:t>Translation of the Amended and Restated Exclusive Equity Purchase and Transfer Option Agreement among Baidu, Inc., Baidu</w:t>
              </w:r>
            </w:hyperlink>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80" w:type="dxa"/>
            <w:vAlign w:val="bottom"/>
            <w:gridSpan w:val="11"/>
          </w:tcPr>
          <w:p>
            <w:pPr>
              <w:spacing w:after="0" w:line="196" w:lineRule="exact"/>
              <w:rPr>
                <w:rFonts w:ascii="Times New Roman" w:cs="Times New Roman" w:eastAsia="Times New Roman" w:hAnsi="Times New Roman"/>
                <w:sz w:val="18"/>
                <w:szCs w:val="18"/>
                <w:color w:val="0000EE"/>
              </w:rPr>
            </w:pPr>
            <w:hyperlink r:id="rId337">
              <w:r>
                <w:rPr>
                  <w:rFonts w:ascii="Times New Roman" w:cs="Times New Roman" w:eastAsia="Times New Roman" w:hAnsi="Times New Roman"/>
                  <w:sz w:val="18"/>
                  <w:szCs w:val="18"/>
                  <w:color w:val="0000EE"/>
                </w:rPr>
                <w:t>Netcom, Baidu Online and Hailong Xiang dated May 7, 2018 (incorporated by reference to Exhibit 4.62 of our Annual Report on</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6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337">
              <w:r>
                <w:rPr>
                  <w:rFonts w:ascii="Times New Roman" w:cs="Times New Roman" w:eastAsia="Times New Roman" w:hAnsi="Times New Roman"/>
                  <w:sz w:val="18"/>
                  <w:szCs w:val="18"/>
                  <w:color w:val="0000EE"/>
                </w:rPr>
                <w:t>Form 20-F filed with the Securities and Exchange Commission on March 15, 2019)</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4.63</w:t>
            </w:r>
          </w:p>
        </w:tc>
        <w:tc>
          <w:tcPr>
            <w:tcW w:w="960" w:type="dxa"/>
            <w:vAlign w:val="bottom"/>
          </w:tcPr>
          <w:p>
            <w:pPr>
              <w:spacing w:after="0"/>
              <w:rPr>
                <w:sz w:val="24"/>
                <w:szCs w:val="24"/>
                <w:color w:val="auto"/>
              </w:rPr>
            </w:pPr>
          </w:p>
        </w:tc>
        <w:tc>
          <w:tcPr>
            <w:tcW w:w="9480" w:type="dxa"/>
            <w:vAlign w:val="bottom"/>
            <w:gridSpan w:val="11"/>
          </w:tcPr>
          <w:p>
            <w:pPr>
              <w:spacing w:after="0"/>
              <w:rPr>
                <w:rFonts w:ascii="Times New Roman" w:cs="Times New Roman" w:eastAsia="Times New Roman" w:hAnsi="Times New Roman"/>
                <w:sz w:val="18"/>
                <w:szCs w:val="18"/>
                <w:color w:val="0000EE"/>
              </w:rPr>
            </w:pPr>
            <w:hyperlink r:id="rId338">
              <w:r>
                <w:rPr>
                  <w:rFonts w:ascii="Times New Roman" w:cs="Times New Roman" w:eastAsia="Times New Roman" w:hAnsi="Times New Roman"/>
                  <w:sz w:val="18"/>
                  <w:szCs w:val="18"/>
                  <w:color w:val="0000EE"/>
                </w:rPr>
                <w:t>Translation of the Amended and Restated Exclusive Equity Purchase and Transfer Option Agreement among Baidu, Inc., Baidu</w:t>
              </w:r>
            </w:hyperlink>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3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80" w:type="dxa"/>
            <w:vAlign w:val="bottom"/>
            <w:gridSpan w:val="11"/>
          </w:tcPr>
          <w:p>
            <w:pPr>
              <w:spacing w:after="0" w:line="196" w:lineRule="exact"/>
              <w:rPr>
                <w:rFonts w:ascii="Times New Roman" w:cs="Times New Roman" w:eastAsia="Times New Roman" w:hAnsi="Times New Roman"/>
                <w:sz w:val="18"/>
                <w:szCs w:val="18"/>
                <w:color w:val="0000EE"/>
              </w:rPr>
            </w:pPr>
            <w:hyperlink r:id="rId338">
              <w:r>
                <w:rPr>
                  <w:rFonts w:ascii="Times New Roman" w:cs="Times New Roman" w:eastAsia="Times New Roman" w:hAnsi="Times New Roman"/>
                  <w:sz w:val="18"/>
                  <w:szCs w:val="18"/>
                  <w:color w:val="0000EE"/>
                </w:rPr>
                <w:t>Netcom, Baidu Online and Robin Yanhong Li dated May 7, 2018 (incorporated by reference to Exhibit 4.63 of our Annual Report</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26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338">
              <w:r>
                <w:rPr>
                  <w:rFonts w:ascii="Times New Roman" w:cs="Times New Roman" w:eastAsia="Times New Roman" w:hAnsi="Times New Roman"/>
                  <w:sz w:val="18"/>
                  <w:szCs w:val="18"/>
                  <w:color w:val="0000EE"/>
                  <w:w w:val="99"/>
                </w:rPr>
                <w:t>on Form 20-F filed with the Securities and Exchange Commission on March 15, 2019)</w:t>
              </w:r>
            </w:hyperlink>
          </w:p>
        </w:tc>
        <w:tc>
          <w:tcPr>
            <w:tcW w:w="3200" w:type="dxa"/>
            <w:vAlign w:val="bottom"/>
            <w:tcBorders>
              <w:top w:val="single" w:sz="8" w:color="0000EE"/>
            </w:tcBorders>
            <w:gridSpan w:val="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4.64</w:t>
            </w:r>
          </w:p>
        </w:tc>
        <w:tc>
          <w:tcPr>
            <w:tcW w:w="960" w:type="dxa"/>
            <w:vAlign w:val="bottom"/>
          </w:tcPr>
          <w:p>
            <w:pPr>
              <w:spacing w:after="0"/>
              <w:rPr>
                <w:sz w:val="24"/>
                <w:szCs w:val="24"/>
                <w:color w:val="auto"/>
              </w:rPr>
            </w:pPr>
          </w:p>
        </w:tc>
        <w:tc>
          <w:tcPr>
            <w:tcW w:w="9480" w:type="dxa"/>
            <w:vAlign w:val="bottom"/>
            <w:gridSpan w:val="11"/>
          </w:tcPr>
          <w:p>
            <w:pPr>
              <w:spacing w:after="0"/>
              <w:rPr>
                <w:rFonts w:ascii="Times New Roman" w:cs="Times New Roman" w:eastAsia="Times New Roman" w:hAnsi="Times New Roman"/>
                <w:sz w:val="18"/>
                <w:szCs w:val="18"/>
                <w:color w:val="0000EE"/>
              </w:rPr>
            </w:pPr>
            <w:hyperlink r:id="rId339">
              <w:r>
                <w:rPr>
                  <w:rFonts w:ascii="Times New Roman" w:cs="Times New Roman" w:eastAsia="Times New Roman" w:hAnsi="Times New Roman"/>
                  <w:sz w:val="18"/>
                  <w:szCs w:val="18"/>
                  <w:color w:val="0000EE"/>
                </w:rPr>
                <w:t>Translation of Irrevocable Power of Attorney issued by Robin Yanhong Li, an individual shareholder of Baidu Netcom, March 31,</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6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339">
              <w:r>
                <w:rPr>
                  <w:rFonts w:ascii="Times New Roman" w:cs="Times New Roman" w:eastAsia="Times New Roman" w:hAnsi="Times New Roman"/>
                  <w:sz w:val="18"/>
                  <w:szCs w:val="18"/>
                  <w:color w:val="0000EE"/>
                </w:rPr>
                <w:t>2018 (incorporated by reference to Exhibit 4.64 of our Annual Report on Form 20-F filed with the Securities and Exchange</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339">
              <w:r>
                <w:rPr>
                  <w:rFonts w:ascii="Times New Roman" w:cs="Times New Roman" w:eastAsia="Times New Roman" w:hAnsi="Times New Roman"/>
                  <w:sz w:val="18"/>
                  <w:szCs w:val="18"/>
                  <w:color w:val="0000EE"/>
                  <w:w w:val="99"/>
                </w:rPr>
                <w:t>Commission on March 15, 2019)</w:t>
              </w:r>
            </w:hyperlink>
          </w:p>
        </w:tc>
        <w:tc>
          <w:tcPr>
            <w:tcW w:w="708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4.65</w:t>
            </w:r>
          </w:p>
        </w:tc>
        <w:tc>
          <w:tcPr>
            <w:tcW w:w="960" w:type="dxa"/>
            <w:vAlign w:val="bottom"/>
          </w:tcPr>
          <w:p>
            <w:pPr>
              <w:spacing w:after="0"/>
              <w:rPr>
                <w:sz w:val="24"/>
                <w:szCs w:val="24"/>
                <w:color w:val="auto"/>
              </w:rPr>
            </w:pPr>
          </w:p>
        </w:tc>
        <w:tc>
          <w:tcPr>
            <w:tcW w:w="948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340">
              <w:r>
                <w:rPr>
                  <w:rFonts w:ascii="Times New Roman" w:cs="Times New Roman" w:eastAsia="Times New Roman" w:hAnsi="Times New Roman"/>
                  <w:sz w:val="18"/>
                  <w:szCs w:val="18"/>
                  <w:color w:val="0000EE"/>
                </w:rPr>
                <w:t>Translation of Irrevocable Power of Attorney issued by Hailong Xiang, an individual shareholder of Baidu Netcom, dated</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80" w:type="dxa"/>
            <w:vAlign w:val="bottom"/>
            <w:gridSpan w:val="11"/>
          </w:tcPr>
          <w:p>
            <w:pPr>
              <w:spacing w:after="0" w:line="196" w:lineRule="exact"/>
              <w:rPr>
                <w:rFonts w:ascii="Times New Roman" w:cs="Times New Roman" w:eastAsia="Times New Roman" w:hAnsi="Times New Roman"/>
                <w:sz w:val="18"/>
                <w:szCs w:val="18"/>
                <w:color w:val="0000EE"/>
              </w:rPr>
            </w:pPr>
            <w:hyperlink r:id="rId340">
              <w:r>
                <w:rPr>
                  <w:rFonts w:ascii="Times New Roman" w:cs="Times New Roman" w:eastAsia="Times New Roman" w:hAnsi="Times New Roman"/>
                  <w:sz w:val="18"/>
                  <w:szCs w:val="18"/>
                  <w:color w:val="0000EE"/>
                </w:rPr>
                <w:t>March 31, 2018 (incorporated by reference to Exhibit 4.65 of our Annual Report on Form 20-F filed with the Securities and</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6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340">
              <w:r>
                <w:rPr>
                  <w:rFonts w:ascii="Times New Roman" w:cs="Times New Roman" w:eastAsia="Times New Roman" w:hAnsi="Times New Roman"/>
                  <w:sz w:val="18"/>
                  <w:szCs w:val="18"/>
                  <w:color w:val="0000EE"/>
                </w:rPr>
                <w:t>Exchange Commission on March 15, 2019)</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6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4.66</w:t>
            </w:r>
          </w:p>
        </w:tc>
        <w:tc>
          <w:tcPr>
            <w:tcW w:w="960" w:type="dxa"/>
            <w:vAlign w:val="bottom"/>
          </w:tcPr>
          <w:p>
            <w:pPr>
              <w:spacing w:after="0"/>
              <w:rPr>
                <w:sz w:val="24"/>
                <w:szCs w:val="24"/>
                <w:color w:val="auto"/>
              </w:rPr>
            </w:pPr>
          </w:p>
        </w:tc>
        <w:tc>
          <w:tcPr>
            <w:tcW w:w="948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341">
              <w:r>
                <w:rPr>
                  <w:rFonts w:ascii="Times New Roman" w:cs="Times New Roman" w:eastAsia="Times New Roman" w:hAnsi="Times New Roman"/>
                  <w:sz w:val="18"/>
                  <w:szCs w:val="18"/>
                  <w:color w:val="0000EE"/>
                </w:rPr>
                <w:t>Translation of the Amended and Restated Equity Pledge Agreement between Baidu Online and Hailong Xiang dated May 7, 2018</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341">
              <w:r>
                <w:rPr>
                  <w:rFonts w:ascii="Times New Roman" w:cs="Times New Roman" w:eastAsia="Times New Roman" w:hAnsi="Times New Roman"/>
                  <w:sz w:val="18"/>
                  <w:szCs w:val="18"/>
                  <w:color w:val="0000EE"/>
                </w:rPr>
                <w:t>(incorporated by reference to Exhibit 4.66 of our Annual Report on Form 20-F filed with the Securities and Exchange Commission</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4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341">
              <w:r>
                <w:rPr>
                  <w:rFonts w:ascii="Times New Roman" w:cs="Times New Roman" w:eastAsia="Times New Roman" w:hAnsi="Times New Roman"/>
                  <w:sz w:val="18"/>
                  <w:szCs w:val="18"/>
                  <w:color w:val="0000EE"/>
                  <w:w w:val="99"/>
                </w:rPr>
                <w:t>on March 15, 2019)</w:t>
              </w:r>
            </w:hyperlink>
          </w:p>
        </w:tc>
        <w:tc>
          <w:tcPr>
            <w:tcW w:w="804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4.67</w:t>
            </w:r>
          </w:p>
        </w:tc>
        <w:tc>
          <w:tcPr>
            <w:tcW w:w="960" w:type="dxa"/>
            <w:vAlign w:val="bottom"/>
          </w:tcPr>
          <w:p>
            <w:pPr>
              <w:spacing w:after="0"/>
              <w:rPr>
                <w:sz w:val="24"/>
                <w:szCs w:val="24"/>
                <w:color w:val="auto"/>
              </w:rPr>
            </w:pPr>
          </w:p>
        </w:tc>
        <w:tc>
          <w:tcPr>
            <w:tcW w:w="948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342">
              <w:r>
                <w:rPr>
                  <w:rFonts w:ascii="Times New Roman" w:cs="Times New Roman" w:eastAsia="Times New Roman" w:hAnsi="Times New Roman"/>
                  <w:sz w:val="18"/>
                  <w:szCs w:val="18"/>
                  <w:color w:val="0000EE"/>
                </w:rPr>
                <w:t>Translation of the Amended and Restated Equity Pledge Agreement between Baidu Online and Robin Yanhong Li dated May 7,</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6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342">
              <w:r>
                <w:rPr>
                  <w:rFonts w:ascii="Times New Roman" w:cs="Times New Roman" w:eastAsia="Times New Roman" w:hAnsi="Times New Roman"/>
                  <w:sz w:val="18"/>
                  <w:szCs w:val="18"/>
                  <w:color w:val="0000EE"/>
                </w:rPr>
                <w:t>2018 (incorporated by reference to Exhibit 4.67 of our Annual Report on Form 20-F filed with the Securities and Exchange</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342">
              <w:r>
                <w:rPr>
                  <w:rFonts w:ascii="Times New Roman" w:cs="Times New Roman" w:eastAsia="Times New Roman" w:hAnsi="Times New Roman"/>
                  <w:sz w:val="18"/>
                  <w:szCs w:val="18"/>
                  <w:color w:val="0000EE"/>
                  <w:w w:val="99"/>
                </w:rPr>
                <w:t>Commission on March 15, 2019)</w:t>
              </w:r>
            </w:hyperlink>
          </w:p>
        </w:tc>
        <w:tc>
          <w:tcPr>
            <w:tcW w:w="708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4.69</w:t>
            </w:r>
          </w:p>
        </w:tc>
        <w:tc>
          <w:tcPr>
            <w:tcW w:w="960" w:type="dxa"/>
            <w:vAlign w:val="bottom"/>
          </w:tcPr>
          <w:p>
            <w:pPr>
              <w:spacing w:after="0"/>
              <w:rPr>
                <w:sz w:val="24"/>
                <w:szCs w:val="24"/>
                <w:color w:val="auto"/>
              </w:rPr>
            </w:pPr>
          </w:p>
        </w:tc>
        <w:tc>
          <w:tcPr>
            <w:tcW w:w="948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343">
              <w:r>
                <w:rPr>
                  <w:rFonts w:ascii="Times New Roman" w:cs="Times New Roman" w:eastAsia="Times New Roman" w:hAnsi="Times New Roman"/>
                  <w:sz w:val="18"/>
                  <w:szCs w:val="18"/>
                  <w:color w:val="0000EE"/>
                </w:rPr>
                <w:t>Translation of the Loan Agreements between Baidu Online and Zhixiang Liang, and between Baidu Online and Xiaodong Wang,</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343">
              <w:r>
                <w:rPr>
                  <w:rFonts w:ascii="Times New Roman" w:cs="Times New Roman" w:eastAsia="Times New Roman" w:hAnsi="Times New Roman"/>
                  <w:sz w:val="18"/>
                  <w:szCs w:val="18"/>
                  <w:color w:val="0000EE"/>
                </w:rPr>
                <w:t>both dated March 31, 2018 (incorporated by reference to Exhibit 4.69 of our Annual Report on Form 20-F filed with the Securities</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6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343">
              <w:r>
                <w:rPr>
                  <w:rFonts w:ascii="Times New Roman" w:cs="Times New Roman" w:eastAsia="Times New Roman" w:hAnsi="Times New Roman"/>
                  <w:sz w:val="18"/>
                  <w:szCs w:val="18"/>
                  <w:color w:val="0000EE"/>
                  <w:w w:val="99"/>
                </w:rPr>
                <w:t>and Exchange Commission on March 15, 2019)</w:t>
              </w:r>
            </w:hyperlink>
          </w:p>
        </w:tc>
        <w:tc>
          <w:tcPr>
            <w:tcW w:w="602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4.70</w:t>
            </w:r>
          </w:p>
        </w:tc>
        <w:tc>
          <w:tcPr>
            <w:tcW w:w="960" w:type="dxa"/>
            <w:vAlign w:val="bottom"/>
          </w:tcPr>
          <w:p>
            <w:pPr>
              <w:spacing w:after="0"/>
              <w:rPr>
                <w:sz w:val="24"/>
                <w:szCs w:val="24"/>
                <w:color w:val="auto"/>
              </w:rPr>
            </w:pPr>
          </w:p>
        </w:tc>
        <w:tc>
          <w:tcPr>
            <w:tcW w:w="948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344">
              <w:r>
                <w:rPr>
                  <w:rFonts w:ascii="Times New Roman" w:cs="Times New Roman" w:eastAsia="Times New Roman" w:hAnsi="Times New Roman"/>
                  <w:sz w:val="18"/>
                  <w:szCs w:val="18"/>
                  <w:color w:val="0000EE"/>
                </w:rPr>
                <w:t>Translation of Proxy Agreements between Zhixiang Liang and Baidu, Inc., and between Xiaodong Wang and Baidu, Inc., dated</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80" w:type="dxa"/>
            <w:vAlign w:val="bottom"/>
            <w:gridSpan w:val="11"/>
          </w:tcPr>
          <w:p>
            <w:pPr>
              <w:spacing w:after="0" w:line="196" w:lineRule="exact"/>
              <w:rPr>
                <w:rFonts w:ascii="Times New Roman" w:cs="Times New Roman" w:eastAsia="Times New Roman" w:hAnsi="Times New Roman"/>
                <w:sz w:val="18"/>
                <w:szCs w:val="18"/>
                <w:color w:val="0000EE"/>
              </w:rPr>
            </w:pPr>
            <w:hyperlink r:id="rId344">
              <w:r>
                <w:rPr>
                  <w:rFonts w:ascii="Times New Roman" w:cs="Times New Roman" w:eastAsia="Times New Roman" w:hAnsi="Times New Roman"/>
                  <w:sz w:val="18"/>
                  <w:szCs w:val="18"/>
                  <w:color w:val="0000EE"/>
                </w:rPr>
                <w:t>March 31, 2018 (incorporated by reference to Exhibit 4.70 of our Annual Report on Form 20-F filed with the Securities and</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6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344">
              <w:r>
                <w:rPr>
                  <w:rFonts w:ascii="Times New Roman" w:cs="Times New Roman" w:eastAsia="Times New Roman" w:hAnsi="Times New Roman"/>
                  <w:sz w:val="18"/>
                  <w:szCs w:val="18"/>
                  <w:color w:val="0000EE"/>
                </w:rPr>
                <w:t>Exchange Commission on March 15, 2019)</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140" w:type="dxa"/>
            <w:vAlign w:val="bottom"/>
            <w:gridSpan w:val="4"/>
            <w:shd w:val="clear" w:color="auto" w:fill="0000EE"/>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46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4.71</w:t>
            </w:r>
          </w:p>
        </w:tc>
        <w:tc>
          <w:tcPr>
            <w:tcW w:w="960" w:type="dxa"/>
            <w:vAlign w:val="bottom"/>
          </w:tcPr>
          <w:p>
            <w:pPr>
              <w:spacing w:after="0"/>
              <w:rPr>
                <w:sz w:val="24"/>
                <w:szCs w:val="24"/>
                <w:color w:val="auto"/>
              </w:rPr>
            </w:pPr>
          </w:p>
        </w:tc>
        <w:tc>
          <w:tcPr>
            <w:tcW w:w="948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345">
              <w:r>
                <w:rPr>
                  <w:rFonts w:ascii="Times New Roman" w:cs="Times New Roman" w:eastAsia="Times New Roman" w:hAnsi="Times New Roman"/>
                  <w:sz w:val="18"/>
                  <w:szCs w:val="18"/>
                  <w:color w:val="0000EE"/>
                </w:rPr>
                <w:t>Translation of Irrevocable Power of Attorney issued by Zhixiang Liang, an individual shareholder of Beijing Perusal, March 31,</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6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345">
              <w:r>
                <w:rPr>
                  <w:rFonts w:ascii="Times New Roman" w:cs="Times New Roman" w:eastAsia="Times New Roman" w:hAnsi="Times New Roman"/>
                  <w:sz w:val="18"/>
                  <w:szCs w:val="18"/>
                  <w:color w:val="0000EE"/>
                </w:rPr>
                <w:t>2018 (incorporated by reference to Exhibit 4.71 of our Annual Report on Form 20-F filed with the Securities and Exchange</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345">
              <w:r>
                <w:rPr>
                  <w:rFonts w:ascii="Times New Roman" w:cs="Times New Roman" w:eastAsia="Times New Roman" w:hAnsi="Times New Roman"/>
                  <w:sz w:val="18"/>
                  <w:szCs w:val="18"/>
                  <w:color w:val="0000EE"/>
                  <w:w w:val="99"/>
                </w:rPr>
                <w:t>Commission on March 15, 2019)</w:t>
              </w:r>
            </w:hyperlink>
          </w:p>
        </w:tc>
        <w:tc>
          <w:tcPr>
            <w:tcW w:w="708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4.72</w:t>
            </w:r>
          </w:p>
        </w:tc>
        <w:tc>
          <w:tcPr>
            <w:tcW w:w="960" w:type="dxa"/>
            <w:vAlign w:val="bottom"/>
          </w:tcPr>
          <w:p>
            <w:pPr>
              <w:spacing w:after="0"/>
              <w:rPr>
                <w:sz w:val="24"/>
                <w:szCs w:val="24"/>
                <w:color w:val="auto"/>
              </w:rPr>
            </w:pPr>
          </w:p>
        </w:tc>
        <w:tc>
          <w:tcPr>
            <w:tcW w:w="948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346">
              <w:r>
                <w:rPr>
                  <w:rFonts w:ascii="Times New Roman" w:cs="Times New Roman" w:eastAsia="Times New Roman" w:hAnsi="Times New Roman"/>
                  <w:sz w:val="18"/>
                  <w:szCs w:val="18"/>
                  <w:color w:val="0000EE"/>
                </w:rPr>
                <w:t>Translation of Irrevocable Power of Attorney issued by Xiaodong Wang, an individual shareholder of Beijing Perusal, March 31,</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6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346">
              <w:r>
                <w:rPr>
                  <w:rFonts w:ascii="Times New Roman" w:cs="Times New Roman" w:eastAsia="Times New Roman" w:hAnsi="Times New Roman"/>
                  <w:sz w:val="18"/>
                  <w:szCs w:val="18"/>
                  <w:color w:val="0000EE"/>
                </w:rPr>
                <w:t>2018 (incorporated by reference to Exhibit 4.72 of our Annual Report on Form 20-F filed with the Securities and Exchange</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346">
              <w:r>
                <w:rPr>
                  <w:rFonts w:ascii="Times New Roman" w:cs="Times New Roman" w:eastAsia="Times New Roman" w:hAnsi="Times New Roman"/>
                  <w:sz w:val="18"/>
                  <w:szCs w:val="18"/>
                  <w:color w:val="0000EE"/>
                  <w:w w:val="99"/>
                </w:rPr>
                <w:t>Commission on March 15, 2019)</w:t>
              </w:r>
            </w:hyperlink>
          </w:p>
        </w:tc>
        <w:tc>
          <w:tcPr>
            <w:tcW w:w="708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4.73</w:t>
            </w:r>
          </w:p>
        </w:tc>
        <w:tc>
          <w:tcPr>
            <w:tcW w:w="960" w:type="dxa"/>
            <w:vAlign w:val="bottom"/>
          </w:tcPr>
          <w:p>
            <w:pPr>
              <w:spacing w:after="0"/>
              <w:rPr>
                <w:sz w:val="24"/>
                <w:szCs w:val="24"/>
                <w:color w:val="auto"/>
              </w:rPr>
            </w:pPr>
          </w:p>
        </w:tc>
        <w:tc>
          <w:tcPr>
            <w:tcW w:w="946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347">
              <w:r>
                <w:rPr>
                  <w:rFonts w:ascii="Times New Roman" w:cs="Times New Roman" w:eastAsia="Times New Roman" w:hAnsi="Times New Roman"/>
                  <w:sz w:val="18"/>
                  <w:szCs w:val="18"/>
                  <w:color w:val="0000EE"/>
                </w:rPr>
                <w:t>Translation of the Exclusive Equity Purchase and Transfer Option Agreement among Baidu, Inc., Baidu Online, Zhixiang Liang</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80" w:type="dxa"/>
            <w:vAlign w:val="bottom"/>
            <w:gridSpan w:val="11"/>
          </w:tcPr>
          <w:p>
            <w:pPr>
              <w:spacing w:after="0" w:line="196" w:lineRule="exact"/>
              <w:rPr>
                <w:rFonts w:ascii="Times New Roman" w:cs="Times New Roman" w:eastAsia="Times New Roman" w:hAnsi="Times New Roman"/>
                <w:sz w:val="18"/>
                <w:szCs w:val="18"/>
                <w:color w:val="0000EE"/>
              </w:rPr>
            </w:pPr>
            <w:hyperlink r:id="rId347">
              <w:r>
                <w:rPr>
                  <w:rFonts w:ascii="Times New Roman" w:cs="Times New Roman" w:eastAsia="Times New Roman" w:hAnsi="Times New Roman"/>
                  <w:sz w:val="18"/>
                  <w:szCs w:val="18"/>
                  <w:color w:val="0000EE"/>
                </w:rPr>
                <w:t>and Beijing Perusal, dated March 31, 2018 (incorporated by reference to Exhibit 4.73 of our Annual Report on Form 20-F filed</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6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347">
              <w:r>
                <w:rPr>
                  <w:rFonts w:ascii="Times New Roman" w:cs="Times New Roman" w:eastAsia="Times New Roman" w:hAnsi="Times New Roman"/>
                  <w:sz w:val="18"/>
                  <w:szCs w:val="18"/>
                  <w:color w:val="0000EE"/>
                </w:rPr>
                <w:t>with the Securities and Exchange Commission on March 15, 2019)</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gridSpan w:val="2"/>
          </w:tcPr>
          <w:p>
            <w:pPr>
              <w:spacing w:after="0"/>
              <w:rPr>
                <w:sz w:val="24"/>
                <w:szCs w:val="24"/>
                <w:color w:val="auto"/>
              </w:rPr>
            </w:pPr>
          </w:p>
        </w:tc>
        <w:tc>
          <w:tcPr>
            <w:tcW w:w="4820" w:type="dxa"/>
            <w:vAlign w:val="bottom"/>
            <w:tcBorders>
              <w:top w:val="single" w:sz="8" w:color="0000EE"/>
            </w:tcBorders>
            <w:gridSpan w:val="5"/>
          </w:tcPr>
          <w:p>
            <w:pPr>
              <w:jc w:val="right"/>
              <w:ind w:right="668"/>
              <w:spacing w:after="0"/>
              <w:rPr>
                <w:sz w:val="20"/>
                <w:szCs w:val="20"/>
                <w:color w:val="auto"/>
              </w:rPr>
            </w:pPr>
            <w:r>
              <w:rPr>
                <w:rFonts w:ascii="Times New Roman" w:cs="Times New Roman" w:eastAsia="Times New Roman" w:hAnsi="Times New Roman"/>
                <w:sz w:val="18"/>
                <w:szCs w:val="18"/>
                <w:color w:val="auto"/>
              </w:rPr>
              <w:t>218</w:t>
            </w: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4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0" w:type="dxa"/>
            <w:vAlign w:val="bottom"/>
          </w:tcPr>
          <w:p>
            <w:pPr>
              <w:spacing w:after="0"/>
              <w:rPr>
                <w:sz w:val="13"/>
                <w:szCs w:val="13"/>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340" w:type="dxa"/>
            <w:vAlign w:val="bottom"/>
            <w:gridSpan w:val="7"/>
            <w:vMerge w:val="restart"/>
          </w:tcPr>
          <w:p>
            <w:pPr>
              <w:ind w:left="84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0" w:type="dxa"/>
            <w:vAlign w:val="bottom"/>
          </w:tcPr>
          <w:p>
            <w:pPr>
              <w:spacing w:after="0"/>
              <w:rPr>
                <w:sz w:val="1"/>
                <w:szCs w:val="1"/>
                <w:color w:val="auto"/>
              </w:rPr>
            </w:pPr>
          </w:p>
        </w:tc>
      </w:tr>
      <w:tr>
        <w:trPr>
          <w:trHeight w:val="180"/>
        </w:trPr>
        <w:tc>
          <w:tcPr>
            <w:tcW w:w="80" w:type="dxa"/>
            <w:vAlign w:val="bottom"/>
          </w:tcPr>
          <w:p>
            <w:pPr>
              <w:spacing w:after="0"/>
              <w:rPr>
                <w:sz w:val="15"/>
                <w:szCs w:val="15"/>
                <w:color w:val="auto"/>
              </w:rPr>
            </w:pP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6340" w:type="dxa"/>
            <w:vAlign w:val="bottom"/>
            <w:tcBorders>
              <w:bottom w:val="single" w:sz="8" w:color="auto"/>
            </w:tcBorders>
            <w:gridSpan w:val="7"/>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4.74</w:t>
            </w:r>
          </w:p>
        </w:tc>
        <w:tc>
          <w:tcPr>
            <w:tcW w:w="960" w:type="dxa"/>
            <w:vAlign w:val="bottom"/>
          </w:tcPr>
          <w:p>
            <w:pPr>
              <w:spacing w:after="0"/>
              <w:rPr>
                <w:sz w:val="23"/>
                <w:szCs w:val="23"/>
                <w:color w:val="auto"/>
              </w:rPr>
            </w:pPr>
          </w:p>
        </w:tc>
        <w:tc>
          <w:tcPr>
            <w:tcW w:w="9480" w:type="dxa"/>
            <w:vAlign w:val="bottom"/>
            <w:gridSpan w:val="12"/>
          </w:tcPr>
          <w:p>
            <w:pPr>
              <w:spacing w:after="0"/>
              <w:rPr>
                <w:rFonts w:ascii="Times New Roman" w:cs="Times New Roman" w:eastAsia="Times New Roman" w:hAnsi="Times New Roman"/>
                <w:sz w:val="18"/>
                <w:szCs w:val="18"/>
                <w:color w:val="0000EE"/>
              </w:rPr>
            </w:pPr>
            <w:hyperlink r:id="rId349">
              <w:r>
                <w:rPr>
                  <w:rFonts w:ascii="Times New Roman" w:cs="Times New Roman" w:eastAsia="Times New Roman" w:hAnsi="Times New Roman"/>
                  <w:sz w:val="18"/>
                  <w:szCs w:val="18"/>
                  <w:color w:val="0000EE"/>
                </w:rPr>
                <w:t>Translation of the Exclusive Equity Purchase and Transfer Option Agreement among Baidu, Inc., Baidu Online, Xiaodong Wang</w:t>
              </w:r>
            </w:hyperlink>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80" w:type="dxa"/>
            <w:vAlign w:val="bottom"/>
            <w:gridSpan w:val="12"/>
          </w:tcPr>
          <w:p>
            <w:pPr>
              <w:spacing w:after="0" w:line="196" w:lineRule="exact"/>
              <w:rPr>
                <w:rFonts w:ascii="Times New Roman" w:cs="Times New Roman" w:eastAsia="Times New Roman" w:hAnsi="Times New Roman"/>
                <w:sz w:val="18"/>
                <w:szCs w:val="18"/>
                <w:color w:val="0000EE"/>
              </w:rPr>
            </w:pPr>
            <w:hyperlink r:id="rId349">
              <w:r>
                <w:rPr>
                  <w:rFonts w:ascii="Times New Roman" w:cs="Times New Roman" w:eastAsia="Times New Roman" w:hAnsi="Times New Roman"/>
                  <w:sz w:val="18"/>
                  <w:szCs w:val="18"/>
                  <w:color w:val="0000EE"/>
                </w:rPr>
                <w:t>and Beijing Perusal, dated March 31, 2018 (incorporated by reference to Exhibit 4.74 of our Annual Report on Form 20-F filed</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84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349">
              <w:r>
                <w:rPr>
                  <w:rFonts w:ascii="Times New Roman" w:cs="Times New Roman" w:eastAsia="Times New Roman" w:hAnsi="Times New Roman"/>
                  <w:sz w:val="18"/>
                  <w:szCs w:val="18"/>
                  <w:color w:val="0000EE"/>
                  <w:w w:val="99"/>
                </w:rPr>
                <w:t>with the Securities and Exchange Commission on March 15, 2019)</w:t>
              </w:r>
            </w:hyperlink>
          </w:p>
        </w:tc>
        <w:tc>
          <w:tcPr>
            <w:tcW w:w="4620" w:type="dxa"/>
            <w:vAlign w:val="bottom"/>
            <w:tcBorders>
              <w:top w:val="single" w:sz="8" w:color="0000EE"/>
            </w:tcBorders>
            <w:gridSpan w:val="4"/>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4.75</w:t>
            </w:r>
          </w:p>
        </w:tc>
        <w:tc>
          <w:tcPr>
            <w:tcW w:w="960" w:type="dxa"/>
            <w:vAlign w:val="bottom"/>
          </w:tcPr>
          <w:p>
            <w:pPr>
              <w:spacing w:after="0"/>
              <w:rPr>
                <w:sz w:val="24"/>
                <w:szCs w:val="24"/>
                <w:color w:val="auto"/>
              </w:rPr>
            </w:pPr>
          </w:p>
        </w:tc>
        <w:tc>
          <w:tcPr>
            <w:tcW w:w="9480" w:type="dxa"/>
            <w:vAlign w:val="bottom"/>
            <w:gridSpan w:val="12"/>
          </w:tcPr>
          <w:p>
            <w:pPr>
              <w:spacing w:after="0"/>
              <w:rPr>
                <w:rFonts w:ascii="Times New Roman" w:cs="Times New Roman" w:eastAsia="Times New Roman" w:hAnsi="Times New Roman"/>
                <w:sz w:val="18"/>
                <w:szCs w:val="18"/>
                <w:color w:val="0000EE"/>
              </w:rPr>
            </w:pPr>
            <w:hyperlink r:id="rId350">
              <w:r>
                <w:rPr>
                  <w:rFonts w:ascii="Times New Roman" w:cs="Times New Roman" w:eastAsia="Times New Roman" w:hAnsi="Times New Roman"/>
                  <w:sz w:val="18"/>
                  <w:szCs w:val="18"/>
                  <w:color w:val="0000EE"/>
                </w:rPr>
                <w:t>Translation of the Termination Agreement of Current Control Contracts among Baidu Online, Beijing Perusal, Zhixiang Liang,</w:t>
              </w:r>
            </w:hyperlink>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8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350">
              <w:r>
                <w:rPr>
                  <w:rFonts w:ascii="Times New Roman" w:cs="Times New Roman" w:eastAsia="Times New Roman" w:hAnsi="Times New Roman"/>
                  <w:sz w:val="18"/>
                  <w:szCs w:val="18"/>
                  <w:color w:val="0000EE"/>
                </w:rPr>
                <w:t>Xiaodong Wang, and Baidu, Inc. dated June 28, 2018 (incorporated by reference to Exhibit 4.75 of our Annual Report on Form</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60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350">
              <w:r>
                <w:rPr>
                  <w:rFonts w:ascii="Times New Roman" w:cs="Times New Roman" w:eastAsia="Times New Roman" w:hAnsi="Times New Roman"/>
                  <w:sz w:val="18"/>
                  <w:szCs w:val="18"/>
                  <w:color w:val="0000EE"/>
                  <w:w w:val="99"/>
                </w:rPr>
                <w:t>20-F filed with the Securities and Exchange Commission on March 15, 2019)</w:t>
              </w:r>
            </w:hyperlink>
          </w:p>
        </w:tc>
        <w:tc>
          <w:tcPr>
            <w:tcW w:w="38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4.76</w:t>
            </w:r>
          </w:p>
        </w:tc>
        <w:tc>
          <w:tcPr>
            <w:tcW w:w="960" w:type="dxa"/>
            <w:vAlign w:val="bottom"/>
          </w:tcPr>
          <w:p>
            <w:pPr>
              <w:spacing w:after="0"/>
              <w:rPr>
                <w:sz w:val="24"/>
                <w:szCs w:val="24"/>
                <w:color w:val="auto"/>
              </w:rPr>
            </w:pPr>
          </w:p>
        </w:tc>
        <w:tc>
          <w:tcPr>
            <w:tcW w:w="9480" w:type="dxa"/>
            <w:vAlign w:val="bottom"/>
            <w:gridSpan w:val="12"/>
          </w:tcPr>
          <w:p>
            <w:pPr>
              <w:spacing w:after="0"/>
              <w:rPr>
                <w:rFonts w:ascii="Times New Roman" w:cs="Times New Roman" w:eastAsia="Times New Roman" w:hAnsi="Times New Roman"/>
                <w:sz w:val="18"/>
                <w:szCs w:val="18"/>
                <w:color w:val="0000EE"/>
              </w:rPr>
            </w:pPr>
            <w:hyperlink r:id="rId351">
              <w:r>
                <w:rPr>
                  <w:rFonts w:ascii="Times New Roman" w:cs="Times New Roman" w:eastAsia="Times New Roman" w:hAnsi="Times New Roman"/>
                  <w:sz w:val="18"/>
                  <w:szCs w:val="18"/>
                  <w:color w:val="0000EE"/>
                </w:rPr>
                <w:t>Translation of the Amended and Restated Loan Agreement between Baidu Online and Robin Yanhong Li dated July 10, 2019</w:t>
              </w:r>
            </w:hyperlink>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8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351">
              <w:r>
                <w:rPr>
                  <w:rFonts w:ascii="Times New Roman" w:cs="Times New Roman" w:eastAsia="Times New Roman" w:hAnsi="Times New Roman"/>
                  <w:sz w:val="18"/>
                  <w:szCs w:val="18"/>
                  <w:color w:val="0000EE"/>
                </w:rPr>
                <w:t>(incorporated by reference to Exhibit 4.83 of our Annual Report on Form 20-F filed with the Securities and Exchange Commission</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4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351">
              <w:r>
                <w:rPr>
                  <w:rFonts w:ascii="Times New Roman" w:cs="Times New Roman" w:eastAsia="Times New Roman" w:hAnsi="Times New Roman"/>
                  <w:sz w:val="18"/>
                  <w:szCs w:val="18"/>
                  <w:color w:val="0000EE"/>
                  <w:w w:val="99"/>
                </w:rPr>
                <w:t>on March 13, 2020)</w:t>
              </w:r>
            </w:hyperlink>
          </w:p>
        </w:tc>
        <w:tc>
          <w:tcPr>
            <w:tcW w:w="804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4.77</w:t>
            </w:r>
          </w:p>
        </w:tc>
        <w:tc>
          <w:tcPr>
            <w:tcW w:w="960" w:type="dxa"/>
            <w:vAlign w:val="bottom"/>
          </w:tcPr>
          <w:p>
            <w:pPr>
              <w:spacing w:after="0"/>
              <w:rPr>
                <w:sz w:val="24"/>
                <w:szCs w:val="24"/>
                <w:color w:val="auto"/>
              </w:rPr>
            </w:pPr>
          </w:p>
        </w:tc>
        <w:tc>
          <w:tcPr>
            <w:tcW w:w="9480" w:type="dxa"/>
            <w:vAlign w:val="bottom"/>
            <w:gridSpan w:val="12"/>
          </w:tcPr>
          <w:p>
            <w:pPr>
              <w:spacing w:after="0"/>
              <w:rPr>
                <w:rFonts w:ascii="Times New Roman" w:cs="Times New Roman" w:eastAsia="Times New Roman" w:hAnsi="Times New Roman"/>
                <w:sz w:val="18"/>
                <w:szCs w:val="18"/>
                <w:color w:val="0000EE"/>
              </w:rPr>
            </w:pPr>
            <w:hyperlink r:id="rId352">
              <w:r>
                <w:rPr>
                  <w:rFonts w:ascii="Times New Roman" w:cs="Times New Roman" w:eastAsia="Times New Roman" w:hAnsi="Times New Roman"/>
                  <w:sz w:val="18"/>
                  <w:szCs w:val="18"/>
                  <w:color w:val="0000EE"/>
                </w:rPr>
                <w:t>Translation of the Amended and Restated Exclusive Equity Purchase and Transfer Option Agreement among Baidu, Inc., Baidu</w:t>
              </w:r>
            </w:hyperlink>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8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352">
              <w:r>
                <w:rPr>
                  <w:rFonts w:ascii="Times New Roman" w:cs="Times New Roman" w:eastAsia="Times New Roman" w:hAnsi="Times New Roman"/>
                  <w:sz w:val="18"/>
                  <w:szCs w:val="18"/>
                  <w:color w:val="0000EE"/>
                </w:rPr>
                <w:t>Netcom, Baidu Online and Robin Yanhong Li dated July 10, 2019 (incorporated by reference to Exhibit 4.84 of our Annual Report</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26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352">
              <w:r>
                <w:rPr>
                  <w:rFonts w:ascii="Times New Roman" w:cs="Times New Roman" w:eastAsia="Times New Roman" w:hAnsi="Times New Roman"/>
                  <w:sz w:val="18"/>
                  <w:szCs w:val="18"/>
                  <w:color w:val="0000EE"/>
                  <w:w w:val="99"/>
                </w:rPr>
                <w:t>on Form 20-F filed with the Securities and Exchange Commission on March 13, 2020)</w:t>
              </w:r>
            </w:hyperlink>
          </w:p>
        </w:tc>
        <w:tc>
          <w:tcPr>
            <w:tcW w:w="32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4.78</w:t>
            </w:r>
          </w:p>
        </w:tc>
        <w:tc>
          <w:tcPr>
            <w:tcW w:w="960" w:type="dxa"/>
            <w:vAlign w:val="bottom"/>
          </w:tcPr>
          <w:p>
            <w:pPr>
              <w:spacing w:after="0"/>
              <w:rPr>
                <w:sz w:val="24"/>
                <w:szCs w:val="24"/>
                <w:color w:val="auto"/>
              </w:rPr>
            </w:pPr>
          </w:p>
        </w:tc>
        <w:tc>
          <w:tcPr>
            <w:tcW w:w="948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353">
              <w:r>
                <w:rPr>
                  <w:rFonts w:ascii="Times New Roman" w:cs="Times New Roman" w:eastAsia="Times New Roman" w:hAnsi="Times New Roman"/>
                  <w:sz w:val="18"/>
                  <w:szCs w:val="18"/>
                  <w:color w:val="0000EE"/>
                </w:rPr>
                <w:t>Translation of the Amended and Restated Equity Pledge Agreement between Baidu Online and Robin Yanhong Li dated July 10,</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6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353">
              <w:r>
                <w:rPr>
                  <w:rFonts w:ascii="Times New Roman" w:cs="Times New Roman" w:eastAsia="Times New Roman" w:hAnsi="Times New Roman"/>
                  <w:sz w:val="18"/>
                  <w:szCs w:val="18"/>
                  <w:color w:val="0000EE"/>
                </w:rPr>
                <w:t>2019 (incorporated by reference to Exhibit 4.85 of our Annual Report on Form 20-F filed with the Securities and Exchange</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353">
              <w:r>
                <w:rPr>
                  <w:rFonts w:ascii="Times New Roman" w:cs="Times New Roman" w:eastAsia="Times New Roman" w:hAnsi="Times New Roman"/>
                  <w:sz w:val="18"/>
                  <w:szCs w:val="18"/>
                  <w:color w:val="0000EE"/>
                  <w:w w:val="99"/>
                </w:rPr>
                <w:t>Commission on March 13, 2020)</w:t>
              </w:r>
            </w:hyperlink>
          </w:p>
        </w:tc>
        <w:tc>
          <w:tcPr>
            <w:tcW w:w="708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4.79</w:t>
            </w:r>
          </w:p>
        </w:tc>
        <w:tc>
          <w:tcPr>
            <w:tcW w:w="960" w:type="dxa"/>
            <w:vAlign w:val="bottom"/>
          </w:tcPr>
          <w:p>
            <w:pPr>
              <w:spacing w:after="0"/>
              <w:rPr>
                <w:sz w:val="24"/>
                <w:szCs w:val="24"/>
                <w:color w:val="auto"/>
              </w:rPr>
            </w:pPr>
          </w:p>
        </w:tc>
        <w:tc>
          <w:tcPr>
            <w:tcW w:w="9480" w:type="dxa"/>
            <w:vAlign w:val="bottom"/>
            <w:gridSpan w:val="12"/>
          </w:tcPr>
          <w:p>
            <w:pPr>
              <w:spacing w:after="0"/>
              <w:rPr>
                <w:rFonts w:ascii="Times New Roman" w:cs="Times New Roman" w:eastAsia="Times New Roman" w:hAnsi="Times New Roman"/>
                <w:sz w:val="18"/>
                <w:szCs w:val="18"/>
                <w:color w:val="0000EE"/>
              </w:rPr>
            </w:pPr>
            <w:hyperlink r:id="rId354">
              <w:r>
                <w:rPr>
                  <w:rFonts w:ascii="Times New Roman" w:cs="Times New Roman" w:eastAsia="Times New Roman" w:hAnsi="Times New Roman"/>
                  <w:sz w:val="18"/>
                  <w:szCs w:val="18"/>
                  <w:color w:val="0000EE"/>
                </w:rPr>
                <w:t>Translation of the Termination Agreement of Current Control Contracts among Baidu, Inc., Baidu Online, Baidu Netcom, Robin</w:t>
              </w:r>
            </w:hyperlink>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318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80" w:type="dxa"/>
            <w:vAlign w:val="bottom"/>
            <w:gridSpan w:val="12"/>
          </w:tcPr>
          <w:p>
            <w:pPr>
              <w:spacing w:after="0" w:line="196" w:lineRule="exact"/>
              <w:rPr>
                <w:rFonts w:ascii="Times New Roman" w:cs="Times New Roman" w:eastAsia="Times New Roman" w:hAnsi="Times New Roman"/>
                <w:sz w:val="18"/>
                <w:szCs w:val="18"/>
                <w:color w:val="0000EE"/>
              </w:rPr>
            </w:pPr>
            <w:hyperlink r:id="rId354">
              <w:r>
                <w:rPr>
                  <w:rFonts w:ascii="Times New Roman" w:cs="Times New Roman" w:eastAsia="Times New Roman" w:hAnsi="Times New Roman"/>
                  <w:sz w:val="18"/>
                  <w:szCs w:val="18"/>
                  <w:color w:val="0000EE"/>
                </w:rPr>
                <w:t>Yanhong Li and Hailong Xiang dated August 20, 2019 (incorporated by reference to Exhibit 4.86 of our Annual Report on Form</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60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354">
              <w:r>
                <w:rPr>
                  <w:rFonts w:ascii="Times New Roman" w:cs="Times New Roman" w:eastAsia="Times New Roman" w:hAnsi="Times New Roman"/>
                  <w:sz w:val="18"/>
                  <w:szCs w:val="18"/>
                  <w:color w:val="0000EE"/>
                  <w:w w:val="99"/>
                </w:rPr>
                <w:t>20-F filed with the Securities and Exchange Commission on March 13, 2020)</w:t>
              </w:r>
            </w:hyperlink>
          </w:p>
        </w:tc>
        <w:tc>
          <w:tcPr>
            <w:tcW w:w="3860" w:type="dxa"/>
            <w:vAlign w:val="bottom"/>
            <w:tcBorders>
              <w:top w:val="single" w:sz="8" w:color="0000EE"/>
            </w:tcBorders>
            <w:gridSpan w:val="3"/>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4.80</w:t>
            </w:r>
          </w:p>
        </w:tc>
        <w:tc>
          <w:tcPr>
            <w:tcW w:w="960" w:type="dxa"/>
            <w:vAlign w:val="bottom"/>
          </w:tcPr>
          <w:p>
            <w:pPr>
              <w:spacing w:after="0"/>
              <w:rPr>
                <w:sz w:val="24"/>
                <w:szCs w:val="24"/>
                <w:color w:val="auto"/>
              </w:rPr>
            </w:pPr>
          </w:p>
        </w:tc>
        <w:tc>
          <w:tcPr>
            <w:tcW w:w="9480" w:type="dxa"/>
            <w:vAlign w:val="bottom"/>
            <w:gridSpan w:val="12"/>
          </w:tcPr>
          <w:p>
            <w:pPr>
              <w:spacing w:after="0"/>
              <w:rPr>
                <w:rFonts w:ascii="Times New Roman" w:cs="Times New Roman" w:eastAsia="Times New Roman" w:hAnsi="Times New Roman"/>
                <w:sz w:val="18"/>
                <w:szCs w:val="18"/>
                <w:color w:val="0000EE"/>
              </w:rPr>
            </w:pPr>
            <w:hyperlink r:id="rId355">
              <w:r>
                <w:rPr>
                  <w:rFonts w:ascii="Times New Roman" w:cs="Times New Roman" w:eastAsia="Times New Roman" w:hAnsi="Times New Roman"/>
                  <w:sz w:val="18"/>
                  <w:szCs w:val="18"/>
                  <w:color w:val="0000EE"/>
                </w:rPr>
                <w:t>Translation of Proxy Agreement between Shanshan Cui and Baidu, Inc., dated August 20, 2019 (incorporated by reference to</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78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355">
              <w:r>
                <w:rPr>
                  <w:rFonts w:ascii="Times New Roman" w:cs="Times New Roman" w:eastAsia="Times New Roman" w:hAnsi="Times New Roman"/>
                  <w:sz w:val="18"/>
                  <w:szCs w:val="18"/>
                  <w:color w:val="0000EE"/>
                  <w:w w:val="99"/>
                </w:rPr>
                <w:t>Exhibit 4.87 of our Annual Report on Form 20-F filed with the Securities and Exchange Commission on March 13, 2020)</w:t>
              </w:r>
            </w:hyperlink>
          </w:p>
        </w:tc>
        <w:tc>
          <w:tcPr>
            <w:tcW w:w="6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4.81</w:t>
            </w:r>
          </w:p>
        </w:tc>
        <w:tc>
          <w:tcPr>
            <w:tcW w:w="960" w:type="dxa"/>
            <w:vAlign w:val="bottom"/>
          </w:tcPr>
          <w:p>
            <w:pPr>
              <w:spacing w:after="0"/>
              <w:rPr>
                <w:sz w:val="24"/>
                <w:szCs w:val="24"/>
                <w:color w:val="auto"/>
              </w:rPr>
            </w:pPr>
          </w:p>
        </w:tc>
        <w:tc>
          <w:tcPr>
            <w:tcW w:w="9480" w:type="dxa"/>
            <w:vAlign w:val="bottom"/>
            <w:gridSpan w:val="12"/>
          </w:tcPr>
          <w:p>
            <w:pPr>
              <w:spacing w:after="0"/>
              <w:rPr>
                <w:rFonts w:ascii="Times New Roman" w:cs="Times New Roman" w:eastAsia="Times New Roman" w:hAnsi="Times New Roman"/>
                <w:sz w:val="18"/>
                <w:szCs w:val="18"/>
                <w:color w:val="0000EE"/>
              </w:rPr>
            </w:pPr>
            <w:hyperlink r:id="rId356">
              <w:r>
                <w:rPr>
                  <w:rFonts w:ascii="Times New Roman" w:cs="Times New Roman" w:eastAsia="Times New Roman" w:hAnsi="Times New Roman"/>
                  <w:sz w:val="18"/>
                  <w:szCs w:val="18"/>
                  <w:color w:val="0000EE"/>
                </w:rPr>
                <w:t>Translation of the Operating Agreement among Baidu Online, Baidu Netcom, Shanshan Cui, and Robin Yanhong Li, dated</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60" w:type="dxa"/>
            <w:vAlign w:val="bottom"/>
            <w:tcBorders>
              <w:top w:val="single" w:sz="8" w:color="0000EE"/>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356">
              <w:r>
                <w:rPr>
                  <w:rFonts w:ascii="Times New Roman" w:cs="Times New Roman" w:eastAsia="Times New Roman" w:hAnsi="Times New Roman"/>
                  <w:sz w:val="18"/>
                  <w:szCs w:val="18"/>
                  <w:color w:val="0000EE"/>
                </w:rPr>
                <w:t>August 20, 2019 (incorporated by reference to Exhibit 4.88 of our Annual Report on Form 20-F filed with the Securities and</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80" w:type="dxa"/>
            <w:vAlign w:val="bottom"/>
            <w:gridSpan w:val="12"/>
          </w:tcPr>
          <w:p>
            <w:pPr>
              <w:spacing w:after="0" w:line="196" w:lineRule="exact"/>
              <w:rPr>
                <w:rFonts w:ascii="Times New Roman" w:cs="Times New Roman" w:eastAsia="Times New Roman" w:hAnsi="Times New Roman"/>
                <w:sz w:val="18"/>
                <w:szCs w:val="18"/>
                <w:color w:val="0000EE"/>
              </w:rPr>
            </w:pPr>
            <w:hyperlink r:id="rId356">
              <w:r>
                <w:rPr>
                  <w:rFonts w:ascii="Times New Roman" w:cs="Times New Roman" w:eastAsia="Times New Roman" w:hAnsi="Times New Roman"/>
                  <w:sz w:val="18"/>
                  <w:szCs w:val="18"/>
                  <w:color w:val="0000EE"/>
                </w:rPr>
                <w:t>Exchange Commission on March 13, 2020)</w:t>
              </w:r>
            </w:hyperlink>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58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4.82</w:t>
            </w:r>
          </w:p>
        </w:tc>
        <w:tc>
          <w:tcPr>
            <w:tcW w:w="960" w:type="dxa"/>
            <w:vAlign w:val="bottom"/>
          </w:tcPr>
          <w:p>
            <w:pPr>
              <w:spacing w:after="0"/>
              <w:rPr>
                <w:sz w:val="24"/>
                <w:szCs w:val="24"/>
                <w:color w:val="auto"/>
              </w:rPr>
            </w:pPr>
          </w:p>
        </w:tc>
        <w:tc>
          <w:tcPr>
            <w:tcW w:w="948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357">
              <w:r>
                <w:rPr>
                  <w:rFonts w:ascii="Times New Roman" w:cs="Times New Roman" w:eastAsia="Times New Roman" w:hAnsi="Times New Roman"/>
                  <w:sz w:val="18"/>
                  <w:szCs w:val="18"/>
                  <w:color w:val="0000EE"/>
                </w:rPr>
                <w:t>Translation of the Loan Agreement between Baidu Online and Shanshan Cui dated August 20, 2019 (incorporated by reference to</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78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357">
              <w:r>
                <w:rPr>
                  <w:rFonts w:ascii="Times New Roman" w:cs="Times New Roman" w:eastAsia="Times New Roman" w:hAnsi="Times New Roman"/>
                  <w:sz w:val="18"/>
                  <w:szCs w:val="18"/>
                  <w:color w:val="0000EE"/>
                  <w:w w:val="99"/>
                </w:rPr>
                <w:t>Exhibit 4.89 of our Annual Report on Form 20-F filed with the Securities and Exchange Commission on March 13, 2020)</w:t>
              </w:r>
            </w:hyperlink>
          </w:p>
        </w:tc>
        <w:tc>
          <w:tcPr>
            <w:tcW w:w="7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4.83</w:t>
            </w:r>
          </w:p>
        </w:tc>
        <w:tc>
          <w:tcPr>
            <w:tcW w:w="960" w:type="dxa"/>
            <w:vAlign w:val="bottom"/>
          </w:tcPr>
          <w:p>
            <w:pPr>
              <w:spacing w:after="0"/>
              <w:rPr>
                <w:sz w:val="24"/>
                <w:szCs w:val="24"/>
                <w:color w:val="auto"/>
              </w:rPr>
            </w:pPr>
          </w:p>
        </w:tc>
        <w:tc>
          <w:tcPr>
            <w:tcW w:w="9480" w:type="dxa"/>
            <w:vAlign w:val="bottom"/>
            <w:gridSpan w:val="12"/>
          </w:tcPr>
          <w:p>
            <w:pPr>
              <w:spacing w:after="0"/>
              <w:rPr>
                <w:rFonts w:ascii="Times New Roman" w:cs="Times New Roman" w:eastAsia="Times New Roman" w:hAnsi="Times New Roman"/>
                <w:sz w:val="18"/>
                <w:szCs w:val="18"/>
                <w:color w:val="0000EE"/>
              </w:rPr>
            </w:pPr>
            <w:hyperlink r:id="rId358">
              <w:r>
                <w:rPr>
                  <w:rFonts w:ascii="Times New Roman" w:cs="Times New Roman" w:eastAsia="Times New Roman" w:hAnsi="Times New Roman"/>
                  <w:sz w:val="18"/>
                  <w:szCs w:val="18"/>
                  <w:color w:val="0000EE"/>
                </w:rPr>
                <w:t>Translation of the Exclusive Equity Purchase and Transfer Option Agreement among Baidu, Inc., Baidu Online, Shanshan Cui and</w:t>
              </w:r>
            </w:hyperlink>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1800" w:type="dxa"/>
            <w:vAlign w:val="bottom"/>
            <w:gridSpan w:val="2"/>
            <w:shd w:val="clear" w:color="auto" w:fill="0000EE"/>
          </w:tcPr>
          <w:p>
            <w:pPr>
              <w:spacing w:after="0" w:line="20" w:lineRule="exact"/>
              <w:rPr>
                <w:sz w:val="1"/>
                <w:szCs w:val="1"/>
                <w:color w:val="auto"/>
              </w:rPr>
            </w:pPr>
          </w:p>
        </w:tc>
        <w:tc>
          <w:tcPr>
            <w:tcW w:w="5260" w:type="dxa"/>
            <w:vAlign w:val="bottom"/>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80" w:type="dxa"/>
            <w:vAlign w:val="bottom"/>
            <w:gridSpan w:val="12"/>
          </w:tcPr>
          <w:p>
            <w:pPr>
              <w:spacing w:after="0" w:line="196" w:lineRule="exact"/>
              <w:rPr>
                <w:rFonts w:ascii="Times New Roman" w:cs="Times New Roman" w:eastAsia="Times New Roman" w:hAnsi="Times New Roman"/>
                <w:sz w:val="18"/>
                <w:szCs w:val="18"/>
                <w:color w:val="0000EE"/>
              </w:rPr>
            </w:pPr>
            <w:hyperlink r:id="rId358">
              <w:r>
                <w:rPr>
                  <w:rFonts w:ascii="Times New Roman" w:cs="Times New Roman" w:eastAsia="Times New Roman" w:hAnsi="Times New Roman"/>
                  <w:sz w:val="18"/>
                  <w:szCs w:val="18"/>
                  <w:color w:val="0000EE"/>
                </w:rPr>
                <w:t>Baidu Netcom dated August 20, 2019 (incorporated by reference to Exhibit 4.90 of our Annual Report on Form 20-F filed with the</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6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358">
              <w:r>
                <w:rPr>
                  <w:rFonts w:ascii="Times New Roman" w:cs="Times New Roman" w:eastAsia="Times New Roman" w:hAnsi="Times New Roman"/>
                  <w:sz w:val="18"/>
                  <w:szCs w:val="18"/>
                  <w:color w:val="0000EE"/>
                </w:rPr>
                <w:t>Securities and Exchange Commission on March 13, 2020)</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780" w:type="dxa"/>
            <w:vAlign w:val="bottom"/>
            <w:gridSpan w:val="4"/>
            <w:shd w:val="clear" w:color="auto" w:fill="0000EE"/>
          </w:tcPr>
          <w:p>
            <w:pPr>
              <w:spacing w:after="0" w:line="20" w:lineRule="exact"/>
              <w:rPr>
                <w:sz w:val="1"/>
                <w:szCs w:val="1"/>
                <w:color w:val="auto"/>
              </w:rPr>
            </w:pPr>
          </w:p>
        </w:tc>
        <w:tc>
          <w:tcPr>
            <w:tcW w:w="52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4.84</w:t>
            </w:r>
          </w:p>
        </w:tc>
        <w:tc>
          <w:tcPr>
            <w:tcW w:w="960" w:type="dxa"/>
            <w:vAlign w:val="bottom"/>
          </w:tcPr>
          <w:p>
            <w:pPr>
              <w:spacing w:after="0"/>
              <w:rPr>
                <w:sz w:val="24"/>
                <w:szCs w:val="24"/>
                <w:color w:val="auto"/>
              </w:rPr>
            </w:pPr>
          </w:p>
        </w:tc>
        <w:tc>
          <w:tcPr>
            <w:tcW w:w="9480" w:type="dxa"/>
            <w:vAlign w:val="bottom"/>
            <w:gridSpan w:val="12"/>
          </w:tcPr>
          <w:p>
            <w:pPr>
              <w:spacing w:after="0"/>
              <w:rPr>
                <w:rFonts w:ascii="Times New Roman" w:cs="Times New Roman" w:eastAsia="Times New Roman" w:hAnsi="Times New Roman"/>
                <w:sz w:val="18"/>
                <w:szCs w:val="18"/>
                <w:color w:val="0000EE"/>
              </w:rPr>
            </w:pPr>
            <w:hyperlink r:id="rId359">
              <w:r>
                <w:rPr>
                  <w:rFonts w:ascii="Times New Roman" w:cs="Times New Roman" w:eastAsia="Times New Roman" w:hAnsi="Times New Roman"/>
                  <w:sz w:val="18"/>
                  <w:szCs w:val="18"/>
                  <w:color w:val="0000EE"/>
                </w:rPr>
                <w:t>Translation of the Equity Pledge Agreement between Baidu Online and Shanshan Cui dated August 20, 2019 (incorporated by</w:t>
              </w:r>
            </w:hyperlink>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9040" w:type="dxa"/>
            <w:vAlign w:val="bottom"/>
            <w:gridSpan w:val="9"/>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80" w:type="dxa"/>
            <w:vAlign w:val="bottom"/>
            <w:gridSpan w:val="12"/>
          </w:tcPr>
          <w:p>
            <w:pPr>
              <w:spacing w:after="0" w:line="196" w:lineRule="exact"/>
              <w:rPr>
                <w:rFonts w:ascii="Times New Roman" w:cs="Times New Roman" w:eastAsia="Times New Roman" w:hAnsi="Times New Roman"/>
                <w:sz w:val="18"/>
                <w:szCs w:val="18"/>
                <w:color w:val="0000EE"/>
              </w:rPr>
            </w:pPr>
            <w:hyperlink r:id="rId359">
              <w:r>
                <w:rPr>
                  <w:rFonts w:ascii="Times New Roman" w:cs="Times New Roman" w:eastAsia="Times New Roman" w:hAnsi="Times New Roman"/>
                  <w:sz w:val="18"/>
                  <w:szCs w:val="18"/>
                  <w:color w:val="0000EE"/>
                </w:rPr>
                <w:t>reference to Exhibit 4.91 of our Annual Report on Form 20-F filed with the Securities and Exchange Commission on March 13,</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Borders>
              <w:top w:val="single" w:sz="8" w:color="0000EE"/>
            </w:tcBorders>
            <w:gridSpan w:val="2"/>
          </w:tcPr>
          <w:p>
            <w:pPr>
              <w:spacing w:after="0" w:line="196" w:lineRule="exact"/>
              <w:rPr>
                <w:rFonts w:ascii="Times New Roman" w:cs="Times New Roman" w:eastAsia="Times New Roman" w:hAnsi="Times New Roman"/>
                <w:sz w:val="18"/>
                <w:szCs w:val="18"/>
                <w:color w:val="0000EE"/>
                <w:w w:val="95"/>
              </w:rPr>
            </w:pPr>
            <w:hyperlink r:id="rId359">
              <w:r>
                <w:rPr>
                  <w:rFonts w:ascii="Times New Roman" w:cs="Times New Roman" w:eastAsia="Times New Roman" w:hAnsi="Times New Roman"/>
                  <w:sz w:val="18"/>
                  <w:szCs w:val="18"/>
                  <w:color w:val="0000EE"/>
                  <w:w w:val="95"/>
                </w:rPr>
                <w:t>2020)</w:t>
              </w:r>
            </w:hyperlink>
          </w:p>
        </w:tc>
        <w:tc>
          <w:tcPr>
            <w:tcW w:w="1020" w:type="dxa"/>
            <w:vAlign w:val="bottom"/>
            <w:tcBorders>
              <w:top w:val="single" w:sz="8" w:color="0000EE"/>
            </w:tcBorders>
          </w:tcPr>
          <w:p>
            <w:pPr>
              <w:spacing w:after="0"/>
              <w:rPr>
                <w:sz w:val="17"/>
                <w:szCs w:val="17"/>
                <w:color w:val="auto"/>
              </w:rPr>
            </w:pPr>
          </w:p>
        </w:tc>
        <w:tc>
          <w:tcPr>
            <w:tcW w:w="960" w:type="dxa"/>
            <w:vAlign w:val="bottom"/>
            <w:tcBorders>
              <w:top w:val="single" w:sz="8" w:color="0000EE"/>
            </w:tcBorders>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252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gridSpan w:val="2"/>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780" w:type="dxa"/>
            <w:vAlign w:val="bottom"/>
            <w:gridSpan w:val="4"/>
          </w:tcPr>
          <w:p>
            <w:pPr>
              <w:jc w:val="right"/>
              <w:ind w:right="28"/>
              <w:spacing w:after="0"/>
              <w:rPr>
                <w:sz w:val="20"/>
                <w:szCs w:val="20"/>
                <w:color w:val="auto"/>
              </w:rPr>
            </w:pPr>
            <w:r>
              <w:rPr>
                <w:rFonts w:ascii="Times New Roman" w:cs="Times New Roman" w:eastAsia="Times New Roman" w:hAnsi="Times New Roman"/>
                <w:sz w:val="18"/>
                <w:szCs w:val="18"/>
                <w:color w:val="auto"/>
              </w:rPr>
              <w:t>219</w:t>
            </w:r>
          </w:p>
        </w:tc>
        <w:tc>
          <w:tcPr>
            <w:tcW w:w="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6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0" w:type="dxa"/>
            <w:vAlign w:val="bottom"/>
          </w:tcPr>
          <w:p>
            <w:pPr>
              <w:spacing w:after="0"/>
              <w:rPr>
                <w:sz w:val="13"/>
                <w:szCs w:val="13"/>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20" w:type="dxa"/>
            <w:vAlign w:val="bottom"/>
            <w:gridSpan w:val="6"/>
            <w:vMerge w:val="restart"/>
          </w:tcPr>
          <w:p>
            <w:pPr>
              <w:ind w:left="92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0" w:type="dxa"/>
            <w:vAlign w:val="bottom"/>
          </w:tcPr>
          <w:p>
            <w:pPr>
              <w:spacing w:after="0"/>
              <w:rPr>
                <w:sz w:val="1"/>
                <w:szCs w:val="1"/>
                <w:color w:val="auto"/>
              </w:rPr>
            </w:pPr>
          </w:p>
        </w:tc>
      </w:tr>
      <w:tr>
        <w:trPr>
          <w:trHeight w:val="180"/>
        </w:trPr>
        <w:tc>
          <w:tcPr>
            <w:tcW w:w="80" w:type="dxa"/>
            <w:vAlign w:val="bottom"/>
          </w:tcPr>
          <w:p>
            <w:pPr>
              <w:spacing w:after="0"/>
              <w:rPr>
                <w:sz w:val="15"/>
                <w:szCs w:val="15"/>
                <w:color w:val="auto"/>
              </w:rPr>
            </w:pP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6420" w:type="dxa"/>
            <w:vAlign w:val="bottom"/>
            <w:tcBorders>
              <w:bottom w:val="single" w:sz="8" w:color="auto"/>
            </w:tcBorders>
            <w:gridSpan w:val="6"/>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4.86</w:t>
            </w:r>
          </w:p>
        </w:tc>
        <w:tc>
          <w:tcPr>
            <w:tcW w:w="960" w:type="dxa"/>
            <w:vAlign w:val="bottom"/>
          </w:tcPr>
          <w:p>
            <w:pPr>
              <w:spacing w:after="0"/>
              <w:rPr>
                <w:sz w:val="23"/>
                <w:szCs w:val="23"/>
                <w:color w:val="auto"/>
              </w:rPr>
            </w:pPr>
          </w:p>
        </w:tc>
        <w:tc>
          <w:tcPr>
            <w:tcW w:w="948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361">
              <w:r>
                <w:rPr>
                  <w:rFonts w:ascii="Times New Roman" w:cs="Times New Roman" w:eastAsia="Times New Roman" w:hAnsi="Times New Roman"/>
                  <w:sz w:val="18"/>
                  <w:szCs w:val="18"/>
                  <w:color w:val="0000EE"/>
                </w:rPr>
                <w:t>Translation of Termination Agreement among Baidu Online, Beijing Perusal, Zhixiang Liang, Lu Wang and our company, dated</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8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361">
              <w:r>
                <w:rPr>
                  <w:rFonts w:ascii="Times New Roman" w:cs="Times New Roman" w:eastAsia="Times New Roman" w:hAnsi="Times New Roman"/>
                  <w:sz w:val="18"/>
                  <w:szCs w:val="18"/>
                  <w:color w:val="0000EE"/>
                </w:rPr>
                <w:t>October 30, 2019 (incorporated by reference to Exhibit 4.86 of our Annual Report on Form 20-F filed with the Securities and</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6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361">
              <w:r>
                <w:rPr>
                  <w:rFonts w:ascii="Times New Roman" w:cs="Times New Roman" w:eastAsia="Times New Roman" w:hAnsi="Times New Roman"/>
                  <w:sz w:val="18"/>
                  <w:szCs w:val="18"/>
                  <w:color w:val="0000EE"/>
                  <w:w w:val="99"/>
                </w:rPr>
                <w:t>Exchange Commission on March 9, 2021)</w:t>
              </w:r>
            </w:hyperlink>
          </w:p>
        </w:tc>
        <w:tc>
          <w:tcPr>
            <w:tcW w:w="642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4.87</w:t>
            </w:r>
          </w:p>
        </w:tc>
        <w:tc>
          <w:tcPr>
            <w:tcW w:w="960" w:type="dxa"/>
            <w:vAlign w:val="bottom"/>
          </w:tcPr>
          <w:p>
            <w:pPr>
              <w:spacing w:after="0"/>
              <w:rPr>
                <w:sz w:val="24"/>
                <w:szCs w:val="24"/>
                <w:color w:val="auto"/>
              </w:rPr>
            </w:pPr>
          </w:p>
        </w:tc>
        <w:tc>
          <w:tcPr>
            <w:tcW w:w="9480" w:type="dxa"/>
            <w:vAlign w:val="bottom"/>
            <w:gridSpan w:val="10"/>
          </w:tcPr>
          <w:p>
            <w:pPr>
              <w:spacing w:after="0"/>
              <w:rPr>
                <w:rFonts w:ascii="Times New Roman" w:cs="Times New Roman" w:eastAsia="Times New Roman" w:hAnsi="Times New Roman"/>
                <w:sz w:val="18"/>
                <w:szCs w:val="18"/>
                <w:color w:val="0000EE"/>
              </w:rPr>
            </w:pPr>
            <w:hyperlink r:id="rId362">
              <w:r>
                <w:rPr>
                  <w:rFonts w:ascii="Times New Roman" w:cs="Times New Roman" w:eastAsia="Times New Roman" w:hAnsi="Times New Roman"/>
                  <w:sz w:val="18"/>
                  <w:szCs w:val="18"/>
                  <w:color w:val="0000EE"/>
                </w:rPr>
                <w:t>Translation of Operating Agreement among Baidu Online, Beijing Perusal, Zhixiang Liang and Shanshan Cui, dated October 30,</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6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362">
              <w:r>
                <w:rPr>
                  <w:rFonts w:ascii="Times New Roman" w:cs="Times New Roman" w:eastAsia="Times New Roman" w:hAnsi="Times New Roman"/>
                  <w:sz w:val="18"/>
                  <w:szCs w:val="18"/>
                  <w:color w:val="0000EE"/>
                </w:rPr>
                <w:t>2019 (incorporated by reference to Exhibit 4.87 of our Annual Report on Form 20-F filed with the Securities and Exchange</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80" w:type="dxa"/>
            <w:vAlign w:val="bottom"/>
            <w:gridSpan w:val="10"/>
          </w:tcPr>
          <w:p>
            <w:pPr>
              <w:spacing w:after="0" w:line="196" w:lineRule="exact"/>
              <w:rPr>
                <w:rFonts w:ascii="Times New Roman" w:cs="Times New Roman" w:eastAsia="Times New Roman" w:hAnsi="Times New Roman"/>
                <w:sz w:val="18"/>
                <w:szCs w:val="18"/>
                <w:color w:val="0000EE"/>
              </w:rPr>
            </w:pPr>
            <w:hyperlink r:id="rId362">
              <w:r>
                <w:rPr>
                  <w:rFonts w:ascii="Times New Roman" w:cs="Times New Roman" w:eastAsia="Times New Roman" w:hAnsi="Times New Roman"/>
                  <w:sz w:val="18"/>
                  <w:szCs w:val="18"/>
                  <w:color w:val="0000EE"/>
                </w:rPr>
                <w:t>Commission on March 9, 2021)</w:t>
              </w:r>
            </w:hyperlink>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4.88</w:t>
            </w:r>
          </w:p>
        </w:tc>
        <w:tc>
          <w:tcPr>
            <w:tcW w:w="960" w:type="dxa"/>
            <w:vAlign w:val="bottom"/>
          </w:tcPr>
          <w:p>
            <w:pPr>
              <w:spacing w:after="0"/>
              <w:rPr>
                <w:sz w:val="24"/>
                <w:szCs w:val="24"/>
                <w:color w:val="auto"/>
              </w:rPr>
            </w:pPr>
          </w:p>
        </w:tc>
        <w:tc>
          <w:tcPr>
            <w:tcW w:w="9480" w:type="dxa"/>
            <w:vAlign w:val="bottom"/>
            <w:gridSpan w:val="10"/>
          </w:tcPr>
          <w:p>
            <w:pPr>
              <w:spacing w:after="0"/>
              <w:rPr>
                <w:rFonts w:ascii="Times New Roman" w:cs="Times New Roman" w:eastAsia="Times New Roman" w:hAnsi="Times New Roman"/>
                <w:sz w:val="18"/>
                <w:szCs w:val="18"/>
                <w:color w:val="0000EE"/>
              </w:rPr>
            </w:pPr>
            <w:hyperlink r:id="rId363">
              <w:r>
                <w:rPr>
                  <w:rFonts w:ascii="Times New Roman" w:cs="Times New Roman" w:eastAsia="Times New Roman" w:hAnsi="Times New Roman"/>
                  <w:sz w:val="18"/>
                  <w:szCs w:val="18"/>
                  <w:color w:val="0000EE"/>
                </w:rPr>
                <w:t>Translation of Loan Agreement between Baidu Online and Shanshan Cui, dated October 30, 2019 (incorporated by reference to</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60" w:type="dxa"/>
            <w:vAlign w:val="bottom"/>
            <w:tcBorders>
              <w:top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363">
              <w:r>
                <w:rPr>
                  <w:rFonts w:ascii="Times New Roman" w:cs="Times New Roman" w:eastAsia="Times New Roman" w:hAnsi="Times New Roman"/>
                  <w:sz w:val="18"/>
                  <w:szCs w:val="18"/>
                  <w:color w:val="0000EE"/>
                </w:rPr>
                <w:t>Exhibit 4.88 of our Annual Report on Form 20-F filed with the Securities and Exchange Commission on March 9, 2021)</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3340" w:type="dxa"/>
            <w:vAlign w:val="bottom"/>
            <w:gridSpan w:val="3"/>
            <w:shd w:val="clear" w:color="auto" w:fill="0000EE"/>
          </w:tcPr>
          <w:p>
            <w:pPr>
              <w:spacing w:after="0" w:line="20" w:lineRule="exact"/>
              <w:rPr>
                <w:sz w:val="1"/>
                <w:szCs w:val="1"/>
                <w:color w:val="auto"/>
              </w:rPr>
            </w:pPr>
          </w:p>
        </w:tc>
        <w:tc>
          <w:tcPr>
            <w:tcW w:w="35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4.89</w:t>
            </w:r>
          </w:p>
        </w:tc>
        <w:tc>
          <w:tcPr>
            <w:tcW w:w="960" w:type="dxa"/>
            <w:vAlign w:val="bottom"/>
          </w:tcPr>
          <w:p>
            <w:pPr>
              <w:spacing w:after="0"/>
              <w:rPr>
                <w:sz w:val="24"/>
                <w:szCs w:val="24"/>
                <w:color w:val="auto"/>
              </w:rPr>
            </w:pPr>
          </w:p>
        </w:tc>
        <w:tc>
          <w:tcPr>
            <w:tcW w:w="946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rPr>
            </w:pPr>
            <w:hyperlink r:id="rId364">
              <w:r>
                <w:rPr>
                  <w:rFonts w:ascii="Times New Roman" w:cs="Times New Roman" w:eastAsia="Times New Roman" w:hAnsi="Times New Roman"/>
                  <w:sz w:val="18"/>
                  <w:szCs w:val="18"/>
                  <w:color w:val="0000EE"/>
                </w:rPr>
                <w:t>Translation of Proxy Agreement between our company and Shanshan Cui, dated October 30, 2019 (incorporated by reference to</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80" w:type="dxa"/>
            <w:vAlign w:val="bottom"/>
            <w:gridSpan w:val="10"/>
          </w:tcPr>
          <w:p>
            <w:pPr>
              <w:spacing w:after="0" w:line="196" w:lineRule="exact"/>
              <w:rPr>
                <w:rFonts w:ascii="Times New Roman" w:cs="Times New Roman" w:eastAsia="Times New Roman" w:hAnsi="Times New Roman"/>
                <w:sz w:val="18"/>
                <w:szCs w:val="18"/>
                <w:color w:val="0000EE"/>
              </w:rPr>
            </w:pPr>
            <w:hyperlink r:id="rId364">
              <w:r>
                <w:rPr>
                  <w:rFonts w:ascii="Times New Roman" w:cs="Times New Roman" w:eastAsia="Times New Roman" w:hAnsi="Times New Roman"/>
                  <w:sz w:val="18"/>
                  <w:szCs w:val="18"/>
                  <w:color w:val="0000EE"/>
                </w:rPr>
                <w:t>Exhibit 4.89 of our Annual Report on Form 20-F filed with the Securities and Exchange Commission on March 9, 2021)</w:t>
              </w:r>
            </w:hyperlink>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3340" w:type="dxa"/>
            <w:vAlign w:val="bottom"/>
            <w:gridSpan w:val="3"/>
            <w:shd w:val="clear" w:color="auto" w:fill="0000EE"/>
          </w:tcPr>
          <w:p>
            <w:pPr>
              <w:spacing w:after="0" w:line="20" w:lineRule="exact"/>
              <w:rPr>
                <w:sz w:val="1"/>
                <w:szCs w:val="1"/>
                <w:color w:val="auto"/>
              </w:rPr>
            </w:pPr>
          </w:p>
        </w:tc>
        <w:tc>
          <w:tcPr>
            <w:tcW w:w="35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4.90</w:t>
            </w:r>
          </w:p>
        </w:tc>
        <w:tc>
          <w:tcPr>
            <w:tcW w:w="960" w:type="dxa"/>
            <w:vAlign w:val="bottom"/>
          </w:tcPr>
          <w:p>
            <w:pPr>
              <w:spacing w:after="0"/>
              <w:rPr>
                <w:sz w:val="24"/>
                <w:szCs w:val="24"/>
                <w:color w:val="auto"/>
              </w:rPr>
            </w:pPr>
          </w:p>
        </w:tc>
        <w:tc>
          <w:tcPr>
            <w:tcW w:w="948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365">
              <w:r>
                <w:rPr>
                  <w:rFonts w:ascii="Times New Roman" w:cs="Times New Roman" w:eastAsia="Times New Roman" w:hAnsi="Times New Roman"/>
                  <w:sz w:val="18"/>
                  <w:szCs w:val="18"/>
                  <w:color w:val="0000EE"/>
                </w:rPr>
                <w:t>Translation of the Exclusive Equity Purchase and Transfer Option Agreement among our company, Baidu Online, Shanshan Cui</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8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365">
              <w:r>
                <w:rPr>
                  <w:rFonts w:ascii="Times New Roman" w:cs="Times New Roman" w:eastAsia="Times New Roman" w:hAnsi="Times New Roman"/>
                  <w:sz w:val="18"/>
                  <w:szCs w:val="18"/>
                  <w:color w:val="0000EE"/>
                </w:rPr>
                <w:t>and Beijing Perusal, dated October 30, 2019 (incorporated by reference to Exhibit 4.90 of our Annual Report on Form 20-F filed</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80" w:type="dxa"/>
            <w:vAlign w:val="bottom"/>
            <w:gridSpan w:val="10"/>
          </w:tcPr>
          <w:p>
            <w:pPr>
              <w:spacing w:after="0" w:line="196" w:lineRule="exact"/>
              <w:rPr>
                <w:rFonts w:ascii="Times New Roman" w:cs="Times New Roman" w:eastAsia="Times New Roman" w:hAnsi="Times New Roman"/>
                <w:sz w:val="18"/>
                <w:szCs w:val="18"/>
                <w:color w:val="0000EE"/>
              </w:rPr>
            </w:pPr>
            <w:hyperlink r:id="rId365">
              <w:r>
                <w:rPr>
                  <w:rFonts w:ascii="Times New Roman" w:cs="Times New Roman" w:eastAsia="Times New Roman" w:hAnsi="Times New Roman"/>
                  <w:sz w:val="18"/>
                  <w:szCs w:val="18"/>
                  <w:color w:val="0000EE"/>
                </w:rPr>
                <w:t>with the Securities and Exchange Commission on March 9, 2021)</w:t>
              </w:r>
            </w:hyperlink>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3340" w:type="dxa"/>
            <w:vAlign w:val="bottom"/>
            <w:gridSpan w:val="3"/>
            <w:shd w:val="clear" w:color="auto" w:fill="0000EE"/>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4.91</w:t>
            </w:r>
          </w:p>
        </w:tc>
        <w:tc>
          <w:tcPr>
            <w:tcW w:w="960" w:type="dxa"/>
            <w:vAlign w:val="bottom"/>
          </w:tcPr>
          <w:p>
            <w:pPr>
              <w:spacing w:after="0"/>
              <w:rPr>
                <w:sz w:val="24"/>
                <w:szCs w:val="24"/>
                <w:color w:val="auto"/>
              </w:rPr>
            </w:pPr>
          </w:p>
        </w:tc>
        <w:tc>
          <w:tcPr>
            <w:tcW w:w="946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rPr>
            </w:pPr>
            <w:hyperlink r:id="rId366">
              <w:r>
                <w:rPr>
                  <w:rFonts w:ascii="Times New Roman" w:cs="Times New Roman" w:eastAsia="Times New Roman" w:hAnsi="Times New Roman"/>
                  <w:sz w:val="18"/>
                  <w:szCs w:val="18"/>
                  <w:color w:val="0000EE"/>
                </w:rPr>
                <w:t>Translation of Pledge Agreement between Baidu Online and Shanshan Cui, dated October 30, 2019 (incorporated by reference to</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80" w:type="dxa"/>
            <w:vAlign w:val="bottom"/>
            <w:gridSpan w:val="10"/>
          </w:tcPr>
          <w:p>
            <w:pPr>
              <w:spacing w:after="0" w:line="196" w:lineRule="exact"/>
              <w:rPr>
                <w:rFonts w:ascii="Times New Roman" w:cs="Times New Roman" w:eastAsia="Times New Roman" w:hAnsi="Times New Roman"/>
                <w:sz w:val="18"/>
                <w:szCs w:val="18"/>
                <w:color w:val="0000EE"/>
              </w:rPr>
            </w:pPr>
            <w:hyperlink r:id="rId366">
              <w:r>
                <w:rPr>
                  <w:rFonts w:ascii="Times New Roman" w:cs="Times New Roman" w:eastAsia="Times New Roman" w:hAnsi="Times New Roman"/>
                  <w:sz w:val="18"/>
                  <w:szCs w:val="18"/>
                  <w:color w:val="0000EE"/>
                </w:rPr>
                <w:t>Exhibit 4.91 of our Annual Report on Form 20-F filed with the Securities and Exchange Commission on March 9, 2021)</w:t>
              </w:r>
            </w:hyperlink>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6880" w:type="dxa"/>
            <w:vAlign w:val="bottom"/>
            <w:gridSpan w:val="4"/>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4.92</w:t>
            </w:r>
          </w:p>
        </w:tc>
        <w:tc>
          <w:tcPr>
            <w:tcW w:w="960" w:type="dxa"/>
            <w:vAlign w:val="bottom"/>
          </w:tcPr>
          <w:p>
            <w:pPr>
              <w:spacing w:after="0"/>
              <w:rPr>
                <w:sz w:val="24"/>
                <w:szCs w:val="24"/>
                <w:color w:val="auto"/>
              </w:rPr>
            </w:pPr>
          </w:p>
        </w:tc>
        <w:tc>
          <w:tcPr>
            <w:tcW w:w="948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367">
              <w:r>
                <w:rPr>
                  <w:rFonts w:ascii="Times New Roman" w:cs="Times New Roman" w:eastAsia="Times New Roman" w:hAnsi="Times New Roman"/>
                  <w:sz w:val="18"/>
                  <w:szCs w:val="18"/>
                  <w:color w:val="0000EE"/>
                </w:rPr>
                <w:t>Translation of Irrevocable Power of Attorney issued by Zhixiang Liang, an individual shareholder of Beijing Perusal, dated</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8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367">
              <w:r>
                <w:rPr>
                  <w:rFonts w:ascii="Times New Roman" w:cs="Times New Roman" w:eastAsia="Times New Roman" w:hAnsi="Times New Roman"/>
                  <w:sz w:val="18"/>
                  <w:szCs w:val="18"/>
                  <w:color w:val="0000EE"/>
                </w:rPr>
                <w:t>October 30, 2019 (incorporated by reference to Exhibit 4.92 of our Annual Report on Form 20-F filed with the Securities and</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6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367">
              <w:r>
                <w:rPr>
                  <w:rFonts w:ascii="Times New Roman" w:cs="Times New Roman" w:eastAsia="Times New Roman" w:hAnsi="Times New Roman"/>
                  <w:sz w:val="18"/>
                  <w:szCs w:val="18"/>
                  <w:color w:val="0000EE"/>
                  <w:w w:val="99"/>
                </w:rPr>
                <w:t>Exchange Commission on March 9, 2021)</w:t>
              </w:r>
            </w:hyperlink>
          </w:p>
        </w:tc>
        <w:tc>
          <w:tcPr>
            <w:tcW w:w="642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4.93</w:t>
            </w:r>
          </w:p>
        </w:tc>
        <w:tc>
          <w:tcPr>
            <w:tcW w:w="960" w:type="dxa"/>
            <w:vAlign w:val="bottom"/>
          </w:tcPr>
          <w:p>
            <w:pPr>
              <w:spacing w:after="0"/>
              <w:rPr>
                <w:sz w:val="24"/>
                <w:szCs w:val="24"/>
                <w:color w:val="auto"/>
              </w:rPr>
            </w:pPr>
          </w:p>
        </w:tc>
        <w:tc>
          <w:tcPr>
            <w:tcW w:w="948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368">
              <w:r>
                <w:rPr>
                  <w:rFonts w:ascii="Times New Roman" w:cs="Times New Roman" w:eastAsia="Times New Roman" w:hAnsi="Times New Roman"/>
                  <w:sz w:val="18"/>
                  <w:szCs w:val="18"/>
                  <w:color w:val="0000EE"/>
                </w:rPr>
                <w:t>Translation of Irrevocable Power of Attorney issued by Shanshan Cui, an individual shareholder of Beijing Perusal, dated</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8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368">
              <w:r>
                <w:rPr>
                  <w:rFonts w:ascii="Times New Roman" w:cs="Times New Roman" w:eastAsia="Times New Roman" w:hAnsi="Times New Roman"/>
                  <w:sz w:val="18"/>
                  <w:szCs w:val="18"/>
                  <w:color w:val="0000EE"/>
                </w:rPr>
                <w:t>October 30, 2019 (incorporated by reference to Exhibit 4.93 of our Annual Report on Form 20-F filed with the Securities and</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6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368">
              <w:r>
                <w:rPr>
                  <w:rFonts w:ascii="Times New Roman" w:cs="Times New Roman" w:eastAsia="Times New Roman" w:hAnsi="Times New Roman"/>
                  <w:sz w:val="18"/>
                  <w:szCs w:val="18"/>
                  <w:color w:val="0000EE"/>
                  <w:w w:val="99"/>
                </w:rPr>
                <w:t>Exchange Commission on March 9, 2021)</w:t>
              </w:r>
            </w:hyperlink>
          </w:p>
        </w:tc>
        <w:tc>
          <w:tcPr>
            <w:tcW w:w="642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4.94</w:t>
            </w:r>
          </w:p>
        </w:tc>
        <w:tc>
          <w:tcPr>
            <w:tcW w:w="960" w:type="dxa"/>
            <w:vAlign w:val="bottom"/>
          </w:tcPr>
          <w:p>
            <w:pPr>
              <w:spacing w:after="0"/>
              <w:rPr>
                <w:sz w:val="24"/>
                <w:szCs w:val="24"/>
                <w:color w:val="auto"/>
              </w:rPr>
            </w:pPr>
          </w:p>
        </w:tc>
        <w:tc>
          <w:tcPr>
            <w:tcW w:w="948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369">
              <w:r>
                <w:rPr>
                  <w:rFonts w:ascii="Times New Roman" w:cs="Times New Roman" w:eastAsia="Times New Roman" w:hAnsi="Times New Roman"/>
                  <w:sz w:val="18"/>
                  <w:szCs w:val="18"/>
                  <w:color w:val="0000EE"/>
                </w:rPr>
                <w:t>Translation of Exclusive Technology Consulting and Services Agreement, effective on December 1, 2011, between Beijing QIYI</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8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369">
              <w:r>
                <w:rPr>
                  <w:rFonts w:ascii="Times New Roman" w:cs="Times New Roman" w:eastAsia="Times New Roman" w:hAnsi="Times New Roman"/>
                  <w:sz w:val="18"/>
                  <w:szCs w:val="18"/>
                  <w:color w:val="0000EE"/>
                </w:rPr>
                <w:t>Century and Beijing Xinlian Xinde Advertisement Media Co., Ltd. (later renamed as Beijing iQIYI) (incorporated herein by</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8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369">
              <w:r>
                <w:rPr>
                  <w:rFonts w:ascii="Times New Roman" w:cs="Times New Roman" w:eastAsia="Times New Roman" w:hAnsi="Times New Roman"/>
                  <w:sz w:val="18"/>
                  <w:szCs w:val="18"/>
                  <w:color w:val="0000EE"/>
                </w:rPr>
                <w:t>reference to Exhibit 10.49 to the registration statement on Form F-1 (File No. 333-223263) filed by iQIYI, Inc. with the SEC on</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369">
              <w:r>
                <w:rPr>
                  <w:rFonts w:ascii="Times New Roman" w:cs="Times New Roman" w:eastAsia="Times New Roman" w:hAnsi="Times New Roman"/>
                  <w:sz w:val="18"/>
                  <w:szCs w:val="18"/>
                  <w:color w:val="0000EE"/>
                  <w:w w:val="99"/>
                </w:rPr>
                <w:t>February 27, 2018)</w:t>
              </w:r>
            </w:hyperlink>
          </w:p>
        </w:tc>
        <w:tc>
          <w:tcPr>
            <w:tcW w:w="808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4.95</w:t>
            </w:r>
          </w:p>
        </w:tc>
        <w:tc>
          <w:tcPr>
            <w:tcW w:w="960" w:type="dxa"/>
            <w:vAlign w:val="bottom"/>
          </w:tcPr>
          <w:p>
            <w:pPr>
              <w:spacing w:after="0"/>
              <w:rPr>
                <w:sz w:val="24"/>
                <w:szCs w:val="24"/>
                <w:color w:val="auto"/>
              </w:rPr>
            </w:pPr>
          </w:p>
        </w:tc>
        <w:tc>
          <w:tcPr>
            <w:tcW w:w="948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370">
              <w:r>
                <w:rPr>
                  <w:rFonts w:ascii="Times New Roman" w:cs="Times New Roman" w:eastAsia="Times New Roman" w:hAnsi="Times New Roman"/>
                  <w:sz w:val="18"/>
                  <w:szCs w:val="18"/>
                  <w:color w:val="0000EE"/>
                </w:rPr>
                <w:t>Translation of Software Licensing Agreement, effective on December 1, 2011, between Beijing QIYI Century and Beijing Xinlian</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8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370">
              <w:r>
                <w:rPr>
                  <w:rFonts w:ascii="Times New Roman" w:cs="Times New Roman" w:eastAsia="Times New Roman" w:hAnsi="Times New Roman"/>
                  <w:sz w:val="18"/>
                  <w:szCs w:val="18"/>
                  <w:color w:val="0000EE"/>
                </w:rPr>
                <w:t>Xinde Advertisement Media Co., Ltd. (later renamed as Beijing iQIYI) (incorporated herein by reference to Exhibit 10.50 to the</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80" w:type="dxa"/>
            <w:vAlign w:val="bottom"/>
            <w:gridSpan w:val="10"/>
          </w:tcPr>
          <w:p>
            <w:pPr>
              <w:spacing w:after="0" w:line="196" w:lineRule="exact"/>
              <w:rPr>
                <w:rFonts w:ascii="Times New Roman" w:cs="Times New Roman" w:eastAsia="Times New Roman" w:hAnsi="Times New Roman"/>
                <w:sz w:val="18"/>
                <w:szCs w:val="18"/>
                <w:color w:val="0000EE"/>
              </w:rPr>
            </w:pPr>
            <w:hyperlink r:id="rId370">
              <w:r>
                <w:rPr>
                  <w:rFonts w:ascii="Times New Roman" w:cs="Times New Roman" w:eastAsia="Times New Roman" w:hAnsi="Times New Roman"/>
                  <w:sz w:val="18"/>
                  <w:szCs w:val="18"/>
                  <w:color w:val="0000EE"/>
                </w:rPr>
                <w:t>registration statement on Form F-1 (File No. 333-223263) filed by iQIYI, Inc. with the SEC on February 27, 2018)</w:t>
              </w:r>
            </w:hyperlink>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280" w:type="dxa"/>
            <w:vAlign w:val="bottom"/>
            <w:gridSpan w:val="6"/>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4.96</w:t>
            </w:r>
          </w:p>
        </w:tc>
        <w:tc>
          <w:tcPr>
            <w:tcW w:w="960" w:type="dxa"/>
            <w:vAlign w:val="bottom"/>
          </w:tcPr>
          <w:p>
            <w:pPr>
              <w:spacing w:after="0"/>
              <w:rPr>
                <w:sz w:val="24"/>
                <w:szCs w:val="24"/>
                <w:color w:val="auto"/>
              </w:rPr>
            </w:pPr>
          </w:p>
        </w:tc>
        <w:tc>
          <w:tcPr>
            <w:tcW w:w="948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371">
              <w:r>
                <w:rPr>
                  <w:rFonts w:ascii="Times New Roman" w:cs="Times New Roman" w:eastAsia="Times New Roman" w:hAnsi="Times New Roman"/>
                  <w:sz w:val="18"/>
                  <w:szCs w:val="18"/>
                  <w:color w:val="0000EE"/>
                </w:rPr>
                <w:t>Translation of Trademark Licensing Agreement, effective on December 1, 2011, between Beijing QIYI Century and Beijing</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8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371">
              <w:r>
                <w:rPr>
                  <w:rFonts w:ascii="Times New Roman" w:cs="Times New Roman" w:eastAsia="Times New Roman" w:hAnsi="Times New Roman"/>
                  <w:sz w:val="18"/>
                  <w:szCs w:val="18"/>
                  <w:color w:val="0000EE"/>
                </w:rPr>
                <w:t>Xinlian Xinde Advertisement Media Co., Ltd. (later renamed as Beijing iQIYI) (incorporated herein by reference to Exhibit 10.51</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74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371">
              <w:r>
                <w:rPr>
                  <w:rFonts w:ascii="Times New Roman" w:cs="Times New Roman" w:eastAsia="Times New Roman" w:hAnsi="Times New Roman"/>
                  <w:sz w:val="18"/>
                  <w:szCs w:val="18"/>
                  <w:color w:val="0000EE"/>
                  <w:w w:val="99"/>
                </w:rPr>
                <w:t>to the registration statement on Form F-1 (File No. 333-223263) filed by iQIYI, Inc. with the SEC on February 27, 2018)</w:t>
              </w:r>
            </w:hyperlink>
          </w:p>
        </w:tc>
        <w:tc>
          <w:tcPr>
            <w:tcW w:w="7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4.97</w:t>
            </w:r>
          </w:p>
        </w:tc>
        <w:tc>
          <w:tcPr>
            <w:tcW w:w="960" w:type="dxa"/>
            <w:vAlign w:val="bottom"/>
          </w:tcPr>
          <w:p>
            <w:pPr>
              <w:spacing w:after="0"/>
              <w:rPr>
                <w:sz w:val="24"/>
                <w:szCs w:val="24"/>
                <w:color w:val="auto"/>
              </w:rPr>
            </w:pPr>
          </w:p>
        </w:tc>
        <w:tc>
          <w:tcPr>
            <w:tcW w:w="9480" w:type="dxa"/>
            <w:vAlign w:val="bottom"/>
            <w:gridSpan w:val="10"/>
          </w:tcPr>
          <w:p>
            <w:pPr>
              <w:spacing w:after="0"/>
              <w:rPr>
                <w:rFonts w:ascii="Times New Roman" w:cs="Times New Roman" w:eastAsia="Times New Roman" w:hAnsi="Times New Roman"/>
                <w:sz w:val="18"/>
                <w:szCs w:val="18"/>
                <w:color w:val="0000EE"/>
              </w:rPr>
            </w:pPr>
            <w:hyperlink r:id="rId372">
              <w:r>
                <w:rPr>
                  <w:rFonts w:ascii="Times New Roman" w:cs="Times New Roman" w:eastAsia="Times New Roman" w:hAnsi="Times New Roman"/>
                  <w:sz w:val="18"/>
                  <w:szCs w:val="18"/>
                  <w:color w:val="0000EE"/>
                </w:rPr>
                <w:t>Translation of Business Cooperation Agreement, effective on December 1, 2011, between Beijing QIYI Century and Beijing</w:t>
              </w:r>
            </w:hyperlink>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740" w:type="dxa"/>
            <w:vAlign w:val="bottom"/>
            <w:gridSpan w:val="8"/>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8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372">
              <w:r>
                <w:rPr>
                  <w:rFonts w:ascii="Times New Roman" w:cs="Times New Roman" w:eastAsia="Times New Roman" w:hAnsi="Times New Roman"/>
                  <w:sz w:val="18"/>
                  <w:szCs w:val="18"/>
                  <w:color w:val="0000EE"/>
                </w:rPr>
                <w:t>Xinlian Xinde Advertisement Media Co., Ltd. (later renamed as Beijing iQIYI) (incorporated herein by reference to Exhibit 10.52</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80" w:type="dxa"/>
            <w:vAlign w:val="bottom"/>
            <w:gridSpan w:val="10"/>
          </w:tcPr>
          <w:p>
            <w:pPr>
              <w:spacing w:after="0" w:line="196" w:lineRule="exact"/>
              <w:rPr>
                <w:rFonts w:ascii="Times New Roman" w:cs="Times New Roman" w:eastAsia="Times New Roman" w:hAnsi="Times New Roman"/>
                <w:sz w:val="18"/>
                <w:szCs w:val="18"/>
                <w:color w:val="0000EE"/>
              </w:rPr>
            </w:pPr>
            <w:hyperlink r:id="rId372">
              <w:r>
                <w:rPr>
                  <w:rFonts w:ascii="Times New Roman" w:cs="Times New Roman" w:eastAsia="Times New Roman" w:hAnsi="Times New Roman"/>
                  <w:sz w:val="18"/>
                  <w:szCs w:val="18"/>
                  <w:color w:val="0000EE"/>
                </w:rPr>
                <w:t>to the registration statement on Form F-1 (File No. 333-223263) filed by iQIYI, Inc. with the SEC on February 27, 2018)</w:t>
              </w:r>
            </w:hyperlink>
          </w:p>
        </w:tc>
        <w:tc>
          <w:tcPr>
            <w:tcW w:w="0" w:type="dxa"/>
            <w:vAlign w:val="bottom"/>
          </w:tcPr>
          <w:p>
            <w:pPr>
              <w:spacing w:after="0"/>
              <w:rPr>
                <w:sz w:val="1"/>
                <w:szCs w:val="1"/>
                <w:color w:val="auto"/>
              </w:rPr>
            </w:pPr>
          </w:p>
        </w:tc>
      </w:tr>
      <w:tr>
        <w:trPr>
          <w:trHeight w:val="385"/>
        </w:trPr>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gridSpan w:val="2"/>
          </w:tcPr>
          <w:p>
            <w:pPr>
              <w:spacing w:after="0"/>
              <w:rPr>
                <w:sz w:val="24"/>
                <w:szCs w:val="24"/>
                <w:color w:val="auto"/>
              </w:rPr>
            </w:pPr>
          </w:p>
        </w:tc>
        <w:tc>
          <w:tcPr>
            <w:tcW w:w="4720" w:type="dxa"/>
            <w:vAlign w:val="bottom"/>
            <w:tcBorders>
              <w:top w:val="single" w:sz="8" w:color="0000EE"/>
            </w:tcBorders>
            <w:gridSpan w:val="4"/>
          </w:tcPr>
          <w:p>
            <w:pPr>
              <w:jc w:val="right"/>
              <w:ind w:right="568"/>
              <w:spacing w:after="0"/>
              <w:rPr>
                <w:sz w:val="20"/>
                <w:szCs w:val="20"/>
                <w:color w:val="auto"/>
              </w:rPr>
            </w:pPr>
            <w:r>
              <w:rPr>
                <w:rFonts w:ascii="Times New Roman" w:cs="Times New Roman" w:eastAsia="Times New Roman" w:hAnsi="Times New Roman"/>
                <w:sz w:val="18"/>
                <w:szCs w:val="18"/>
                <w:color w:val="auto"/>
              </w:rPr>
              <w:t>220</w:t>
            </w:r>
          </w:p>
        </w:tc>
        <w:tc>
          <w:tcPr>
            <w:tcW w:w="35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7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40" w:type="dxa"/>
            <w:vAlign w:val="bottom"/>
          </w:tcPr>
          <w:p>
            <w:pPr>
              <w:spacing w:after="0"/>
              <w:rPr>
                <w:sz w:val="13"/>
                <w:szCs w:val="13"/>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540" w:type="dxa"/>
            <w:vAlign w:val="bottom"/>
            <w:gridSpan w:val="6"/>
            <w:vMerge w:val="restart"/>
          </w:tcPr>
          <w:p>
            <w:pPr>
              <w:ind w:left="104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0" w:type="dxa"/>
            <w:vAlign w:val="bottom"/>
          </w:tcPr>
          <w:p>
            <w:pPr>
              <w:spacing w:after="0"/>
              <w:rPr>
                <w:sz w:val="1"/>
                <w:szCs w:val="1"/>
                <w:color w:val="auto"/>
              </w:rPr>
            </w:pPr>
          </w:p>
        </w:tc>
      </w:tr>
      <w:tr>
        <w:trPr>
          <w:trHeight w:val="180"/>
        </w:trPr>
        <w:tc>
          <w:tcPr>
            <w:tcW w:w="140" w:type="dxa"/>
            <w:vAlign w:val="bottom"/>
          </w:tcPr>
          <w:p>
            <w:pPr>
              <w:spacing w:after="0"/>
              <w:rPr>
                <w:sz w:val="15"/>
                <w:szCs w:val="15"/>
                <w:color w:val="auto"/>
              </w:rPr>
            </w:pPr>
          </w:p>
        </w:tc>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6540" w:type="dxa"/>
            <w:vAlign w:val="bottom"/>
            <w:tcBorders>
              <w:bottom w:val="single" w:sz="8" w:color="auto"/>
            </w:tcBorders>
            <w:gridSpan w:val="6"/>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4.98</w:t>
            </w:r>
          </w:p>
        </w:tc>
        <w:tc>
          <w:tcPr>
            <w:tcW w:w="900" w:type="dxa"/>
            <w:vAlign w:val="bottom"/>
          </w:tcPr>
          <w:p>
            <w:pPr>
              <w:spacing w:after="0"/>
              <w:rPr>
                <w:sz w:val="23"/>
                <w:szCs w:val="23"/>
                <w:color w:val="auto"/>
              </w:rPr>
            </w:pPr>
          </w:p>
        </w:tc>
        <w:tc>
          <w:tcPr>
            <w:tcW w:w="948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374">
              <w:r>
                <w:rPr>
                  <w:rFonts w:ascii="Times New Roman" w:cs="Times New Roman" w:eastAsia="Times New Roman" w:hAnsi="Times New Roman"/>
                  <w:sz w:val="18"/>
                  <w:szCs w:val="18"/>
                  <w:color w:val="0000EE"/>
                </w:rPr>
                <w:t>Translation of Amended and Restated Shareholder Voting Rights Trust Agreement between Beijing QIYI Century and Xiaohua</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4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374">
              <w:r>
                <w:rPr>
                  <w:rFonts w:ascii="Times New Roman" w:cs="Times New Roman" w:eastAsia="Times New Roman" w:hAnsi="Times New Roman"/>
                  <w:sz w:val="18"/>
                  <w:szCs w:val="18"/>
                  <w:color w:val="0000EE"/>
                </w:rPr>
                <w:t>Geng, dated January 30, 2013 (incorporated herein by reference to Exhibit 10.7 to the registration statement on Form F-1 (File</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480" w:type="dxa"/>
            <w:vAlign w:val="bottom"/>
            <w:gridSpan w:val="11"/>
          </w:tcPr>
          <w:p>
            <w:pPr>
              <w:spacing w:after="0" w:line="196" w:lineRule="exact"/>
              <w:rPr>
                <w:rFonts w:ascii="Times New Roman" w:cs="Times New Roman" w:eastAsia="Times New Roman" w:hAnsi="Times New Roman"/>
                <w:sz w:val="18"/>
                <w:szCs w:val="18"/>
                <w:color w:val="0000EE"/>
              </w:rPr>
            </w:pPr>
            <w:hyperlink r:id="rId374">
              <w:r>
                <w:rPr>
                  <w:rFonts w:ascii="Times New Roman" w:cs="Times New Roman" w:eastAsia="Times New Roman" w:hAnsi="Times New Roman"/>
                  <w:sz w:val="18"/>
                  <w:szCs w:val="18"/>
                  <w:color w:val="0000EE"/>
                </w:rPr>
                <w:t>No. 333-223263) filed by iQIYI, Inc. with the SEC on February 27, 2018)</w:t>
              </w:r>
            </w:hyperlink>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4.99</w:t>
            </w:r>
          </w:p>
        </w:tc>
        <w:tc>
          <w:tcPr>
            <w:tcW w:w="900" w:type="dxa"/>
            <w:vAlign w:val="bottom"/>
          </w:tcPr>
          <w:p>
            <w:pPr>
              <w:spacing w:after="0"/>
              <w:rPr>
                <w:sz w:val="24"/>
                <w:szCs w:val="24"/>
                <w:color w:val="auto"/>
              </w:rPr>
            </w:pPr>
          </w:p>
        </w:tc>
        <w:tc>
          <w:tcPr>
            <w:tcW w:w="948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375">
              <w:r>
                <w:rPr>
                  <w:rFonts w:ascii="Times New Roman" w:cs="Times New Roman" w:eastAsia="Times New Roman" w:hAnsi="Times New Roman"/>
                  <w:sz w:val="18"/>
                  <w:szCs w:val="18"/>
                  <w:color w:val="0000EE"/>
                </w:rPr>
                <w:t>Translation of Amended and Restated Share Pledge Agreement between Beijing QIYI Century and Xiaohua Geng, dated</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4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375">
              <w:r>
                <w:rPr>
                  <w:rFonts w:ascii="Times New Roman" w:cs="Times New Roman" w:eastAsia="Times New Roman" w:hAnsi="Times New Roman"/>
                  <w:sz w:val="18"/>
                  <w:szCs w:val="18"/>
                  <w:color w:val="0000EE"/>
                </w:rPr>
                <w:t>January  30,  2013  (incorporated  herein  by  reference  to  Exhibit  10.8  to  the  registration  statement  on  Form  F-1  (File</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480" w:type="dxa"/>
            <w:vAlign w:val="bottom"/>
            <w:gridSpan w:val="11"/>
          </w:tcPr>
          <w:p>
            <w:pPr>
              <w:spacing w:after="0" w:line="196" w:lineRule="exact"/>
              <w:rPr>
                <w:rFonts w:ascii="Times New Roman" w:cs="Times New Roman" w:eastAsia="Times New Roman" w:hAnsi="Times New Roman"/>
                <w:sz w:val="18"/>
                <w:szCs w:val="18"/>
                <w:color w:val="0000EE"/>
              </w:rPr>
            </w:pPr>
            <w:hyperlink r:id="rId375">
              <w:r>
                <w:rPr>
                  <w:rFonts w:ascii="Times New Roman" w:cs="Times New Roman" w:eastAsia="Times New Roman" w:hAnsi="Times New Roman"/>
                  <w:sz w:val="18"/>
                  <w:szCs w:val="18"/>
                  <w:color w:val="0000EE"/>
                </w:rPr>
                <w:t>No. 333-223263) filed by iQIYI, Inc. with the SEC on February 27, 2018)</w:t>
              </w:r>
            </w:hyperlink>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    4.100</w:t>
            </w:r>
          </w:p>
        </w:tc>
        <w:tc>
          <w:tcPr>
            <w:tcW w:w="900" w:type="dxa"/>
            <w:vAlign w:val="bottom"/>
          </w:tcPr>
          <w:p>
            <w:pPr>
              <w:spacing w:after="0"/>
              <w:rPr>
                <w:sz w:val="24"/>
                <w:szCs w:val="24"/>
                <w:color w:val="auto"/>
              </w:rPr>
            </w:pPr>
          </w:p>
        </w:tc>
        <w:tc>
          <w:tcPr>
            <w:tcW w:w="948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376">
              <w:r>
                <w:rPr>
                  <w:rFonts w:ascii="Times New Roman" w:cs="Times New Roman" w:eastAsia="Times New Roman" w:hAnsi="Times New Roman"/>
                  <w:sz w:val="18"/>
                  <w:szCs w:val="18"/>
                  <w:color w:val="0000EE"/>
                </w:rPr>
                <w:t>Translation of Commitment Letter issued by iQIYI, and Beijing QIYI Century, dated January 30, 2013 (incorporated herein by</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480" w:type="dxa"/>
            <w:vAlign w:val="bottom"/>
            <w:gridSpan w:val="11"/>
          </w:tcPr>
          <w:p>
            <w:pPr>
              <w:spacing w:after="0" w:line="196" w:lineRule="exact"/>
              <w:rPr>
                <w:rFonts w:ascii="Times New Roman" w:cs="Times New Roman" w:eastAsia="Times New Roman" w:hAnsi="Times New Roman"/>
                <w:sz w:val="18"/>
                <w:szCs w:val="18"/>
                <w:color w:val="0000EE"/>
              </w:rPr>
            </w:pPr>
            <w:hyperlink r:id="rId376">
              <w:r>
                <w:rPr>
                  <w:rFonts w:ascii="Times New Roman" w:cs="Times New Roman" w:eastAsia="Times New Roman" w:hAnsi="Times New Roman"/>
                  <w:sz w:val="18"/>
                  <w:szCs w:val="18"/>
                  <w:color w:val="0000EE"/>
                </w:rPr>
                <w:t>reference to Exhibit 10.9 to the registration statement on Form F-1 (File No. 333-223263) filed by iQIYI, Inc. with the SEC on</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2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rPr>
            </w:pPr>
            <w:hyperlink r:id="rId376">
              <w:r>
                <w:rPr>
                  <w:rFonts w:ascii="Times New Roman" w:cs="Times New Roman" w:eastAsia="Times New Roman" w:hAnsi="Times New Roman"/>
                  <w:sz w:val="18"/>
                  <w:szCs w:val="18"/>
                  <w:color w:val="0000EE"/>
                </w:rPr>
                <w:t>February 27, 2018)</w:t>
              </w:r>
            </w:hyperlink>
          </w:p>
        </w:tc>
        <w:tc>
          <w:tcPr>
            <w:tcW w:w="8040" w:type="dxa"/>
            <w:vAlign w:val="bottom"/>
            <w:tcBorders>
              <w:top w:val="single" w:sz="8" w:color="0000EE"/>
            </w:tcBorders>
            <w:gridSpan w:val="7"/>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    4.101</w:t>
            </w:r>
          </w:p>
        </w:tc>
        <w:tc>
          <w:tcPr>
            <w:tcW w:w="900" w:type="dxa"/>
            <w:vAlign w:val="bottom"/>
          </w:tcPr>
          <w:p>
            <w:pPr>
              <w:spacing w:after="0"/>
              <w:rPr>
                <w:sz w:val="24"/>
                <w:szCs w:val="24"/>
                <w:color w:val="auto"/>
              </w:rPr>
            </w:pPr>
          </w:p>
        </w:tc>
        <w:tc>
          <w:tcPr>
            <w:tcW w:w="948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377">
              <w:r>
                <w:rPr>
                  <w:rFonts w:ascii="Times New Roman" w:cs="Times New Roman" w:eastAsia="Times New Roman" w:hAnsi="Times New Roman"/>
                  <w:sz w:val="18"/>
                  <w:szCs w:val="18"/>
                  <w:color w:val="0000EE"/>
                </w:rPr>
                <w:t>Translation of Amended and Restated Exclusive Purchase Option Agreement among iQIYI, Beijing QIYI Century, Beijing iQIYI</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4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377">
              <w:r>
                <w:rPr>
                  <w:rFonts w:ascii="Times New Roman" w:cs="Times New Roman" w:eastAsia="Times New Roman" w:hAnsi="Times New Roman"/>
                  <w:sz w:val="18"/>
                  <w:szCs w:val="18"/>
                  <w:color w:val="0000EE"/>
                </w:rPr>
                <w:t>and Xiaohua Geng, dated January 30, 2013 (incorporated herein by reference to Exhibit 10.10 to the registration statement on</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46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377">
              <w:r>
                <w:rPr>
                  <w:rFonts w:ascii="Times New Roman" w:cs="Times New Roman" w:eastAsia="Times New Roman" w:hAnsi="Times New Roman"/>
                  <w:sz w:val="18"/>
                  <w:szCs w:val="18"/>
                  <w:color w:val="0000EE"/>
                  <w:w w:val="99"/>
                </w:rPr>
                <w:t>Form F-1 (File No. 333-223263) filed by iQIYI, Inc. with the SEC on February 27, 2018)</w:t>
              </w:r>
            </w:hyperlink>
          </w:p>
        </w:tc>
        <w:tc>
          <w:tcPr>
            <w:tcW w:w="30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    4.102</w:t>
            </w:r>
          </w:p>
        </w:tc>
        <w:tc>
          <w:tcPr>
            <w:tcW w:w="900" w:type="dxa"/>
            <w:vAlign w:val="bottom"/>
          </w:tcPr>
          <w:p>
            <w:pPr>
              <w:spacing w:after="0"/>
              <w:rPr>
                <w:sz w:val="24"/>
                <w:szCs w:val="24"/>
                <w:color w:val="auto"/>
              </w:rPr>
            </w:pPr>
          </w:p>
        </w:tc>
        <w:tc>
          <w:tcPr>
            <w:tcW w:w="948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378">
              <w:r>
                <w:rPr>
                  <w:rFonts w:ascii="Times New Roman" w:cs="Times New Roman" w:eastAsia="Times New Roman" w:hAnsi="Times New Roman"/>
                  <w:sz w:val="18"/>
                  <w:szCs w:val="18"/>
                  <w:color w:val="0000EE"/>
                </w:rPr>
                <w:t>Translation of Amended and Restated Loan Agreement between Beijing QIYI Century and Xiaohua Geng, dated January 30, 2013</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46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378">
              <w:r>
                <w:rPr>
                  <w:rFonts w:ascii="Times New Roman" w:cs="Times New Roman" w:eastAsia="Times New Roman" w:hAnsi="Times New Roman"/>
                  <w:sz w:val="18"/>
                  <w:szCs w:val="18"/>
                  <w:color w:val="0000EE"/>
                </w:rPr>
                <w:t>(incorporated herein by reference to Exhibit 10.11 to the registration statement on Form F-1 (File No. 333-223263) filed by iQIYI,</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480" w:type="dxa"/>
            <w:vAlign w:val="bottom"/>
            <w:gridSpan w:val="11"/>
          </w:tcPr>
          <w:p>
            <w:pPr>
              <w:spacing w:after="0" w:line="196" w:lineRule="exact"/>
              <w:rPr>
                <w:rFonts w:ascii="Times New Roman" w:cs="Times New Roman" w:eastAsia="Times New Roman" w:hAnsi="Times New Roman"/>
                <w:sz w:val="18"/>
                <w:szCs w:val="18"/>
                <w:color w:val="0000EE"/>
              </w:rPr>
            </w:pPr>
            <w:hyperlink r:id="rId378">
              <w:r>
                <w:rPr>
                  <w:rFonts w:ascii="Times New Roman" w:cs="Times New Roman" w:eastAsia="Times New Roman" w:hAnsi="Times New Roman"/>
                  <w:sz w:val="18"/>
                  <w:szCs w:val="18"/>
                  <w:color w:val="0000EE"/>
                </w:rPr>
                <w:t>Inc. with the SEC on February 27, 2018)</w:t>
              </w:r>
            </w:hyperlink>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28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    4.103</w:t>
            </w:r>
          </w:p>
        </w:tc>
        <w:tc>
          <w:tcPr>
            <w:tcW w:w="900" w:type="dxa"/>
            <w:vAlign w:val="bottom"/>
          </w:tcPr>
          <w:p>
            <w:pPr>
              <w:spacing w:after="0"/>
              <w:rPr>
                <w:sz w:val="24"/>
                <w:szCs w:val="24"/>
                <w:color w:val="auto"/>
              </w:rPr>
            </w:pPr>
          </w:p>
        </w:tc>
        <w:tc>
          <w:tcPr>
            <w:tcW w:w="948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379">
              <w:r>
                <w:rPr>
                  <w:rFonts w:ascii="Times New Roman" w:cs="Times New Roman" w:eastAsia="Times New Roman" w:hAnsi="Times New Roman"/>
                  <w:sz w:val="18"/>
                  <w:szCs w:val="18"/>
                  <w:color w:val="0000EE"/>
                </w:rPr>
                <w:t>Translation of Amended and Restated Business Operation Agreement among Beijing QIYI Century, Beijing iQIYI and Xiaohua</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4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379">
              <w:r>
                <w:rPr>
                  <w:rFonts w:ascii="Times New Roman" w:cs="Times New Roman" w:eastAsia="Times New Roman" w:hAnsi="Times New Roman"/>
                  <w:sz w:val="18"/>
                  <w:szCs w:val="18"/>
                  <w:color w:val="0000EE"/>
                </w:rPr>
                <w:t>Geng, dated January 30, 2013 (incorporated herein by reference to Exhibit 10.12 to the registration statement on Form F-1 (File</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480" w:type="dxa"/>
            <w:vAlign w:val="bottom"/>
            <w:gridSpan w:val="11"/>
          </w:tcPr>
          <w:p>
            <w:pPr>
              <w:spacing w:after="0" w:line="196" w:lineRule="exact"/>
              <w:rPr>
                <w:rFonts w:ascii="Times New Roman" w:cs="Times New Roman" w:eastAsia="Times New Roman" w:hAnsi="Times New Roman"/>
                <w:sz w:val="18"/>
                <w:szCs w:val="18"/>
                <w:color w:val="0000EE"/>
              </w:rPr>
            </w:pPr>
            <w:hyperlink r:id="rId379">
              <w:r>
                <w:rPr>
                  <w:rFonts w:ascii="Times New Roman" w:cs="Times New Roman" w:eastAsia="Times New Roman" w:hAnsi="Times New Roman"/>
                  <w:sz w:val="18"/>
                  <w:szCs w:val="18"/>
                  <w:color w:val="0000EE"/>
                </w:rPr>
                <w:t>No. 333-223263) filed by iQIYI, Inc. with the SEC on February 27, 2018)</w:t>
              </w:r>
            </w:hyperlink>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800" w:type="dxa"/>
            <w:vAlign w:val="bottom"/>
            <w:gridSpan w:val="2"/>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    4.104</w:t>
            </w:r>
          </w:p>
        </w:tc>
        <w:tc>
          <w:tcPr>
            <w:tcW w:w="900" w:type="dxa"/>
            <w:vAlign w:val="bottom"/>
          </w:tcPr>
          <w:p>
            <w:pPr>
              <w:spacing w:after="0"/>
              <w:rPr>
                <w:sz w:val="24"/>
                <w:szCs w:val="24"/>
                <w:color w:val="auto"/>
              </w:rPr>
            </w:pPr>
          </w:p>
        </w:tc>
        <w:tc>
          <w:tcPr>
            <w:tcW w:w="948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380">
              <w:r>
                <w:rPr>
                  <w:rFonts w:ascii="Times New Roman" w:cs="Times New Roman" w:eastAsia="Times New Roman" w:hAnsi="Times New Roman"/>
                  <w:sz w:val="18"/>
                  <w:szCs w:val="18"/>
                  <w:color w:val="0000EE"/>
                </w:rPr>
                <w:t>Translation of Irrevocable Power of Attorney issued by Beijing QIYI Century, dated January 30, 2013 (incorporated herein by</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4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380">
              <w:r>
                <w:rPr>
                  <w:rFonts w:ascii="Times New Roman" w:cs="Times New Roman" w:eastAsia="Times New Roman" w:hAnsi="Times New Roman"/>
                  <w:sz w:val="18"/>
                  <w:szCs w:val="18"/>
                  <w:color w:val="0000EE"/>
                </w:rPr>
                <w:t>reference to Exhibit 10.13 to the registration statement on Form F-1 (File No. 333-223263) filed by iQIYI, Inc. with the SEC on</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2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rPr>
            </w:pPr>
            <w:hyperlink r:id="rId380">
              <w:r>
                <w:rPr>
                  <w:rFonts w:ascii="Times New Roman" w:cs="Times New Roman" w:eastAsia="Times New Roman" w:hAnsi="Times New Roman"/>
                  <w:sz w:val="18"/>
                  <w:szCs w:val="18"/>
                  <w:color w:val="0000EE"/>
                </w:rPr>
                <w:t>February 27, 2018)</w:t>
              </w:r>
            </w:hyperlink>
          </w:p>
        </w:tc>
        <w:tc>
          <w:tcPr>
            <w:tcW w:w="806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    4.105</w:t>
            </w:r>
          </w:p>
        </w:tc>
        <w:tc>
          <w:tcPr>
            <w:tcW w:w="900" w:type="dxa"/>
            <w:vAlign w:val="bottom"/>
          </w:tcPr>
          <w:p>
            <w:pPr>
              <w:spacing w:after="0"/>
              <w:rPr>
                <w:sz w:val="24"/>
                <w:szCs w:val="24"/>
                <w:color w:val="auto"/>
              </w:rPr>
            </w:pPr>
          </w:p>
        </w:tc>
        <w:tc>
          <w:tcPr>
            <w:tcW w:w="948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381">
              <w:r>
                <w:rPr>
                  <w:rFonts w:ascii="Times New Roman" w:cs="Times New Roman" w:eastAsia="Times New Roman" w:hAnsi="Times New Roman"/>
                  <w:sz w:val="18"/>
                  <w:szCs w:val="18"/>
                  <w:color w:val="0000EE"/>
                </w:rPr>
                <w:t>Translation of Spousal Consent Letter issued by the spouse of Xiaohua Geng, dated September 26, 2016 (incorporated herein by</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4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381">
              <w:r>
                <w:rPr>
                  <w:rFonts w:ascii="Times New Roman" w:cs="Times New Roman" w:eastAsia="Times New Roman" w:hAnsi="Times New Roman"/>
                  <w:sz w:val="18"/>
                  <w:szCs w:val="18"/>
                  <w:color w:val="0000EE"/>
                </w:rPr>
                <w:t>reference to Exhibit 10.14 to the registration statement on Form F-1 (File No. 333-223263) filed by iQIYI, Inc. with the SEC on</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381">
              <w:r>
                <w:rPr>
                  <w:rFonts w:ascii="Times New Roman" w:cs="Times New Roman" w:eastAsia="Times New Roman" w:hAnsi="Times New Roman"/>
                  <w:sz w:val="18"/>
                  <w:szCs w:val="18"/>
                  <w:color w:val="0000EE"/>
                  <w:w w:val="99"/>
                </w:rPr>
                <w:t>February 27, 2018)</w:t>
              </w:r>
            </w:hyperlink>
          </w:p>
        </w:tc>
        <w:tc>
          <w:tcPr>
            <w:tcW w:w="808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    4.106</w:t>
            </w:r>
          </w:p>
        </w:tc>
        <w:tc>
          <w:tcPr>
            <w:tcW w:w="900" w:type="dxa"/>
            <w:vAlign w:val="bottom"/>
          </w:tcPr>
          <w:p>
            <w:pPr>
              <w:spacing w:after="0"/>
              <w:rPr>
                <w:sz w:val="24"/>
                <w:szCs w:val="24"/>
                <w:color w:val="auto"/>
              </w:rPr>
            </w:pPr>
          </w:p>
        </w:tc>
        <w:tc>
          <w:tcPr>
            <w:tcW w:w="948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382">
              <w:r>
                <w:rPr>
                  <w:rFonts w:ascii="Times New Roman" w:cs="Times New Roman" w:eastAsia="Times New Roman" w:hAnsi="Times New Roman"/>
                  <w:sz w:val="18"/>
                  <w:szCs w:val="18"/>
                  <w:u w:val="single" w:color="auto"/>
                  <w:color w:val="0000EE"/>
                </w:rPr>
                <w:t>US$</w:t>
              </w:r>
              <w:r>
                <w:rPr>
                  <w:rFonts w:ascii="Times New Roman" w:cs="Times New Roman" w:eastAsia="Times New Roman" w:hAnsi="Times New Roman"/>
                  <w:sz w:val="18"/>
                  <w:szCs w:val="18"/>
                  <w:color w:val="0000EE"/>
                </w:rPr>
                <w:t>3,000,000,000 Facilities Agreement between the Registrant and other parties thereto dated April 2, 2021 (incorporated by</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480" w:type="dxa"/>
            <w:vAlign w:val="bottom"/>
            <w:gridSpan w:val="11"/>
          </w:tcPr>
          <w:p>
            <w:pPr>
              <w:spacing w:after="0" w:line="196" w:lineRule="exact"/>
              <w:rPr>
                <w:rFonts w:ascii="Times New Roman" w:cs="Times New Roman" w:eastAsia="Times New Roman" w:hAnsi="Times New Roman"/>
                <w:sz w:val="18"/>
                <w:szCs w:val="18"/>
                <w:color w:val="0000EE"/>
              </w:rPr>
            </w:pPr>
            <w:hyperlink r:id="rId382">
              <w:r>
                <w:rPr>
                  <w:rFonts w:ascii="Times New Roman" w:cs="Times New Roman" w:eastAsia="Times New Roman" w:hAnsi="Times New Roman"/>
                  <w:sz w:val="18"/>
                  <w:szCs w:val="18"/>
                  <w:color w:val="0000EE"/>
                </w:rPr>
                <w:t>reference to Exhibit 4.106 of Form 6-K furnished with the Securities and Exchange Commission on August 18, 2021)</w:t>
              </w:r>
            </w:hyperlink>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0" w:type="dxa"/>
            <w:vAlign w:val="bottom"/>
            <w:gridSpan w:val="4"/>
            <w:shd w:val="clear" w:color="auto" w:fill="0000EE"/>
          </w:tcPr>
          <w:p>
            <w:pPr>
              <w:spacing w:after="0" w:line="20" w:lineRule="exact"/>
              <w:rPr>
                <w:sz w:val="1"/>
                <w:szCs w:val="1"/>
                <w:color w:val="auto"/>
              </w:rPr>
            </w:pPr>
          </w:p>
        </w:tc>
        <w:tc>
          <w:tcPr>
            <w:tcW w:w="1800" w:type="dxa"/>
            <w:vAlign w:val="bottom"/>
            <w:gridSpan w:val="2"/>
            <w:shd w:val="clear" w:color="auto" w:fill="0000EE"/>
          </w:tcPr>
          <w:p>
            <w:pPr>
              <w:spacing w:after="0" w:line="20" w:lineRule="exact"/>
              <w:rPr>
                <w:sz w:val="1"/>
                <w:szCs w:val="1"/>
                <w:color w:val="auto"/>
              </w:rPr>
            </w:pPr>
          </w:p>
        </w:tc>
        <w:tc>
          <w:tcPr>
            <w:tcW w:w="4280" w:type="dxa"/>
            <w:vAlign w:val="bottom"/>
            <w:gridSpan w:val="3"/>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    4.107</w:t>
            </w:r>
          </w:p>
        </w:tc>
        <w:tc>
          <w:tcPr>
            <w:tcW w:w="900" w:type="dxa"/>
            <w:vAlign w:val="bottom"/>
          </w:tcPr>
          <w:p>
            <w:pPr>
              <w:spacing w:after="0"/>
              <w:rPr>
                <w:sz w:val="24"/>
                <w:szCs w:val="24"/>
                <w:color w:val="auto"/>
              </w:rPr>
            </w:pPr>
          </w:p>
        </w:tc>
        <w:tc>
          <w:tcPr>
            <w:tcW w:w="948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383">
              <w:r>
                <w:rPr>
                  <w:rFonts w:ascii="Times New Roman" w:cs="Times New Roman" w:eastAsia="Times New Roman" w:hAnsi="Times New Roman"/>
                  <w:sz w:val="18"/>
                  <w:szCs w:val="18"/>
                  <w:color w:val="0000EE"/>
                </w:rPr>
                <w:t>Investment Agreement, dated August 30, 2022, between iQIYI, PAGAC IV-1 (Cayman) Limited and PAG Pegasus Fund LP</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4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383">
              <w:r>
                <w:rPr>
                  <w:rFonts w:ascii="Times New Roman" w:cs="Times New Roman" w:eastAsia="Times New Roman" w:hAnsi="Times New Roman"/>
                  <w:sz w:val="18"/>
                  <w:szCs w:val="18"/>
                  <w:color w:val="0000EE"/>
                </w:rPr>
                <w:t>(incorporated by reference to Exhibit 4.107 of our Annual Report on Form 20-F filed with the Securities and Exchange</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383">
              <w:r>
                <w:rPr>
                  <w:rFonts w:ascii="Times New Roman" w:cs="Times New Roman" w:eastAsia="Times New Roman" w:hAnsi="Times New Roman"/>
                  <w:sz w:val="18"/>
                  <w:szCs w:val="18"/>
                  <w:color w:val="0000EE"/>
                  <w:w w:val="99"/>
                </w:rPr>
                <w:t>Commission on March 22, 2023)</w:t>
              </w:r>
            </w:hyperlink>
          </w:p>
        </w:tc>
        <w:tc>
          <w:tcPr>
            <w:tcW w:w="708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    4.108</w:t>
            </w:r>
          </w:p>
        </w:tc>
        <w:tc>
          <w:tcPr>
            <w:tcW w:w="900" w:type="dxa"/>
            <w:vAlign w:val="bottom"/>
          </w:tcPr>
          <w:p>
            <w:pPr>
              <w:spacing w:after="0"/>
              <w:rPr>
                <w:sz w:val="24"/>
                <w:szCs w:val="24"/>
                <w:color w:val="auto"/>
              </w:rPr>
            </w:pPr>
          </w:p>
        </w:tc>
        <w:tc>
          <w:tcPr>
            <w:tcW w:w="9480" w:type="dxa"/>
            <w:vAlign w:val="bottom"/>
            <w:gridSpan w:val="11"/>
          </w:tcPr>
          <w:p>
            <w:pPr>
              <w:spacing w:after="0"/>
              <w:rPr>
                <w:rFonts w:ascii="Times New Roman" w:cs="Times New Roman" w:eastAsia="Times New Roman" w:hAnsi="Times New Roman"/>
                <w:sz w:val="18"/>
                <w:szCs w:val="18"/>
                <w:color w:val="0000EE"/>
                <w:w w:val="99"/>
              </w:rPr>
            </w:pPr>
            <w:hyperlink r:id="rId384">
              <w:r>
                <w:rPr>
                  <w:rFonts w:ascii="Times New Roman" w:cs="Times New Roman" w:eastAsia="Times New Roman" w:hAnsi="Times New Roman"/>
                  <w:sz w:val="18"/>
                  <w:szCs w:val="18"/>
                  <w:color w:val="0000EE"/>
                  <w:w w:val="99"/>
                </w:rPr>
                <w:t>Deed of Amendment to the Investment Agreement, by and among iQIYI, PAGAC IV-1 (Cayman) Limited, and PAG Pegasus Fund</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00" w:type="dxa"/>
            <w:vAlign w:val="bottom"/>
            <w:gridSpan w:val="6"/>
            <w:shd w:val="clear" w:color="auto" w:fill="0000EE"/>
          </w:tcPr>
          <w:p>
            <w:pPr>
              <w:spacing w:after="0" w:line="20" w:lineRule="exact"/>
              <w:rPr>
                <w:sz w:val="1"/>
                <w:szCs w:val="1"/>
                <w:color w:val="auto"/>
              </w:rPr>
            </w:pPr>
          </w:p>
        </w:tc>
        <w:tc>
          <w:tcPr>
            <w:tcW w:w="526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480" w:type="dxa"/>
            <w:vAlign w:val="bottom"/>
            <w:gridSpan w:val="11"/>
          </w:tcPr>
          <w:p>
            <w:pPr>
              <w:spacing w:after="0" w:line="196" w:lineRule="exact"/>
              <w:rPr>
                <w:rFonts w:ascii="Times New Roman" w:cs="Times New Roman" w:eastAsia="Times New Roman" w:hAnsi="Times New Roman"/>
                <w:sz w:val="18"/>
                <w:szCs w:val="18"/>
                <w:color w:val="0000EE"/>
              </w:rPr>
            </w:pPr>
            <w:hyperlink r:id="rId384">
              <w:r>
                <w:rPr>
                  <w:rFonts w:ascii="Times New Roman" w:cs="Times New Roman" w:eastAsia="Times New Roman" w:hAnsi="Times New Roman"/>
                  <w:sz w:val="18"/>
                  <w:szCs w:val="18"/>
                  <w:color w:val="0000EE"/>
                </w:rPr>
                <w:t>LP, dated as of December 30, 2022 (incorporated by reference to Exhibit 4.108 of our Annual Report on Form 20-F filed with the</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46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384">
              <w:r>
                <w:rPr>
                  <w:rFonts w:ascii="Times New Roman" w:cs="Times New Roman" w:eastAsia="Times New Roman" w:hAnsi="Times New Roman"/>
                  <w:sz w:val="18"/>
                  <w:szCs w:val="18"/>
                  <w:color w:val="0000EE"/>
                </w:rPr>
                <w:t>Securities and Exchange Commission on March 22, 2023)</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gridSpan w:val="2"/>
          </w:tcPr>
          <w:p>
            <w:pPr>
              <w:spacing w:after="0"/>
              <w:rPr>
                <w:sz w:val="24"/>
                <w:szCs w:val="24"/>
                <w:color w:val="auto"/>
              </w:rPr>
            </w:pPr>
          </w:p>
        </w:tc>
        <w:tc>
          <w:tcPr>
            <w:tcW w:w="4180" w:type="dxa"/>
            <w:vAlign w:val="bottom"/>
            <w:tcBorders>
              <w:top w:val="single" w:sz="8" w:color="0000EE"/>
            </w:tcBorders>
            <w:gridSpan w:val="5"/>
          </w:tcPr>
          <w:p>
            <w:pPr>
              <w:jc w:val="right"/>
              <w:ind w:right="28"/>
              <w:spacing w:after="0"/>
              <w:rPr>
                <w:sz w:val="20"/>
                <w:szCs w:val="20"/>
                <w:color w:val="auto"/>
              </w:rPr>
            </w:pPr>
            <w:r>
              <w:rPr>
                <w:rFonts w:ascii="Times New Roman" w:cs="Times New Roman" w:eastAsia="Times New Roman" w:hAnsi="Times New Roman"/>
                <w:sz w:val="18"/>
                <w:szCs w:val="18"/>
                <w:color w:val="auto"/>
              </w:rPr>
              <w:t>221</w:t>
            </w: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8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60" w:type="dxa"/>
            <w:vAlign w:val="bottom"/>
          </w:tcPr>
          <w:p>
            <w:pPr>
              <w:spacing w:after="0"/>
              <w:rPr>
                <w:sz w:val="13"/>
                <w:szCs w:val="13"/>
                <w:color w:val="auto"/>
              </w:rPr>
            </w:pPr>
          </w:p>
        </w:tc>
        <w:tc>
          <w:tcPr>
            <w:tcW w:w="1280" w:type="dxa"/>
            <w:vAlign w:val="bottom"/>
            <w:gridSpan w:val="2"/>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900" w:type="dxa"/>
            <w:vAlign w:val="bottom"/>
            <w:gridSpan w:val="11"/>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0" w:type="dxa"/>
            <w:vAlign w:val="bottom"/>
          </w:tcPr>
          <w:p>
            <w:pPr>
              <w:spacing w:after="0"/>
              <w:rPr>
                <w:sz w:val="1"/>
                <w:szCs w:val="1"/>
                <w:color w:val="auto"/>
              </w:rPr>
            </w:pPr>
          </w:p>
        </w:tc>
      </w:tr>
      <w:tr>
        <w:trPr>
          <w:trHeight w:val="173"/>
        </w:trPr>
        <w:tc>
          <w:tcPr>
            <w:tcW w:w="1540" w:type="dxa"/>
            <w:vAlign w:val="bottom"/>
            <w:gridSpan w:val="3"/>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900" w:type="dxa"/>
            <w:vAlign w:val="bottom"/>
            <w:gridSpan w:val="11"/>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24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4.109</w:t>
            </w:r>
          </w:p>
        </w:tc>
        <w:tc>
          <w:tcPr>
            <w:tcW w:w="948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rPr>
            </w:pPr>
            <w:hyperlink r:id="rId386">
              <w:r>
                <w:rPr>
                  <w:rFonts w:ascii="Times New Roman" w:cs="Times New Roman" w:eastAsia="Times New Roman" w:hAnsi="Times New Roman"/>
                  <w:sz w:val="18"/>
                  <w:szCs w:val="18"/>
                  <w:color w:val="0000EE"/>
                </w:rPr>
                <w:t>Indenture, dated December 30, 2022, between iQIYI and Citicorp International Limited, as trustee (incorporated by reference to</w:t>
              </w:r>
            </w:hyperlink>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480" w:type="dxa"/>
            <w:vAlign w:val="bottom"/>
            <w:gridSpan w:val="17"/>
          </w:tcPr>
          <w:p>
            <w:pPr>
              <w:spacing w:after="0" w:line="196" w:lineRule="exact"/>
              <w:rPr>
                <w:rFonts w:ascii="Times New Roman" w:cs="Times New Roman" w:eastAsia="Times New Roman" w:hAnsi="Times New Roman"/>
                <w:sz w:val="18"/>
                <w:szCs w:val="18"/>
                <w:color w:val="0000EE"/>
              </w:rPr>
            </w:pPr>
            <w:hyperlink r:id="rId386">
              <w:r>
                <w:rPr>
                  <w:rFonts w:ascii="Times New Roman" w:cs="Times New Roman" w:eastAsia="Times New Roman" w:hAnsi="Times New Roman"/>
                  <w:sz w:val="18"/>
                  <w:szCs w:val="18"/>
                  <w:color w:val="0000EE"/>
                </w:rPr>
                <w:t>Exhibit 4.109 of our Annual Report on Form 20-F filed with the Securities and Exchange Commission on March 22, 2023)</w:t>
              </w:r>
            </w:hyperlink>
          </w:p>
        </w:tc>
        <w:tc>
          <w:tcPr>
            <w:tcW w:w="0" w:type="dxa"/>
            <w:vAlign w:val="bottom"/>
          </w:tcPr>
          <w:p>
            <w:pPr>
              <w:spacing w:after="0"/>
              <w:rPr>
                <w:sz w:val="1"/>
                <w:szCs w:val="1"/>
                <w:color w:val="auto"/>
              </w:rPr>
            </w:pPr>
          </w:p>
        </w:tc>
      </w:tr>
      <w:tr>
        <w:trPr>
          <w:trHeight w:val="20"/>
        </w:trPr>
        <w:tc>
          <w:tcPr>
            <w:tcW w:w="1540" w:type="dxa"/>
            <w:vAlign w:val="bottom"/>
            <w:gridSpan w:val="3"/>
          </w:tcPr>
          <w:p>
            <w:pPr>
              <w:spacing w:after="0" w:line="20" w:lineRule="exact"/>
              <w:rPr>
                <w:sz w:val="1"/>
                <w:szCs w:val="1"/>
                <w:color w:val="auto"/>
              </w:rPr>
            </w:pPr>
          </w:p>
        </w:tc>
        <w:tc>
          <w:tcPr>
            <w:tcW w:w="24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4.110</w:t>
            </w:r>
          </w:p>
        </w:tc>
        <w:tc>
          <w:tcPr>
            <w:tcW w:w="948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rPr>
            </w:pPr>
            <w:hyperlink r:id="rId387">
              <w:r>
                <w:rPr>
                  <w:rFonts w:ascii="Times New Roman" w:cs="Times New Roman" w:eastAsia="Times New Roman" w:hAnsi="Times New Roman"/>
                  <w:sz w:val="18"/>
                  <w:szCs w:val="18"/>
                  <w:color w:val="0000EE"/>
                </w:rPr>
                <w:t>2023 Share Incentive Plan (incorporated by reference to Exhibit 4.110 of our Annual Report on Form 20-F filed with the Securities</w:t>
              </w:r>
            </w:hyperlink>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8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rPr>
            </w:pPr>
            <w:hyperlink r:id="rId387">
              <w:r>
                <w:rPr>
                  <w:rFonts w:ascii="Times New Roman" w:cs="Times New Roman" w:eastAsia="Times New Roman" w:hAnsi="Times New Roman"/>
                  <w:sz w:val="18"/>
                  <w:szCs w:val="18"/>
                  <w:color w:val="0000EE"/>
                </w:rPr>
                <w:t>and Exchange Commission on March 15, 2024)</w:t>
              </w:r>
            </w:hyperlink>
          </w:p>
        </w:tc>
        <w:tc>
          <w:tcPr>
            <w:tcW w:w="600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4.111</w:t>
            </w:r>
          </w:p>
        </w:tc>
        <w:tc>
          <w:tcPr>
            <w:tcW w:w="948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rPr>
            </w:pPr>
            <w:hyperlink r:id="rId388">
              <w:r>
                <w:rPr>
                  <w:rFonts w:ascii="Times New Roman" w:cs="Times New Roman" w:eastAsia="Times New Roman" w:hAnsi="Times New Roman"/>
                  <w:sz w:val="18"/>
                  <w:szCs w:val="18"/>
                  <w:color w:val="0000EE"/>
                </w:rPr>
                <w:t>Share Purchase Agreement by and between the Buyer as defined therein, Baidu (Hong Kong) Limited, JOYY Inc. and certain</w:t>
              </w:r>
            </w:hyperlink>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48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388">
              <w:r>
                <w:rPr>
                  <w:rFonts w:ascii="Times New Roman" w:cs="Times New Roman" w:eastAsia="Times New Roman" w:hAnsi="Times New Roman"/>
                  <w:sz w:val="18"/>
                  <w:szCs w:val="18"/>
                  <w:color w:val="0000EE"/>
                </w:rPr>
                <w:t>investors party thereto, dated February 25, 2025 (incorporated by reference to Exhibit 4.111 of our Annual Report on Form 20-F</w:t>
              </w:r>
            </w:hyperlink>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22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388">
              <w:r>
                <w:rPr>
                  <w:rFonts w:ascii="Times New Roman" w:cs="Times New Roman" w:eastAsia="Times New Roman" w:hAnsi="Times New Roman"/>
                  <w:sz w:val="18"/>
                  <w:szCs w:val="18"/>
                  <w:color w:val="0000EE"/>
                  <w:w w:val="99"/>
                </w:rPr>
                <w:t>filed with the Securities and Exchange Commission on March 28, 2025)</w:t>
              </w:r>
            </w:hyperlink>
          </w:p>
        </w:tc>
        <w:tc>
          <w:tcPr>
            <w:tcW w:w="426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4.112</w:t>
            </w:r>
          </w:p>
        </w:tc>
        <w:tc>
          <w:tcPr>
            <w:tcW w:w="924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389">
              <w:r>
                <w:rPr>
                  <w:rFonts w:ascii="Times New Roman" w:cs="Times New Roman" w:eastAsia="Times New Roman" w:hAnsi="Times New Roman"/>
                  <w:sz w:val="18"/>
                  <w:szCs w:val="18"/>
                  <w:color w:val="0000EE"/>
                  <w:w w:val="99"/>
                </w:rPr>
                <w:t>Indenture, dated February 24, 2025, between iQIYI and Citibank, N.A., as trustee (incorporated by reference to Exhibit 4.112 of</w:t>
              </w:r>
            </w:hyperlink>
          </w:p>
        </w:tc>
        <w:tc>
          <w:tcPr>
            <w:tcW w:w="2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480" w:type="dxa"/>
            <w:vAlign w:val="bottom"/>
            <w:gridSpan w:val="17"/>
          </w:tcPr>
          <w:p>
            <w:pPr>
              <w:spacing w:after="0" w:line="196" w:lineRule="exact"/>
              <w:rPr>
                <w:rFonts w:ascii="Times New Roman" w:cs="Times New Roman" w:eastAsia="Times New Roman" w:hAnsi="Times New Roman"/>
                <w:sz w:val="18"/>
                <w:szCs w:val="18"/>
                <w:color w:val="0000EE"/>
              </w:rPr>
            </w:pPr>
            <w:hyperlink r:id="rId389">
              <w:r>
                <w:rPr>
                  <w:rFonts w:ascii="Times New Roman" w:cs="Times New Roman" w:eastAsia="Times New Roman" w:hAnsi="Times New Roman"/>
                  <w:sz w:val="18"/>
                  <w:szCs w:val="18"/>
                  <w:color w:val="0000EE"/>
                </w:rPr>
                <w:t>our Annual Report on Form 20-F filed with the Securities and Exchange Commission on March 28, 2025)</w:t>
              </w:r>
            </w:hyperlink>
          </w:p>
        </w:tc>
        <w:tc>
          <w:tcPr>
            <w:tcW w:w="0" w:type="dxa"/>
            <w:vAlign w:val="bottom"/>
          </w:tcPr>
          <w:p>
            <w:pPr>
              <w:spacing w:after="0"/>
              <w:rPr>
                <w:sz w:val="1"/>
                <w:szCs w:val="1"/>
                <w:color w:val="auto"/>
              </w:rPr>
            </w:pPr>
          </w:p>
        </w:tc>
      </w:tr>
      <w:tr>
        <w:trPr>
          <w:trHeight w:val="20"/>
        </w:trPr>
        <w:tc>
          <w:tcPr>
            <w:tcW w:w="1540" w:type="dxa"/>
            <w:vAlign w:val="bottom"/>
            <w:gridSpan w:val="3"/>
          </w:tcPr>
          <w:p>
            <w:pPr>
              <w:spacing w:after="0" w:line="20" w:lineRule="exact"/>
              <w:rPr>
                <w:sz w:val="1"/>
                <w:szCs w:val="1"/>
                <w:color w:val="auto"/>
              </w:rPr>
            </w:pPr>
          </w:p>
        </w:tc>
        <w:tc>
          <w:tcPr>
            <w:tcW w:w="24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8.1</w:t>
            </w:r>
          </w:p>
        </w:tc>
        <w:tc>
          <w:tcPr>
            <w:tcW w:w="948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390">
              <w:r>
                <w:rPr>
                  <w:rFonts w:ascii="Times New Roman" w:cs="Times New Roman" w:eastAsia="Times New Roman" w:hAnsi="Times New Roman"/>
                  <w:sz w:val="18"/>
                  <w:szCs w:val="18"/>
                  <w:color w:val="0000EE"/>
                  <w:w w:val="99"/>
                </w:rPr>
                <w:t>List of Principal Subsidiaries and Variable Interest Entities (incorporated by reference to Exhibit 8.1 of our Annual Report on Form</w:t>
              </w:r>
            </w:hyperlink>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60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390">
              <w:r>
                <w:rPr>
                  <w:rFonts w:ascii="Times New Roman" w:cs="Times New Roman" w:eastAsia="Times New Roman" w:hAnsi="Times New Roman"/>
                  <w:sz w:val="18"/>
                  <w:szCs w:val="18"/>
                  <w:color w:val="0000EE"/>
                  <w:w w:val="99"/>
                </w:rPr>
                <w:t>20-F filed with the Securities and Exchange Commission on March 28, 2025)</w:t>
              </w:r>
            </w:hyperlink>
          </w:p>
        </w:tc>
        <w:tc>
          <w:tcPr>
            <w:tcW w:w="388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11.1</w:t>
            </w:r>
          </w:p>
        </w:tc>
        <w:tc>
          <w:tcPr>
            <w:tcW w:w="9480" w:type="dxa"/>
            <w:vAlign w:val="bottom"/>
            <w:gridSpan w:val="17"/>
          </w:tcPr>
          <w:p>
            <w:pPr>
              <w:spacing w:after="0"/>
              <w:rPr>
                <w:rFonts w:ascii="Times New Roman" w:cs="Times New Roman" w:eastAsia="Times New Roman" w:hAnsi="Times New Roman"/>
                <w:sz w:val="18"/>
                <w:szCs w:val="18"/>
                <w:color w:val="0000EE"/>
              </w:rPr>
            </w:pPr>
            <w:hyperlink r:id="rId391">
              <w:r>
                <w:rPr>
                  <w:rFonts w:ascii="Times New Roman" w:cs="Times New Roman" w:eastAsia="Times New Roman" w:hAnsi="Times New Roman"/>
                  <w:sz w:val="18"/>
                  <w:szCs w:val="18"/>
                  <w:color w:val="0000EE"/>
                </w:rPr>
                <w:t>Code of Business Conduct and Ethics (incorporated by reference to Exhibit 99.14 of our Registration Statement on Form F-1 (file</w:t>
              </w:r>
            </w:hyperlink>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46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391">
              <w:r>
                <w:rPr>
                  <w:rFonts w:ascii="Times New Roman" w:cs="Times New Roman" w:eastAsia="Times New Roman" w:hAnsi="Times New Roman"/>
                  <w:sz w:val="18"/>
                  <w:szCs w:val="18"/>
                  <w:color w:val="0000EE"/>
                </w:rPr>
                <w:t>no. 333-126534) filed with the Securities and Exchange Commission on July 12, 2005)</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40" w:type="dxa"/>
            <w:vAlign w:val="bottom"/>
            <w:gridSpan w:val="3"/>
          </w:tcPr>
          <w:p>
            <w:pPr>
              <w:spacing w:after="0" w:line="20" w:lineRule="exact"/>
              <w:rPr>
                <w:sz w:val="1"/>
                <w:szCs w:val="1"/>
                <w:color w:val="auto"/>
              </w:rPr>
            </w:pPr>
          </w:p>
        </w:tc>
        <w:tc>
          <w:tcPr>
            <w:tcW w:w="24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700" w:type="dxa"/>
            <w:vAlign w:val="bottom"/>
            <w:gridSpan w:val="3"/>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11.2</w:t>
            </w:r>
          </w:p>
        </w:tc>
        <w:tc>
          <w:tcPr>
            <w:tcW w:w="946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rPr>
            </w:pPr>
            <w:hyperlink r:id="rId392">
              <w:r>
                <w:rPr>
                  <w:rFonts w:ascii="Times New Roman" w:cs="Times New Roman" w:eastAsia="Times New Roman" w:hAnsi="Times New Roman"/>
                  <w:sz w:val="18"/>
                  <w:szCs w:val="18"/>
                  <w:color w:val="0000EE"/>
                </w:rPr>
                <w:t>Third Amended and Restated Statement of Policies Governing Material, Non-Public Information and the Prevention of Insider</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48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392">
              <w:r>
                <w:rPr>
                  <w:rFonts w:ascii="Times New Roman" w:cs="Times New Roman" w:eastAsia="Times New Roman" w:hAnsi="Times New Roman"/>
                  <w:sz w:val="18"/>
                  <w:szCs w:val="18"/>
                  <w:color w:val="0000EE"/>
                </w:rPr>
                <w:t>Trading of the Registrant (incorporated by reference to Exhibit 11.2 of our Annual Report on Form 20-F filed with the Securities</w:t>
              </w:r>
            </w:hyperlink>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6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392">
              <w:r>
                <w:rPr>
                  <w:rFonts w:ascii="Times New Roman" w:cs="Times New Roman" w:eastAsia="Times New Roman" w:hAnsi="Times New Roman"/>
                  <w:sz w:val="18"/>
                  <w:szCs w:val="18"/>
                  <w:color w:val="0000EE"/>
                  <w:w w:val="99"/>
                </w:rPr>
                <w:t>and Exchange Commission on March 28, 2025)</w:t>
              </w:r>
            </w:hyperlink>
          </w:p>
        </w:tc>
        <w:tc>
          <w:tcPr>
            <w:tcW w:w="602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12.1*</w:t>
            </w:r>
          </w:p>
        </w:tc>
        <w:tc>
          <w:tcPr>
            <w:tcW w:w="948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Certification by Principal Executive Officer Pursuant to Section 302 of the Sarbanes-Oxley Act of 2002</w:t>
            </w:r>
          </w:p>
        </w:tc>
        <w:tc>
          <w:tcPr>
            <w:tcW w:w="0" w:type="dxa"/>
            <w:vAlign w:val="bottom"/>
          </w:tcPr>
          <w:p>
            <w:pPr>
              <w:spacing w:after="0"/>
              <w:rPr>
                <w:sz w:val="1"/>
                <w:szCs w:val="1"/>
                <w:color w:val="auto"/>
              </w:rPr>
            </w:pPr>
          </w:p>
        </w:tc>
      </w:tr>
      <w:tr>
        <w:trPr>
          <w:trHeight w:val="304"/>
        </w:trPr>
        <w:tc>
          <w:tcPr>
            <w:tcW w:w="1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12.2*</w:t>
            </w:r>
          </w:p>
        </w:tc>
        <w:tc>
          <w:tcPr>
            <w:tcW w:w="7460" w:type="dxa"/>
            <w:vAlign w:val="bottom"/>
            <w:tcBorders>
              <w:top w:val="single" w:sz="8" w:color="0000EE"/>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rPr>
              <w:t>Certification by Principal Financial Officer Pursuant to Section 302 of the Sarbanes-Oxley Act of 2002</w:t>
            </w:r>
          </w:p>
        </w:tc>
        <w:tc>
          <w:tcPr>
            <w:tcW w:w="20" w:type="dxa"/>
            <w:vAlign w:val="bottom"/>
            <w:tcBorders>
              <w:top w:val="single" w:sz="8" w:color="0000EE"/>
            </w:tcBorders>
          </w:tcPr>
          <w:p>
            <w:pPr>
              <w:spacing w:after="0"/>
              <w:rPr>
                <w:sz w:val="24"/>
                <w:szCs w:val="24"/>
                <w:color w:val="auto"/>
              </w:rPr>
            </w:pPr>
          </w:p>
        </w:tc>
        <w:tc>
          <w:tcPr>
            <w:tcW w:w="20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13.1**</w:t>
            </w:r>
          </w:p>
        </w:tc>
        <w:tc>
          <w:tcPr>
            <w:tcW w:w="948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Certification by Principal Executive Officer Pursuant to Section 906 of the Sarbanes-Oxley Act of 2002</w:t>
            </w:r>
          </w:p>
        </w:tc>
        <w:tc>
          <w:tcPr>
            <w:tcW w:w="0" w:type="dxa"/>
            <w:vAlign w:val="bottom"/>
          </w:tcPr>
          <w:p>
            <w:pPr>
              <w:spacing w:after="0"/>
              <w:rPr>
                <w:sz w:val="1"/>
                <w:szCs w:val="1"/>
                <w:color w:val="auto"/>
              </w:rPr>
            </w:pPr>
          </w:p>
        </w:tc>
      </w:tr>
      <w:tr>
        <w:trPr>
          <w:trHeight w:val="304"/>
        </w:trPr>
        <w:tc>
          <w:tcPr>
            <w:tcW w:w="1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13.2**</w:t>
            </w:r>
          </w:p>
        </w:tc>
        <w:tc>
          <w:tcPr>
            <w:tcW w:w="7440" w:type="dxa"/>
            <w:vAlign w:val="bottom"/>
            <w:tcBorders>
              <w:top w:val="single" w:sz="8" w:color="0000EE"/>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Certification by Principal Financial Officer Pursuant to Section 906 of the Sarbanes-Oxley Act of 2002</w:t>
            </w:r>
          </w:p>
        </w:tc>
        <w:tc>
          <w:tcPr>
            <w:tcW w:w="40" w:type="dxa"/>
            <w:vAlign w:val="bottom"/>
            <w:tcBorders>
              <w:top w:val="single" w:sz="8" w:color="0000EE"/>
            </w:tcBorders>
            <w:gridSpan w:val="2"/>
          </w:tcPr>
          <w:p>
            <w:pPr>
              <w:spacing w:after="0"/>
              <w:rPr>
                <w:sz w:val="24"/>
                <w:szCs w:val="24"/>
                <w:color w:val="auto"/>
              </w:rPr>
            </w:pPr>
          </w:p>
        </w:tc>
        <w:tc>
          <w:tcPr>
            <w:tcW w:w="20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15.1*</w:t>
            </w:r>
          </w:p>
        </w:tc>
        <w:tc>
          <w:tcPr>
            <w:tcW w:w="358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Consent of Maples and Calder (Hong Kong) LLP</w:t>
            </w:r>
          </w:p>
        </w:tc>
        <w:tc>
          <w:tcPr>
            <w:tcW w:w="590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15.2*</w:t>
            </w:r>
          </w:p>
        </w:tc>
        <w:tc>
          <w:tcPr>
            <w:tcW w:w="948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Consent of Han Kun Law Offices</w:t>
            </w:r>
          </w:p>
        </w:tc>
        <w:tc>
          <w:tcPr>
            <w:tcW w:w="0" w:type="dxa"/>
            <w:vAlign w:val="bottom"/>
          </w:tcPr>
          <w:p>
            <w:pPr>
              <w:spacing w:after="0"/>
              <w:rPr>
                <w:sz w:val="1"/>
                <w:szCs w:val="1"/>
                <w:color w:val="auto"/>
              </w:rPr>
            </w:pPr>
          </w:p>
        </w:tc>
      </w:tr>
      <w:tr>
        <w:trPr>
          <w:trHeight w:val="20"/>
        </w:trPr>
        <w:tc>
          <w:tcPr>
            <w:tcW w:w="1540" w:type="dxa"/>
            <w:vAlign w:val="bottom"/>
            <w:gridSpan w:val="3"/>
          </w:tcPr>
          <w:p>
            <w:pPr>
              <w:spacing w:after="0" w:line="20" w:lineRule="exact"/>
              <w:rPr>
                <w:sz w:val="1"/>
                <w:szCs w:val="1"/>
                <w:color w:val="auto"/>
              </w:rPr>
            </w:pPr>
          </w:p>
        </w:tc>
        <w:tc>
          <w:tcPr>
            <w:tcW w:w="242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320" w:type="dxa"/>
            <w:vAlign w:val="bottom"/>
            <w:gridSpan w:val="1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15.3*</w:t>
            </w:r>
          </w:p>
        </w:tc>
        <w:tc>
          <w:tcPr>
            <w:tcW w:w="948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Consent of Ernst &amp; Young Hua Ming LLP</w:t>
            </w:r>
          </w:p>
        </w:tc>
        <w:tc>
          <w:tcPr>
            <w:tcW w:w="0" w:type="dxa"/>
            <w:vAlign w:val="bottom"/>
          </w:tcPr>
          <w:p>
            <w:pPr>
              <w:spacing w:after="0"/>
              <w:rPr>
                <w:sz w:val="1"/>
                <w:szCs w:val="1"/>
                <w:color w:val="auto"/>
              </w:rPr>
            </w:pPr>
          </w:p>
        </w:tc>
      </w:tr>
      <w:tr>
        <w:trPr>
          <w:trHeight w:val="20"/>
        </w:trPr>
        <w:tc>
          <w:tcPr>
            <w:tcW w:w="1540" w:type="dxa"/>
            <w:vAlign w:val="bottom"/>
            <w:gridSpan w:val="3"/>
          </w:tcPr>
          <w:p>
            <w:pPr>
              <w:spacing w:after="0" w:line="20" w:lineRule="exact"/>
              <w:rPr>
                <w:sz w:val="1"/>
                <w:szCs w:val="1"/>
                <w:color w:val="auto"/>
              </w:rPr>
            </w:pPr>
          </w:p>
        </w:tc>
        <w:tc>
          <w:tcPr>
            <w:tcW w:w="306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320" w:type="dxa"/>
            <w:vAlign w:val="bottom"/>
            <w:gridSpan w:val="1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97</w:t>
            </w:r>
          </w:p>
        </w:tc>
        <w:tc>
          <w:tcPr>
            <w:tcW w:w="9480" w:type="dxa"/>
            <w:vAlign w:val="bottom"/>
            <w:gridSpan w:val="17"/>
          </w:tcPr>
          <w:p>
            <w:pPr>
              <w:spacing w:after="0"/>
              <w:rPr>
                <w:rFonts w:ascii="Times New Roman" w:cs="Times New Roman" w:eastAsia="Times New Roman" w:hAnsi="Times New Roman"/>
                <w:sz w:val="18"/>
                <w:szCs w:val="18"/>
                <w:color w:val="0000EE"/>
              </w:rPr>
            </w:pPr>
            <w:hyperlink r:id="rId393">
              <w:r>
                <w:rPr>
                  <w:rFonts w:ascii="Times New Roman" w:cs="Times New Roman" w:eastAsia="Times New Roman" w:hAnsi="Times New Roman"/>
                  <w:sz w:val="18"/>
                  <w:szCs w:val="18"/>
                  <w:color w:val="0000EE"/>
                </w:rPr>
                <w:t>Clawback Policy (incorporated by reference to Exhibit 97 of our Annual Report on Form 20-F filed with the Securities and</w:t>
              </w:r>
            </w:hyperlink>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46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393">
              <w:r>
                <w:rPr>
                  <w:rFonts w:ascii="Times New Roman" w:cs="Times New Roman" w:eastAsia="Times New Roman" w:hAnsi="Times New Roman"/>
                  <w:sz w:val="18"/>
                  <w:szCs w:val="18"/>
                  <w:color w:val="0000EE"/>
                </w:rPr>
                <w:t>Exchange Commission on March 15, 2024)</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40" w:type="dxa"/>
            <w:vAlign w:val="bottom"/>
            <w:gridSpan w:val="3"/>
          </w:tcPr>
          <w:p>
            <w:pPr>
              <w:spacing w:after="0" w:line="20" w:lineRule="exact"/>
              <w:rPr>
                <w:sz w:val="1"/>
                <w:szCs w:val="1"/>
                <w:color w:val="auto"/>
              </w:rPr>
            </w:pPr>
          </w:p>
        </w:tc>
        <w:tc>
          <w:tcPr>
            <w:tcW w:w="3140" w:type="dxa"/>
            <w:vAlign w:val="bottom"/>
            <w:gridSpan w:val="3"/>
            <w:shd w:val="clear" w:color="auto" w:fill="0000EE"/>
          </w:tcPr>
          <w:p>
            <w:pPr>
              <w:spacing w:after="0" w:line="20" w:lineRule="exact"/>
              <w:rPr>
                <w:sz w:val="1"/>
                <w:szCs w:val="1"/>
                <w:color w:val="auto"/>
              </w:rPr>
            </w:pPr>
          </w:p>
        </w:tc>
        <w:tc>
          <w:tcPr>
            <w:tcW w:w="6340" w:type="dxa"/>
            <w:vAlign w:val="bottom"/>
            <w:gridSpan w:val="1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1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101.INS</w:t>
            </w:r>
            <w:r>
              <w:rPr>
                <w:rFonts w:ascii="Times New Roman" w:cs="Times New Roman" w:eastAsia="Times New Roman" w:hAnsi="Times New Roman"/>
                <w:sz w:val="26"/>
                <w:szCs w:val="26"/>
                <w:color w:val="auto"/>
                <w:vertAlign w:val="superscript"/>
              </w:rPr>
              <w:t>*</w:t>
            </w:r>
          </w:p>
        </w:tc>
        <w:tc>
          <w:tcPr>
            <w:tcW w:w="94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Instance Document—the instance document does not appear in the Interactive Data File as its XBRL tags are</w:t>
            </w:r>
          </w:p>
        </w:tc>
        <w:tc>
          <w:tcPr>
            <w:tcW w:w="0" w:type="dxa"/>
            <w:vAlign w:val="bottom"/>
          </w:tcPr>
          <w:p>
            <w:pPr>
              <w:spacing w:after="0"/>
              <w:rPr>
                <w:sz w:val="1"/>
                <w:szCs w:val="1"/>
                <w:color w:val="auto"/>
              </w:rPr>
            </w:pPr>
          </w:p>
        </w:tc>
      </w:tr>
      <w:tr>
        <w:trPr>
          <w:trHeight w:val="234"/>
        </w:trPr>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4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0" w:type="dxa"/>
            <w:vAlign w:val="bottom"/>
          </w:tcPr>
          <w:p>
            <w:pPr>
              <w:spacing w:after="0"/>
              <w:rPr>
                <w:sz w:val="1"/>
                <w:szCs w:val="1"/>
                <w:color w:val="auto"/>
              </w:rPr>
            </w:pPr>
          </w:p>
        </w:tc>
      </w:tr>
      <w:tr>
        <w:trPr>
          <w:trHeight w:val="414"/>
        </w:trPr>
        <w:tc>
          <w:tcPr>
            <w:tcW w:w="1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101.SCH</w:t>
            </w:r>
            <w:r>
              <w:rPr>
                <w:rFonts w:ascii="Times New Roman" w:cs="Times New Roman" w:eastAsia="Times New Roman" w:hAnsi="Times New Roman"/>
                <w:sz w:val="26"/>
                <w:szCs w:val="26"/>
                <w:color w:val="auto"/>
                <w:vertAlign w:val="superscript"/>
              </w:rPr>
              <w:t>*</w:t>
            </w:r>
          </w:p>
        </w:tc>
        <w:tc>
          <w:tcPr>
            <w:tcW w:w="94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c>
          <w:tcPr>
            <w:tcW w:w="0" w:type="dxa"/>
            <w:vAlign w:val="bottom"/>
          </w:tcPr>
          <w:p>
            <w:pPr>
              <w:spacing w:after="0"/>
              <w:rPr>
                <w:sz w:val="1"/>
                <w:szCs w:val="1"/>
                <w:color w:val="auto"/>
              </w:rPr>
            </w:pPr>
          </w:p>
        </w:tc>
      </w:tr>
      <w:tr>
        <w:trPr>
          <w:trHeight w:val="234"/>
        </w:trPr>
        <w:tc>
          <w:tcPr>
            <w:tcW w:w="1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104</w:t>
            </w:r>
          </w:p>
        </w:tc>
        <w:tc>
          <w:tcPr>
            <w:tcW w:w="94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Cover Page formatted as Inline XBRL and contained in Exhibit 101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9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540" w:hanging="424"/>
        <w:spacing w:after="0"/>
        <w:tabs>
          <w:tab w:leader="none" w:pos="54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540" w:hanging="424"/>
        <w:spacing w:after="0"/>
        <w:tabs>
          <w:tab w:leader="none" w:pos="54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1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222</w:t>
      </w:r>
    </w:p>
    <w:p>
      <w:pPr>
        <w:sectPr>
          <w:pgSz w:w="11900" w:h="16838" w:orient="portrait"/>
          <w:cols w:equalWidth="0" w:num="1">
            <w:col w:w="11140"/>
          </w:cols>
          <w:pgMar w:left="320" w:top="482" w:right="43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9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registrant hereby certifies that it meets all of the requirements for filing its annual report on Form 20-F and that it has duly caused and authorized the undersigned to sign this annual report on its behalf.</w:t>
      </w:r>
    </w:p>
    <w:p>
      <w:pPr>
        <w:spacing w:after="0" w:line="18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Baidu, Inc.</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Robin Yanhong 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17145</wp:posOffset>
            </wp:positionV>
            <wp:extent cx="259715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96">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Robin Yanhong Li</w:t>
      </w:r>
    </w:p>
    <w:p>
      <w:pPr>
        <w:spacing w:after="0" w:line="2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Title: Chairman and Chief Executive Officer</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Date: March 17, 2026</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223</w:t>
      </w:r>
    </w:p>
    <w:p>
      <w:pPr>
        <w:sectPr>
          <w:pgSz w:w="11900" w:h="16838" w:orient="portrait"/>
          <w:cols w:equalWidth="0" w:num="1">
            <w:col w:w="11120"/>
          </w:cols>
          <w:pgMar w:left="320" w:top="482" w:right="45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9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BAIDU, INC.</w:t>
      </w:r>
    </w:p>
    <w:p>
      <w:pPr>
        <w:spacing w:after="0" w:line="1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INDEX TO CONSOLIDATED FINANCIAL STATEMENTS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82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color w:val="auto"/>
              </w:rPr>
              <w:t>Page(s)</w:t>
            </w:r>
          </w:p>
        </w:tc>
      </w:tr>
      <w:tr>
        <w:trPr>
          <w:trHeight w:val="263"/>
        </w:trPr>
        <w:tc>
          <w:tcPr>
            <w:tcW w:w="574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Reports of Independent Registered Public Accounting Firm (PCAOB ID: 1408)</w:t>
            </w:r>
          </w:p>
        </w:tc>
        <w:tc>
          <w:tcPr>
            <w:tcW w:w="4380" w:type="dxa"/>
            <w:vAlign w:val="bottom"/>
            <w:gridSpan w:val="4"/>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F-2-F-4</w:t>
            </w:r>
          </w:p>
        </w:tc>
      </w:tr>
      <w:tr>
        <w:trPr>
          <w:trHeight w:val="304"/>
        </w:trPr>
        <w:tc>
          <w:tcPr>
            <w:tcW w:w="1012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Consolidated Balance Sheets as of December 31, 2024 and 2025</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F-5</w:t>
            </w:r>
          </w:p>
        </w:tc>
      </w:tr>
      <w:tr>
        <w:trPr>
          <w:trHeight w:val="20"/>
        </w:trPr>
        <w:tc>
          <w:tcPr>
            <w:tcW w:w="340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304"/>
        </w:trPr>
        <w:tc>
          <w:tcPr>
            <w:tcW w:w="1012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Consolidated Statements of Comprehensive Income for the Years Ended December 31, 2023, 2024 and 2025</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F-6</w:t>
            </w:r>
          </w:p>
        </w:tc>
      </w:tr>
      <w:tr>
        <w:trPr>
          <w:trHeight w:val="304"/>
        </w:trPr>
        <w:tc>
          <w:tcPr>
            <w:tcW w:w="696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Consolidated Statements of Cash Flows for the Years Ended December 31, 2023, 2024 and 2025</w:t>
            </w:r>
          </w:p>
        </w:tc>
        <w:tc>
          <w:tcPr>
            <w:tcW w:w="860" w:type="dxa"/>
            <w:vAlign w:val="bottom"/>
            <w:tcBorders>
              <w:top w:val="single" w:sz="8" w:color="0000EE"/>
            </w:tcBorders>
            <w:gridSpan w:val="2"/>
          </w:tcPr>
          <w:p>
            <w:pPr>
              <w:spacing w:after="0"/>
              <w:rPr>
                <w:sz w:val="24"/>
                <w:szCs w:val="24"/>
                <w:color w:val="auto"/>
              </w:rPr>
            </w:pPr>
          </w:p>
        </w:tc>
        <w:tc>
          <w:tcPr>
            <w:tcW w:w="23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F-7-F-8</w:t>
            </w:r>
          </w:p>
        </w:tc>
      </w:tr>
      <w:tr>
        <w:trPr>
          <w:trHeight w:val="304"/>
        </w:trPr>
        <w:tc>
          <w:tcPr>
            <w:tcW w:w="764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Consolidated Statements of Shareholders’ Equity for the Years Ended December 31, 2023, 2024 and 2025</w:t>
            </w:r>
          </w:p>
        </w:tc>
        <w:tc>
          <w:tcPr>
            <w:tcW w:w="2480" w:type="dxa"/>
            <w:vAlign w:val="bottom"/>
            <w:gridSpan w:val="2"/>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F-9</w:t>
            </w:r>
          </w:p>
        </w:tc>
      </w:tr>
      <w:tr>
        <w:trPr>
          <w:trHeight w:val="304"/>
        </w:trPr>
        <w:tc>
          <w:tcPr>
            <w:tcW w:w="1012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Notes to the Consolidated Financial Statements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F-10-F-65</w:t>
            </w:r>
          </w:p>
        </w:tc>
      </w:tr>
      <w:tr>
        <w:trPr>
          <w:trHeight w:val="385"/>
        </w:trPr>
        <w:tc>
          <w:tcPr>
            <w:tcW w:w="3400" w:type="dxa"/>
            <w:vAlign w:val="bottom"/>
            <w:tcBorders>
              <w:top w:val="single" w:sz="8" w:color="0000EE"/>
            </w:tcBorders>
          </w:tcPr>
          <w:p>
            <w:pPr>
              <w:spacing w:after="0"/>
              <w:rPr>
                <w:sz w:val="24"/>
                <w:szCs w:val="24"/>
                <w:color w:val="auto"/>
              </w:rPr>
            </w:pPr>
          </w:p>
        </w:tc>
        <w:tc>
          <w:tcPr>
            <w:tcW w:w="1240" w:type="dxa"/>
            <w:vAlign w:val="bottom"/>
          </w:tcPr>
          <w:p>
            <w:pPr>
              <w:spacing w:after="0"/>
              <w:rPr>
                <w:sz w:val="24"/>
                <w:szCs w:val="24"/>
                <w:color w:val="auto"/>
              </w:rPr>
            </w:pPr>
          </w:p>
        </w:tc>
        <w:tc>
          <w:tcPr>
            <w:tcW w:w="5480" w:type="dxa"/>
            <w:vAlign w:val="bottom"/>
            <w:gridSpan w:val="5"/>
          </w:tcPr>
          <w:p>
            <w:pPr>
              <w:ind w:left="740"/>
              <w:spacing w:after="0"/>
              <w:rPr>
                <w:sz w:val="20"/>
                <w:szCs w:val="20"/>
                <w:color w:val="auto"/>
              </w:rPr>
            </w:pPr>
            <w:r>
              <w:rPr>
                <w:rFonts w:ascii="Times New Roman" w:cs="Times New Roman" w:eastAsia="Times New Roman" w:hAnsi="Times New Roman"/>
                <w:sz w:val="18"/>
                <w:szCs w:val="18"/>
                <w:color w:val="auto"/>
              </w:rPr>
              <w:t>F-1</w:t>
            </w:r>
          </w:p>
        </w:tc>
        <w:tc>
          <w:tcPr>
            <w:tcW w:w="820" w:type="dxa"/>
            <w:vAlign w:val="bottom"/>
          </w:tcPr>
          <w:p>
            <w:pPr>
              <w:spacing w:after="0"/>
              <w:rPr>
                <w:sz w:val="24"/>
                <w:szCs w:val="24"/>
                <w:color w:val="auto"/>
              </w:rPr>
            </w:pPr>
          </w:p>
        </w:tc>
      </w:tr>
    </w:tbl>
    <w:p>
      <w:pPr>
        <w:sectPr>
          <w:pgSz w:w="11900" w:h="16838" w:orient="portrait"/>
          <w:cols w:equalWidth="0" w:num="1">
            <w:col w:w="11060"/>
          </w:cols>
          <w:pgMar w:left="320" w:top="482" w:right="51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9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Shareholders and the Board of Directors of Baidu, Inc.</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48" w:lineRule="exact"/>
        <w:rPr>
          <w:sz w:val="20"/>
          <w:szCs w:val="20"/>
          <w:color w:val="auto"/>
        </w:rPr>
      </w:pPr>
    </w:p>
    <w:p>
      <w:pPr>
        <w:jc w:val="both"/>
        <w:ind w:left="120" w:right="20"/>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Baidu, Inc. (the Company) as of December 31, 2025 and 2024, the related consolidated statements of comprehensive income, shareholders’ equity and cash flows for each of the three years in the period ended December 31, 2025,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three years in the period ended December 31, 2025, in conformity with U.S. generally accepted accounting principles.</w:t>
      </w:r>
    </w:p>
    <w:p>
      <w:pPr>
        <w:spacing w:after="0" w:line="183"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2025, based on criteria established in Internal Control-Integrated Framework issued by the Committee of Sponsoring Organizations of the Treadway Commission (2013 framework) and our report dated March 17, 2026 expressed an unqualified opinion thereon.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jc w:val="both"/>
        <w:ind w:left="120" w:right="2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ind w:left="120"/>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229" w:lineRule="exact"/>
        <w:rPr>
          <w:sz w:val="20"/>
          <w:szCs w:val="20"/>
          <w:color w:val="auto"/>
        </w:rPr>
      </w:pPr>
    </w:p>
    <w:p>
      <w:pPr>
        <w:jc w:val="both"/>
        <w:ind w:left="120"/>
        <w:spacing w:after="0" w:line="258"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06"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ectPr>
          <w:pgSz w:w="11900" w:h="16838" w:orient="portrait"/>
          <w:cols w:equalWidth="0" w:num="1">
            <w:col w:w="11140"/>
          </w:cols>
          <w:pgMar w:left="320" w:top="482" w:right="439" w:bottom="1440" w:gutter="0" w:footer="0" w:header="0"/>
        </w:sectPr>
      </w:pP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described in Notes 2 and 26 to the consolidated financial statements, the Company recognized RMB16,190 million (US$2,315 million) impairment loss for an asset group (“Asset Group”) for the year ended December 31, 2025. The Company performed a recoverability test on the long-lived assets associated with the Asset Group. The result of the recoverability test indicated that the future undiscounted cash flows expected to result from the use of the assets and the eventual disposition is less than the carrying amount of the Asset Group. The Company determined the fair value of the Asset Group using the discounted cash flows method and reduced the carrying amount of the Asset Group to its estimated fair value.</w:t>
      </w:r>
    </w:p>
    <w:p>
      <w:pPr>
        <w:spacing w:after="0" w:line="200" w:lineRule="exact"/>
        <w:rPr>
          <w:sz w:val="20"/>
          <w:szCs w:val="20"/>
          <w:color w:val="auto"/>
        </w:rPr>
      </w:pPr>
    </w:p>
    <w:p>
      <w:pPr>
        <w:sectPr>
          <w:pgSz w:w="11900" w:h="16838" w:orient="portrait"/>
          <w:cols w:equalWidth="0" w:num="2">
            <w:col w:w="2600" w:space="720"/>
            <w:col w:w="7820"/>
          </w:cols>
          <w:pgMar w:left="320" w:top="482" w:right="439" w:bottom="1440" w:gutter="0" w:footer="0" w:header="0"/>
          <w:type w:val="continuous"/>
        </w:sectPr>
      </w:pPr>
    </w:p>
    <w:p>
      <w:pPr>
        <w:spacing w:after="0" w:line="16" w:lineRule="exact"/>
        <w:rPr>
          <w:sz w:val="20"/>
          <w:szCs w:val="20"/>
          <w:color w:val="auto"/>
        </w:rPr>
      </w:pPr>
    </w:p>
    <w:p>
      <w:pPr>
        <w:jc w:val="both"/>
        <w:ind w:left="3320"/>
        <w:spacing w:after="0" w:line="261" w:lineRule="auto"/>
        <w:rPr>
          <w:sz w:val="20"/>
          <w:szCs w:val="20"/>
          <w:color w:val="auto"/>
        </w:rPr>
      </w:pPr>
      <w:r>
        <w:rPr>
          <w:rFonts w:ascii="Times New Roman" w:cs="Times New Roman" w:eastAsia="Times New Roman" w:hAnsi="Times New Roman"/>
          <w:sz w:val="18"/>
          <w:szCs w:val="18"/>
          <w:color w:val="auto"/>
        </w:rPr>
        <w:t>Auditing the impairment loss for the Asset Group recorded by the Company required subjective auditor’s judgment due to the estimation uncertainty in determining the fair value of the Asset Group. Significant assumptions used included revenue growth rates and the discount rate. These significant assumptions are forward looking and could be affected by future economic and market conditions.</w:t>
      </w:r>
    </w:p>
    <w:p>
      <w:pPr>
        <w:spacing w:after="0" w:line="1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140"/>
          </w:cols>
          <w:pgMar w:left="320" w:top="482" w:right="439" w:bottom="1440" w:gutter="0" w:footer="0" w:header="0"/>
          <w:type w:val="continuous"/>
        </w:sectPr>
      </w:pPr>
    </w:p>
    <w:bookmarkStart w:id="227" w:name="page228"/>
    <w:bookmarkEnd w:id="227"/>
    <w:tbl>
      <w:tblPr>
        <w:tblLayout w:type="fixed"/>
        <w:tblInd w:w="0" w:type="dxa"/>
        <w:tblCellMar>
          <w:top w:w="0" w:type="dxa"/>
          <w:left w:w="0" w:type="dxa"/>
          <w:bottom w:w="0" w:type="dxa"/>
          <w:right w:w="0" w:type="dxa"/>
        </w:tblCellMar>
      </w:tblPr>
      <w:tr>
        <w:trPr>
          <w:trHeight w:val="207"/>
        </w:trPr>
        <w:tc>
          <w:tcPr>
            <w:tcW w:w="2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8500" w:type="dxa"/>
            <w:vAlign w:val="bottom"/>
          </w:tcPr>
          <w:p>
            <w:pPr>
              <w:spacing w:after="0"/>
              <w:rPr>
                <w:sz w:val="17"/>
                <w:szCs w:val="17"/>
                <w:color w:val="auto"/>
              </w:rPr>
            </w:pPr>
          </w:p>
        </w:tc>
      </w:tr>
      <w:tr>
        <w:trPr>
          <w:trHeight w:val="20"/>
        </w:trPr>
        <w:tc>
          <w:tcPr>
            <w:tcW w:w="136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r>
      <w:tr>
        <w:trPr>
          <w:trHeight w:val="635"/>
        </w:trPr>
        <w:tc>
          <w:tcPr>
            <w:tcW w:w="2640" w:type="dxa"/>
            <w:vAlign w:val="bottom"/>
            <w:gridSpan w:val="2"/>
          </w:tcPr>
          <w:p>
            <w:pPr>
              <w:ind w:left="120"/>
              <w:spacing w:after="0"/>
              <w:rPr>
                <w:sz w:val="20"/>
                <w:szCs w:val="20"/>
                <w:color w:val="auto"/>
              </w:rPr>
            </w:pPr>
            <w:r>
              <w:rPr>
                <w:rFonts w:ascii="Times New Roman" w:cs="Times New Roman" w:eastAsia="Times New Roman" w:hAnsi="Times New Roman"/>
                <w:sz w:val="18"/>
                <w:szCs w:val="18"/>
                <w:i w:val="1"/>
                <w:iCs w:val="1"/>
                <w:color w:val="auto"/>
              </w:rPr>
              <w:t>How We Addressed the</w:t>
            </w:r>
          </w:p>
        </w:tc>
        <w:tc>
          <w:tcPr>
            <w:tcW w:w="85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We obtained an understanding, evaluated the design and tested the operating effectiveness of controls over</w:t>
            </w:r>
          </w:p>
        </w:tc>
      </w:tr>
      <w:tr>
        <w:trPr>
          <w:trHeight w:val="218"/>
        </w:trPr>
        <w:tc>
          <w:tcPr>
            <w:tcW w:w="2640" w:type="dxa"/>
            <w:vAlign w:val="bottom"/>
            <w:gridSpan w:val="2"/>
          </w:tcPr>
          <w:p>
            <w:pPr>
              <w:ind w:left="120"/>
              <w:spacing w:after="0"/>
              <w:rPr>
                <w:sz w:val="20"/>
                <w:szCs w:val="20"/>
                <w:color w:val="auto"/>
              </w:rPr>
            </w:pPr>
            <w:r>
              <w:rPr>
                <w:rFonts w:ascii="Times New Roman" w:cs="Times New Roman" w:eastAsia="Times New Roman" w:hAnsi="Times New Roman"/>
                <w:sz w:val="18"/>
                <w:szCs w:val="18"/>
                <w:i w:val="1"/>
                <w:iCs w:val="1"/>
                <w:color w:val="auto"/>
              </w:rPr>
              <w:t>Matter in Our Audit</w:t>
            </w:r>
          </w:p>
        </w:tc>
        <w:tc>
          <w:tcPr>
            <w:tcW w:w="85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management’s process of determining the fair value of the Asset Group. For example, we tested the controls</w:t>
            </w:r>
          </w:p>
        </w:tc>
      </w:tr>
      <w:tr>
        <w:trPr>
          <w:trHeight w:val="216"/>
        </w:trPr>
        <w:tc>
          <w:tcPr>
            <w:tcW w:w="1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5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over management’s review of the significant assumptions used to determine the fair value of the Asset</w:t>
            </w:r>
          </w:p>
        </w:tc>
      </w:tr>
      <w:tr>
        <w:trPr>
          <w:trHeight w:val="234"/>
        </w:trPr>
        <w:tc>
          <w:tcPr>
            <w:tcW w:w="1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5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Group.</w:t>
            </w:r>
          </w:p>
        </w:tc>
      </w:tr>
      <w:tr>
        <w:trPr>
          <w:trHeight w:val="441"/>
        </w:trPr>
        <w:tc>
          <w:tcPr>
            <w:tcW w:w="1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5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 test the impairment loss for the Asset Group recorded by the Company, we performed audit procedures</w:t>
            </w:r>
          </w:p>
        </w:tc>
      </w:tr>
      <w:tr>
        <w:trPr>
          <w:trHeight w:val="216"/>
        </w:trPr>
        <w:tc>
          <w:tcPr>
            <w:tcW w:w="1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5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that included, among others, evaluating the significant assumptions described above. We evaluated the</w:t>
            </w:r>
          </w:p>
        </w:tc>
      </w:tr>
      <w:tr>
        <w:trPr>
          <w:trHeight w:val="216"/>
        </w:trPr>
        <w:tc>
          <w:tcPr>
            <w:tcW w:w="1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5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relevance and reliability of external data used by the management’s specialist. For example, we considered</w:t>
            </w:r>
          </w:p>
        </w:tc>
      </w:tr>
      <w:tr>
        <w:trPr>
          <w:trHeight w:val="216"/>
        </w:trPr>
        <w:tc>
          <w:tcPr>
            <w:tcW w:w="1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5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the Company’s historical results and industry trends when evaluating revenue growth rates. We tested the</w:t>
            </w:r>
          </w:p>
        </w:tc>
      </w:tr>
      <w:tr>
        <w:trPr>
          <w:trHeight w:val="216"/>
        </w:trPr>
        <w:tc>
          <w:tcPr>
            <w:tcW w:w="1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5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completeness and accuracy of the underlying data used. We involved our internal valuation specialists to</w:t>
            </w:r>
          </w:p>
        </w:tc>
      </w:tr>
      <w:tr>
        <w:trPr>
          <w:trHeight w:val="216"/>
        </w:trPr>
        <w:tc>
          <w:tcPr>
            <w:tcW w:w="1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5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assist in evaluating the Company’s methodology to determine the fair value of the Asset Group, and the</w:t>
            </w:r>
          </w:p>
        </w:tc>
      </w:tr>
      <w:tr>
        <w:trPr>
          <w:trHeight w:val="216"/>
        </w:trPr>
        <w:tc>
          <w:tcPr>
            <w:tcW w:w="1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5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Asset Group’s discount rate by comparing it to a discount rate that was independently developed using</w:t>
            </w:r>
          </w:p>
        </w:tc>
      </w:tr>
      <w:tr>
        <w:trPr>
          <w:trHeight w:val="216"/>
        </w:trPr>
        <w:tc>
          <w:tcPr>
            <w:tcW w:w="1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5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observable  market  information.  We  also  performed  sensitivity  analyses  of  significant  assumptions</w:t>
            </w:r>
          </w:p>
        </w:tc>
      </w:tr>
      <w:tr>
        <w:trPr>
          <w:trHeight w:val="216"/>
        </w:trPr>
        <w:tc>
          <w:tcPr>
            <w:tcW w:w="1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5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mentioned above to evaluate the changes in the Asset Group’s fair value resulting from changes in the</w:t>
            </w:r>
          </w:p>
        </w:tc>
      </w:tr>
      <w:tr>
        <w:trPr>
          <w:trHeight w:val="234"/>
        </w:trPr>
        <w:tc>
          <w:tcPr>
            <w:tcW w:w="1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5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assumptions.</w:t>
            </w:r>
          </w:p>
        </w:tc>
      </w:tr>
      <w:tr>
        <w:trPr>
          <w:trHeight w:val="531"/>
        </w:trPr>
        <w:tc>
          <w:tcPr>
            <w:tcW w:w="1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500" w:type="dxa"/>
            <w:vAlign w:val="bottom"/>
          </w:tcPr>
          <w:p>
            <w:pPr>
              <w:ind w:left="680"/>
              <w:spacing w:after="0"/>
              <w:rPr>
                <w:sz w:val="20"/>
                <w:szCs w:val="20"/>
                <w:color w:val="auto"/>
              </w:rPr>
            </w:pPr>
            <w:r>
              <w:rPr>
                <w:rFonts w:ascii="Times New Roman" w:cs="Times New Roman" w:eastAsia="Times New Roman" w:hAnsi="Times New Roman"/>
                <w:sz w:val="18"/>
                <w:szCs w:val="18"/>
                <w:b w:val="1"/>
                <w:bCs w:val="1"/>
                <w:i w:val="1"/>
                <w:iCs w:val="1"/>
                <w:color w:val="auto"/>
              </w:rPr>
              <w:t>Impairment assessment of equity investments without readily determinable fair value using the</w:t>
            </w:r>
          </w:p>
        </w:tc>
      </w:tr>
      <w:tr>
        <w:trPr>
          <w:trHeight w:val="238"/>
        </w:trPr>
        <w:tc>
          <w:tcPr>
            <w:tcW w:w="1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500" w:type="dxa"/>
            <w:vAlign w:val="bottom"/>
          </w:tcPr>
          <w:p>
            <w:pPr>
              <w:ind w:left="680"/>
              <w:spacing w:after="0"/>
              <w:rPr>
                <w:sz w:val="20"/>
                <w:szCs w:val="20"/>
                <w:color w:val="auto"/>
              </w:rPr>
            </w:pPr>
            <w:r>
              <w:rPr>
                <w:rFonts w:ascii="Times New Roman" w:cs="Times New Roman" w:eastAsia="Times New Roman" w:hAnsi="Times New Roman"/>
                <w:sz w:val="18"/>
                <w:szCs w:val="18"/>
                <w:b w:val="1"/>
                <w:bCs w:val="1"/>
                <w:i w:val="1"/>
                <w:iCs w:val="1"/>
                <w:color w:val="auto"/>
              </w:rPr>
              <w:t>measurement alternative</w:t>
            </w:r>
          </w:p>
        </w:tc>
      </w:tr>
      <w:tr>
        <w:trPr>
          <w:trHeight w:val="306"/>
        </w:trPr>
        <w:tc>
          <w:tcPr>
            <w:tcW w:w="2640" w:type="dxa"/>
            <w:vAlign w:val="bottom"/>
            <w:gridSpan w:val="2"/>
          </w:tcPr>
          <w:p>
            <w:pPr>
              <w:ind w:left="120"/>
              <w:spacing w:after="0"/>
              <w:rPr>
                <w:sz w:val="20"/>
                <w:szCs w:val="20"/>
                <w:color w:val="auto"/>
              </w:rPr>
            </w:pPr>
            <w:r>
              <w:rPr>
                <w:rFonts w:ascii="Times New Roman" w:cs="Times New Roman" w:eastAsia="Times New Roman" w:hAnsi="Times New Roman"/>
                <w:sz w:val="18"/>
                <w:szCs w:val="18"/>
                <w:i w:val="1"/>
                <w:iCs w:val="1"/>
                <w:color w:val="auto"/>
              </w:rPr>
              <w:t>Description of the Matter</w:t>
            </w:r>
          </w:p>
        </w:tc>
        <w:tc>
          <w:tcPr>
            <w:tcW w:w="85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As described in Notes 2 and 4 to the consolidated financial statements, as of December 31, 2025, the</w:t>
            </w:r>
          </w:p>
        </w:tc>
      </w:tr>
      <w:tr>
        <w:trPr>
          <w:trHeight w:val="216"/>
        </w:trPr>
        <w:tc>
          <w:tcPr>
            <w:tcW w:w="1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5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Company’s consolidated balance of equity investments without readily determinable fair value using the</w:t>
            </w:r>
          </w:p>
        </w:tc>
      </w:tr>
      <w:tr>
        <w:trPr>
          <w:trHeight w:val="216"/>
        </w:trPr>
        <w:tc>
          <w:tcPr>
            <w:tcW w:w="1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5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measurement alternative was RMB5,725 million (US$819 million). For the year ended December 31, 2025,</w:t>
            </w:r>
          </w:p>
        </w:tc>
      </w:tr>
      <w:tr>
        <w:trPr>
          <w:trHeight w:val="216"/>
        </w:trPr>
        <w:tc>
          <w:tcPr>
            <w:tcW w:w="1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5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the Company recognized impairment losses of RMB263 million (US$38 million) for equity investments</w:t>
            </w:r>
          </w:p>
        </w:tc>
      </w:tr>
      <w:tr>
        <w:trPr>
          <w:trHeight w:val="216"/>
        </w:trPr>
        <w:tc>
          <w:tcPr>
            <w:tcW w:w="1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5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without readily determinable fair value using the measurement alternative. The Company performs</w:t>
            </w:r>
          </w:p>
        </w:tc>
      </w:tr>
      <w:tr>
        <w:trPr>
          <w:trHeight w:val="216"/>
        </w:trPr>
        <w:tc>
          <w:tcPr>
            <w:tcW w:w="1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5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impairment assessment to evaluate whether investments are impaired at each reporting date. Impairment</w:t>
            </w:r>
          </w:p>
        </w:tc>
      </w:tr>
      <w:tr>
        <w:trPr>
          <w:trHeight w:val="216"/>
        </w:trPr>
        <w:tc>
          <w:tcPr>
            <w:tcW w:w="1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5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indicators considered include, but are not limited to, a significant deterioration in the investee’s financial</w:t>
            </w:r>
          </w:p>
        </w:tc>
      </w:tr>
      <w:tr>
        <w:trPr>
          <w:trHeight w:val="216"/>
        </w:trPr>
        <w:tc>
          <w:tcPr>
            <w:tcW w:w="1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5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performance or business prospects, factors that raise significant concerns about the investee’s ability to</w:t>
            </w:r>
          </w:p>
        </w:tc>
      </w:tr>
      <w:tr>
        <w:trPr>
          <w:trHeight w:val="216"/>
        </w:trPr>
        <w:tc>
          <w:tcPr>
            <w:tcW w:w="1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5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continue as a going concern, adverse changes in the investee’s regulatory, economic or technologic</w:t>
            </w:r>
          </w:p>
        </w:tc>
      </w:tr>
      <w:tr>
        <w:trPr>
          <w:trHeight w:val="216"/>
        </w:trPr>
        <w:tc>
          <w:tcPr>
            <w:tcW w:w="1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5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environment and adverse changes in the general market condition of either the geographical area or the</w:t>
            </w:r>
          </w:p>
        </w:tc>
      </w:tr>
      <w:tr>
        <w:trPr>
          <w:trHeight w:val="234"/>
        </w:trPr>
        <w:tc>
          <w:tcPr>
            <w:tcW w:w="1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5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industry in which the investee operates.</w:t>
            </w:r>
          </w:p>
        </w:tc>
      </w:tr>
      <w:tr>
        <w:trPr>
          <w:trHeight w:val="441"/>
        </w:trPr>
        <w:tc>
          <w:tcPr>
            <w:tcW w:w="1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5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Auditing the Company’s impairment assessment was complex and highly judgmental due to the significant</w:t>
            </w:r>
          </w:p>
        </w:tc>
      </w:tr>
      <w:tr>
        <w:trPr>
          <w:trHeight w:val="216"/>
        </w:trPr>
        <w:tc>
          <w:tcPr>
            <w:tcW w:w="1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5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judgment involved in management’s assessment of whether indicators of impairment existed, and if so,</w:t>
            </w:r>
          </w:p>
        </w:tc>
      </w:tr>
      <w:tr>
        <w:trPr>
          <w:trHeight w:val="234"/>
        </w:trPr>
        <w:tc>
          <w:tcPr>
            <w:tcW w:w="1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5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determining whether investee was impaired based on the information available.</w:t>
            </w:r>
          </w:p>
        </w:tc>
      </w:tr>
      <w:tr>
        <w:trPr>
          <w:trHeight w:val="317"/>
        </w:trPr>
        <w:tc>
          <w:tcPr>
            <w:tcW w:w="2640" w:type="dxa"/>
            <w:vAlign w:val="bottom"/>
            <w:gridSpan w:val="2"/>
          </w:tcPr>
          <w:p>
            <w:pPr>
              <w:ind w:left="120"/>
              <w:spacing w:after="0"/>
              <w:rPr>
                <w:sz w:val="20"/>
                <w:szCs w:val="20"/>
                <w:color w:val="auto"/>
              </w:rPr>
            </w:pPr>
            <w:r>
              <w:rPr>
                <w:rFonts w:ascii="Times New Roman" w:cs="Times New Roman" w:eastAsia="Times New Roman" w:hAnsi="Times New Roman"/>
                <w:sz w:val="18"/>
                <w:szCs w:val="18"/>
                <w:i w:val="1"/>
                <w:iCs w:val="1"/>
                <w:color w:val="auto"/>
              </w:rPr>
              <w:t>How We Addressed the</w:t>
            </w:r>
          </w:p>
        </w:tc>
        <w:tc>
          <w:tcPr>
            <w:tcW w:w="850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99"/>
              </w:rPr>
              <w:t>We obtained an understanding, evaluated the design and tested the operating effectiveness of the Company’s</w:t>
            </w:r>
          </w:p>
        </w:tc>
      </w:tr>
      <w:tr>
        <w:trPr>
          <w:trHeight w:val="218"/>
        </w:trPr>
        <w:tc>
          <w:tcPr>
            <w:tcW w:w="2640" w:type="dxa"/>
            <w:vAlign w:val="bottom"/>
            <w:gridSpan w:val="2"/>
          </w:tcPr>
          <w:p>
            <w:pPr>
              <w:ind w:left="120"/>
              <w:spacing w:after="0"/>
              <w:rPr>
                <w:sz w:val="20"/>
                <w:szCs w:val="20"/>
                <w:color w:val="auto"/>
              </w:rPr>
            </w:pPr>
            <w:r>
              <w:rPr>
                <w:rFonts w:ascii="Times New Roman" w:cs="Times New Roman" w:eastAsia="Times New Roman" w:hAnsi="Times New Roman"/>
                <w:sz w:val="18"/>
                <w:szCs w:val="18"/>
                <w:i w:val="1"/>
                <w:iCs w:val="1"/>
                <w:color w:val="auto"/>
              </w:rPr>
              <w:t>Matter in Our Audit</w:t>
            </w:r>
          </w:p>
        </w:tc>
        <w:tc>
          <w:tcPr>
            <w:tcW w:w="85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controls over management’s process of assessing impairment indicators and, as necessary, determining</w:t>
            </w:r>
          </w:p>
        </w:tc>
      </w:tr>
      <w:tr>
        <w:trPr>
          <w:trHeight w:val="234"/>
        </w:trPr>
        <w:tc>
          <w:tcPr>
            <w:tcW w:w="1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5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whether an equity investment is impaired.</w:t>
            </w:r>
          </w:p>
        </w:tc>
      </w:tr>
      <w:tr>
        <w:trPr>
          <w:trHeight w:val="441"/>
        </w:trPr>
        <w:tc>
          <w:tcPr>
            <w:tcW w:w="1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5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 test the impairment assessment of equity investments without readily determinable fair value using the</w:t>
            </w:r>
          </w:p>
        </w:tc>
      </w:tr>
      <w:tr>
        <w:trPr>
          <w:trHeight w:val="216"/>
        </w:trPr>
        <w:tc>
          <w:tcPr>
            <w:tcW w:w="1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5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measurement alternative, we performed audit procedures on a sample basis that included, among others,</w:t>
            </w:r>
          </w:p>
        </w:tc>
      </w:tr>
      <w:tr>
        <w:trPr>
          <w:trHeight w:val="216"/>
        </w:trPr>
        <w:tc>
          <w:tcPr>
            <w:tcW w:w="1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5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evaluating management’s assessment of impairment indicators, including the investee’s financial condition</w:t>
            </w:r>
          </w:p>
        </w:tc>
      </w:tr>
      <w:tr>
        <w:trPr>
          <w:trHeight w:val="216"/>
        </w:trPr>
        <w:tc>
          <w:tcPr>
            <w:tcW w:w="1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5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and operating results and other relevant external information. We independently evaluated the information</w:t>
            </w:r>
          </w:p>
        </w:tc>
      </w:tr>
      <w:tr>
        <w:trPr>
          <w:trHeight w:val="216"/>
        </w:trPr>
        <w:tc>
          <w:tcPr>
            <w:tcW w:w="1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5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available to determine whether the Company’s conclusion on whether the investments are impaired is</w:t>
            </w:r>
          </w:p>
        </w:tc>
      </w:tr>
      <w:tr>
        <w:trPr>
          <w:trHeight w:val="234"/>
        </w:trPr>
        <w:tc>
          <w:tcPr>
            <w:tcW w:w="1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5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appropriate.</w:t>
            </w:r>
          </w:p>
        </w:tc>
      </w:tr>
    </w:tbl>
    <w:p>
      <w:pPr>
        <w:spacing w:after="0" w:line="2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9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color w:val="auto"/>
        </w:rPr>
        <w:t>/s/ Ernst &amp; Young Hua Ming LLP</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have served as the Company’s auditor since 2007.</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Beijing, The People’s Republic of China</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March 17, 2026</w:t>
      </w:r>
    </w:p>
    <w:p>
      <w:pPr>
        <w:spacing w:after="0" w:line="1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140"/>
          </w:cols>
          <w:pgMar w:left="320" w:top="473" w:right="43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40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Shareholders and the Board of Directors of Baidu, Inc.</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121"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We have audited Baidu, Inc.’s internal control over financial reporting as of December 31, 2025, based on criteria established in Internal Control— Integrated Framework issued by the Committee of Sponsoring Organizations of the Treadway Commission (2013 framework) (the COSO criteria). In our opinion, Baidu, Inc. (the Company) maintained, in all material respects, effective internal control over financial reporting as of December 31, 2025, based on the COSO criteria.</w:t>
      </w:r>
    </w:p>
    <w:p>
      <w:pPr>
        <w:spacing w:after="0" w:line="180" w:lineRule="exact"/>
        <w:rPr>
          <w:sz w:val="20"/>
          <w:szCs w:val="20"/>
          <w:color w:val="auto"/>
        </w:rPr>
      </w:pPr>
    </w:p>
    <w:p>
      <w:pPr>
        <w:jc w:val="both"/>
        <w:ind w:left="120"/>
        <w:spacing w:after="0" w:line="258" w:lineRule="auto"/>
        <w:rPr>
          <w:sz w:val="20"/>
          <w:szCs w:val="20"/>
          <w:color w:val="auto"/>
        </w:rPr>
      </w:pPr>
      <w:r>
        <w:rPr>
          <w:rFonts w:ascii="Times New Roman" w:cs="Times New Roman" w:eastAsia="Times New Roman" w:hAnsi="Times New Roman"/>
          <w:sz w:val="18"/>
          <w:szCs w:val="18"/>
          <w:color w:val="auto"/>
        </w:rPr>
        <w:t>As indicated in the accompanying Management’s Annual Report on Internal Control over Financial Reporting, management’s assessment of and conclusion on the effectiveness of internal control over financial reporting did not include the internal controls of YY Live that was acquired in 2025, which is included in the 2025 consolidated financial statements of the Company and constituted less than 1% of total assets as of December 31, 2025 and less than 3% of revenue for the year then ended. Our audit of internal control over financial reporting of the Company also did not include an evaluation of the internal control over financial reporting of YY Live.</w:t>
      </w:r>
    </w:p>
    <w:p>
      <w:pPr>
        <w:spacing w:after="0" w:line="183" w:lineRule="exact"/>
        <w:rPr>
          <w:sz w:val="20"/>
          <w:szCs w:val="20"/>
          <w:color w:val="auto"/>
        </w:rPr>
      </w:pPr>
    </w:p>
    <w:p>
      <w:pPr>
        <w:jc w:val="both"/>
        <w:ind w:left="120" w:right="20"/>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31, 2025 and 2024, the related consolidated statements of comprehensive income, shareholders’ equity and cash flows for each of the three years in the period ended December 31, 2025, and the related notes and our report dated March 17, 2026 expressed opinion thereon.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jc w:val="both"/>
        <w:ind w:left="120"/>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3" w:lineRule="exact"/>
        <w:rPr>
          <w:sz w:val="20"/>
          <w:szCs w:val="20"/>
          <w:color w:val="auto"/>
        </w:rPr>
      </w:pPr>
    </w:p>
    <w:p>
      <w:pPr>
        <w:jc w:val="both"/>
        <w:ind w:left="120"/>
        <w:spacing w:after="0" w:line="282"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62"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21" w:lineRule="exact"/>
        <w:rPr>
          <w:sz w:val="20"/>
          <w:szCs w:val="20"/>
          <w:color w:val="auto"/>
        </w:rPr>
      </w:pPr>
    </w:p>
    <w:p>
      <w:pPr>
        <w:jc w:val="both"/>
        <w:ind w:left="120" w:right="20"/>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Ernst &amp; Young Hua Ming LLP</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Beijing, The People’s Republic of China</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March 17, 2026</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140"/>
          </w:cols>
          <w:pgMar w:left="320" w:top="482" w:right="43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40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BAIDU, INC.</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CONSOLIDATED BALANCE SHEETS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(Amounts in millions of Renminbi (“RMB”), and in millions of U.S. Dollars (“US$”), except for number of shares and per share data)</w:t>
      </w:r>
    </w:p>
    <w:p>
      <w:pPr>
        <w:spacing w:after="0" w:line="232" w:lineRule="exact"/>
        <w:rPr>
          <w:sz w:val="20"/>
          <w:szCs w:val="20"/>
          <w:color w:val="auto"/>
        </w:rPr>
      </w:pPr>
    </w:p>
    <w:tbl>
      <w:tblPr>
        <w:tblLayout w:type="fixed"/>
        <w:tblInd w:w="120" w:type="dxa"/>
        <w:tblCellMar>
          <w:top w:w="0" w:type="dxa"/>
          <w:left w:w="0" w:type="dxa"/>
          <w:bottom w:w="0" w:type="dxa"/>
          <w:right w:w="0" w:type="dxa"/>
        </w:tblCellMar>
      </w:tblPr>
      <w:tr>
        <w:trPr>
          <w:trHeight w:val="155"/>
        </w:trPr>
        <w:tc>
          <w:tcPr>
            <w:tcW w:w="8440" w:type="dxa"/>
            <w:vAlign w:val="bottom"/>
          </w:tcPr>
          <w:p>
            <w:pPr>
              <w:spacing w:after="0"/>
              <w:rPr>
                <w:sz w:val="13"/>
                <w:szCs w:val="13"/>
                <w:color w:val="auto"/>
              </w:rPr>
            </w:pPr>
          </w:p>
        </w:tc>
        <w:tc>
          <w:tcPr>
            <w:tcW w:w="58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500" w:type="dxa"/>
            <w:vAlign w:val="bottom"/>
            <w:tcBorders>
              <w:bottom w:val="single" w:sz="8" w:color="auto"/>
            </w:tcBorders>
            <w:gridSpan w:val="5"/>
          </w:tcPr>
          <w:p>
            <w:pPr>
              <w:ind w:left="420"/>
              <w:spacing w:after="0"/>
              <w:rPr>
                <w:sz w:val="20"/>
                <w:szCs w:val="20"/>
                <w:color w:val="auto"/>
              </w:rPr>
            </w:pPr>
            <w:r>
              <w:rPr>
                <w:rFonts w:ascii="Times New Roman" w:cs="Times New Roman" w:eastAsia="Times New Roman" w:hAnsi="Times New Roman"/>
                <w:sz w:val="13"/>
                <w:szCs w:val="13"/>
                <w:b w:val="1"/>
                <w:bCs w:val="1"/>
                <w:color w:val="auto"/>
                <w:w w:val="98"/>
              </w:rPr>
              <w:t>As of December 31,</w:t>
            </w:r>
          </w:p>
        </w:tc>
        <w:tc>
          <w:tcPr>
            <w:tcW w:w="4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844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50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52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Pr>
          <w:p>
            <w:pPr>
              <w:spacing w:after="0"/>
              <w:rPr>
                <w:sz w:val="12"/>
                <w:szCs w:val="12"/>
                <w:color w:val="auto"/>
              </w:rPr>
            </w:pPr>
          </w:p>
        </w:tc>
        <w:tc>
          <w:tcPr>
            <w:tcW w:w="52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4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5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4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b w:val="1"/>
                <w:bCs w:val="1"/>
                <w:color w:val="auto"/>
              </w:rPr>
              <w:t>Current assets:</w:t>
            </w: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44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5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24,832</w:t>
            </w:r>
          </w:p>
        </w:tc>
        <w:tc>
          <w:tcPr>
            <w:tcW w:w="7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24,606</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3,519</w:t>
            </w:r>
          </w:p>
        </w:tc>
        <w:tc>
          <w:tcPr>
            <w:tcW w:w="0" w:type="dxa"/>
            <w:vAlign w:val="bottom"/>
          </w:tcPr>
          <w:p>
            <w:pPr>
              <w:spacing w:after="0"/>
              <w:rPr>
                <w:sz w:val="1"/>
                <w:szCs w:val="1"/>
                <w:color w:val="auto"/>
              </w:rPr>
            </w:pPr>
          </w:p>
        </w:tc>
      </w:tr>
      <w:tr>
        <w:trPr>
          <w:trHeight w:val="148"/>
        </w:trPr>
        <w:tc>
          <w:tcPr>
            <w:tcW w:w="84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Restricted cash</w:t>
            </w:r>
          </w:p>
        </w:tc>
        <w:tc>
          <w:tcPr>
            <w:tcW w:w="580" w:type="dxa"/>
            <w:vAlign w:val="bottom"/>
          </w:tcPr>
          <w:p>
            <w:pPr>
              <w:spacing w:after="0"/>
              <w:rPr>
                <w:sz w:val="12"/>
                <w:szCs w:val="12"/>
                <w:color w:val="auto"/>
              </w:rPr>
            </w:pPr>
          </w:p>
        </w:tc>
        <w:tc>
          <w:tcPr>
            <w:tcW w:w="7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11,697</w:t>
            </w:r>
          </w:p>
        </w:tc>
        <w:tc>
          <w:tcPr>
            <w:tcW w:w="7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225</w:t>
            </w:r>
          </w:p>
        </w:tc>
        <w:tc>
          <w:tcPr>
            <w:tcW w:w="80" w:type="dxa"/>
            <w:vAlign w:val="bottom"/>
          </w:tcPr>
          <w:p>
            <w:pPr>
              <w:spacing w:after="0"/>
              <w:rPr>
                <w:sz w:val="12"/>
                <w:szCs w:val="12"/>
                <w:color w:val="auto"/>
              </w:rPr>
            </w:pPr>
          </w:p>
        </w:tc>
        <w:tc>
          <w:tcPr>
            <w:tcW w:w="5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148"/>
        </w:trPr>
        <w:tc>
          <w:tcPr>
            <w:tcW w:w="844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Short-term investments, net</w:t>
            </w:r>
          </w:p>
        </w:tc>
        <w:tc>
          <w:tcPr>
            <w:tcW w:w="5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4</w:t>
            </w:r>
          </w:p>
        </w:tc>
        <w:tc>
          <w:tcPr>
            <w:tcW w:w="7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102,608</w:t>
            </w:r>
          </w:p>
        </w:tc>
        <w:tc>
          <w:tcPr>
            <w:tcW w:w="7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90,661</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w w:val="98"/>
              </w:rPr>
              <w:t>12,964</w:t>
            </w:r>
          </w:p>
        </w:tc>
        <w:tc>
          <w:tcPr>
            <w:tcW w:w="0" w:type="dxa"/>
            <w:vAlign w:val="bottom"/>
          </w:tcPr>
          <w:p>
            <w:pPr>
              <w:spacing w:after="0"/>
              <w:rPr>
                <w:sz w:val="1"/>
                <w:szCs w:val="1"/>
                <w:color w:val="auto"/>
              </w:rPr>
            </w:pPr>
          </w:p>
        </w:tc>
      </w:tr>
      <w:tr>
        <w:trPr>
          <w:trHeight w:val="162"/>
        </w:trPr>
        <w:tc>
          <w:tcPr>
            <w:tcW w:w="84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Accounts receivable, net of allowance of RMB3,517 and RMB5,001 (US$715) as of December 31, 2024 and 2025, respectively</w:t>
            </w: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10,104</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12,972</w:t>
            </w:r>
          </w:p>
        </w:tc>
        <w:tc>
          <w:tcPr>
            <w:tcW w:w="80" w:type="dxa"/>
            <w:vAlign w:val="bottom"/>
          </w:tcPr>
          <w:p>
            <w:pPr>
              <w:spacing w:after="0"/>
              <w:rPr>
                <w:sz w:val="14"/>
                <w:szCs w:val="14"/>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1,855</w:t>
            </w:r>
          </w:p>
        </w:tc>
        <w:tc>
          <w:tcPr>
            <w:tcW w:w="0" w:type="dxa"/>
            <w:vAlign w:val="bottom"/>
          </w:tcPr>
          <w:p>
            <w:pPr>
              <w:spacing w:after="0"/>
              <w:rPr>
                <w:sz w:val="1"/>
                <w:szCs w:val="1"/>
                <w:color w:val="auto"/>
              </w:rPr>
            </w:pPr>
          </w:p>
        </w:tc>
      </w:tr>
      <w:tr>
        <w:trPr>
          <w:trHeight w:val="148"/>
        </w:trPr>
        <w:tc>
          <w:tcPr>
            <w:tcW w:w="844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Amounts due from related parties</w:t>
            </w:r>
          </w:p>
        </w:tc>
        <w:tc>
          <w:tcPr>
            <w:tcW w:w="5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24</w:t>
            </w:r>
          </w:p>
        </w:tc>
        <w:tc>
          <w:tcPr>
            <w:tcW w:w="7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790</w:t>
            </w:r>
          </w:p>
        </w:tc>
        <w:tc>
          <w:tcPr>
            <w:tcW w:w="7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761</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109</w:t>
            </w:r>
          </w:p>
        </w:tc>
        <w:tc>
          <w:tcPr>
            <w:tcW w:w="0" w:type="dxa"/>
            <w:vAlign w:val="bottom"/>
          </w:tcPr>
          <w:p>
            <w:pPr>
              <w:spacing w:after="0"/>
              <w:rPr>
                <w:sz w:val="1"/>
                <w:szCs w:val="1"/>
                <w:color w:val="auto"/>
              </w:rPr>
            </w:pPr>
          </w:p>
        </w:tc>
      </w:tr>
      <w:tr>
        <w:trPr>
          <w:trHeight w:val="148"/>
        </w:trPr>
        <w:tc>
          <w:tcPr>
            <w:tcW w:w="84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Other current assets, net</w:t>
            </w:r>
          </w:p>
        </w:tc>
        <w:tc>
          <w:tcPr>
            <w:tcW w:w="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9</w:t>
            </w:r>
          </w:p>
        </w:tc>
        <w:tc>
          <w:tcPr>
            <w:tcW w:w="7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18,818</w:t>
            </w:r>
          </w:p>
        </w:tc>
        <w:tc>
          <w:tcPr>
            <w:tcW w:w="7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22,745</w:t>
            </w:r>
          </w:p>
        </w:tc>
        <w:tc>
          <w:tcPr>
            <w:tcW w:w="80" w:type="dxa"/>
            <w:vAlign w:val="bottom"/>
          </w:tcPr>
          <w:p>
            <w:pPr>
              <w:spacing w:after="0"/>
              <w:rPr>
                <w:sz w:val="12"/>
                <w:szCs w:val="12"/>
                <w:color w:val="auto"/>
              </w:rPr>
            </w:pPr>
          </w:p>
        </w:tc>
        <w:tc>
          <w:tcPr>
            <w:tcW w:w="5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3,253</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84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Total current assets</w:t>
            </w:r>
          </w:p>
        </w:tc>
        <w:tc>
          <w:tcPr>
            <w:tcW w:w="5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168,849</w:t>
            </w:r>
          </w:p>
        </w:tc>
        <w:tc>
          <w:tcPr>
            <w:tcW w:w="7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151,970</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21,732</w:t>
            </w:r>
          </w:p>
        </w:tc>
        <w:tc>
          <w:tcPr>
            <w:tcW w:w="0" w:type="dxa"/>
            <w:vAlign w:val="bottom"/>
          </w:tcPr>
          <w:p>
            <w:pPr>
              <w:spacing w:after="0"/>
              <w:rPr>
                <w:sz w:val="1"/>
                <w:szCs w:val="1"/>
                <w:color w:val="auto"/>
              </w:rPr>
            </w:pPr>
          </w:p>
        </w:tc>
      </w:tr>
      <w:tr>
        <w:trPr>
          <w:trHeight w:val="155"/>
        </w:trPr>
        <w:tc>
          <w:tcPr>
            <w:tcW w:w="844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Non-current assets:</w:t>
            </w:r>
          </w:p>
        </w:tc>
        <w:tc>
          <w:tcPr>
            <w:tcW w:w="580" w:type="dxa"/>
            <w:vAlign w:val="bottom"/>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844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Fixed assets, net</w:t>
            </w:r>
          </w:p>
        </w:tc>
        <w:tc>
          <w:tcPr>
            <w:tcW w:w="5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10</w:t>
            </w:r>
          </w:p>
        </w:tc>
        <w:tc>
          <w:tcPr>
            <w:tcW w:w="7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30,102</w:t>
            </w:r>
          </w:p>
        </w:tc>
        <w:tc>
          <w:tcPr>
            <w:tcW w:w="7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26,281</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3,758</w:t>
            </w:r>
          </w:p>
        </w:tc>
        <w:tc>
          <w:tcPr>
            <w:tcW w:w="0" w:type="dxa"/>
            <w:vAlign w:val="bottom"/>
          </w:tcPr>
          <w:p>
            <w:pPr>
              <w:spacing w:after="0"/>
              <w:rPr>
                <w:sz w:val="1"/>
                <w:szCs w:val="1"/>
                <w:color w:val="auto"/>
              </w:rPr>
            </w:pPr>
          </w:p>
        </w:tc>
      </w:tr>
      <w:tr>
        <w:trPr>
          <w:trHeight w:val="148"/>
        </w:trPr>
        <w:tc>
          <w:tcPr>
            <w:tcW w:w="84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Licensed copyrights, net</w:t>
            </w:r>
          </w:p>
        </w:tc>
        <w:tc>
          <w:tcPr>
            <w:tcW w:w="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6</w:t>
            </w:r>
          </w:p>
        </w:tc>
        <w:tc>
          <w:tcPr>
            <w:tcW w:w="7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6,930</w:t>
            </w:r>
          </w:p>
        </w:tc>
        <w:tc>
          <w:tcPr>
            <w:tcW w:w="7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5,963</w:t>
            </w:r>
          </w:p>
        </w:tc>
        <w:tc>
          <w:tcPr>
            <w:tcW w:w="80" w:type="dxa"/>
            <w:vAlign w:val="bottom"/>
          </w:tcPr>
          <w:p>
            <w:pPr>
              <w:spacing w:after="0"/>
              <w:rPr>
                <w:sz w:val="12"/>
                <w:szCs w:val="12"/>
                <w:color w:val="auto"/>
              </w:rPr>
            </w:pPr>
          </w:p>
        </w:tc>
        <w:tc>
          <w:tcPr>
            <w:tcW w:w="5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853</w:t>
            </w:r>
          </w:p>
        </w:tc>
        <w:tc>
          <w:tcPr>
            <w:tcW w:w="0" w:type="dxa"/>
            <w:vAlign w:val="bottom"/>
          </w:tcPr>
          <w:p>
            <w:pPr>
              <w:spacing w:after="0"/>
              <w:rPr>
                <w:sz w:val="1"/>
                <w:szCs w:val="1"/>
                <w:color w:val="auto"/>
              </w:rPr>
            </w:pPr>
          </w:p>
        </w:tc>
      </w:tr>
      <w:tr>
        <w:trPr>
          <w:trHeight w:val="148"/>
        </w:trPr>
        <w:tc>
          <w:tcPr>
            <w:tcW w:w="844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Produced content, net</w:t>
            </w:r>
          </w:p>
        </w:tc>
        <w:tc>
          <w:tcPr>
            <w:tcW w:w="5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7</w:t>
            </w:r>
          </w:p>
        </w:tc>
        <w:tc>
          <w:tcPr>
            <w:tcW w:w="7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14,695</w:t>
            </w:r>
          </w:p>
        </w:tc>
        <w:tc>
          <w:tcPr>
            <w:tcW w:w="7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14,575</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2,084</w:t>
            </w:r>
          </w:p>
        </w:tc>
        <w:tc>
          <w:tcPr>
            <w:tcW w:w="0" w:type="dxa"/>
            <w:vAlign w:val="bottom"/>
          </w:tcPr>
          <w:p>
            <w:pPr>
              <w:spacing w:after="0"/>
              <w:rPr>
                <w:sz w:val="1"/>
                <w:szCs w:val="1"/>
                <w:color w:val="auto"/>
              </w:rPr>
            </w:pPr>
          </w:p>
        </w:tc>
      </w:tr>
      <w:tr>
        <w:trPr>
          <w:trHeight w:val="148"/>
        </w:trPr>
        <w:tc>
          <w:tcPr>
            <w:tcW w:w="84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Intangible assets, net</w:t>
            </w:r>
          </w:p>
        </w:tc>
        <w:tc>
          <w:tcPr>
            <w:tcW w:w="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11</w:t>
            </w:r>
          </w:p>
        </w:tc>
        <w:tc>
          <w:tcPr>
            <w:tcW w:w="7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772</w:t>
            </w:r>
          </w:p>
        </w:tc>
        <w:tc>
          <w:tcPr>
            <w:tcW w:w="7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3,891</w:t>
            </w:r>
          </w:p>
        </w:tc>
        <w:tc>
          <w:tcPr>
            <w:tcW w:w="80" w:type="dxa"/>
            <w:vAlign w:val="bottom"/>
          </w:tcPr>
          <w:p>
            <w:pPr>
              <w:spacing w:after="0"/>
              <w:rPr>
                <w:sz w:val="12"/>
                <w:szCs w:val="12"/>
                <w:color w:val="auto"/>
              </w:rPr>
            </w:pPr>
          </w:p>
        </w:tc>
        <w:tc>
          <w:tcPr>
            <w:tcW w:w="5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556</w:t>
            </w:r>
          </w:p>
        </w:tc>
        <w:tc>
          <w:tcPr>
            <w:tcW w:w="0" w:type="dxa"/>
            <w:vAlign w:val="bottom"/>
          </w:tcPr>
          <w:p>
            <w:pPr>
              <w:spacing w:after="0"/>
              <w:rPr>
                <w:sz w:val="1"/>
                <w:szCs w:val="1"/>
                <w:color w:val="auto"/>
              </w:rPr>
            </w:pPr>
          </w:p>
        </w:tc>
      </w:tr>
      <w:tr>
        <w:trPr>
          <w:trHeight w:val="148"/>
        </w:trPr>
        <w:tc>
          <w:tcPr>
            <w:tcW w:w="844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Goodwill</w:t>
            </w:r>
          </w:p>
        </w:tc>
        <w:tc>
          <w:tcPr>
            <w:tcW w:w="5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11</w:t>
            </w:r>
          </w:p>
        </w:tc>
        <w:tc>
          <w:tcPr>
            <w:tcW w:w="7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22,586</w:t>
            </w:r>
          </w:p>
        </w:tc>
        <w:tc>
          <w:tcPr>
            <w:tcW w:w="7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36,783</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5,260</w:t>
            </w:r>
          </w:p>
        </w:tc>
        <w:tc>
          <w:tcPr>
            <w:tcW w:w="0" w:type="dxa"/>
            <w:vAlign w:val="bottom"/>
          </w:tcPr>
          <w:p>
            <w:pPr>
              <w:spacing w:after="0"/>
              <w:rPr>
                <w:sz w:val="1"/>
                <w:szCs w:val="1"/>
                <w:color w:val="auto"/>
              </w:rPr>
            </w:pPr>
          </w:p>
        </w:tc>
      </w:tr>
      <w:tr>
        <w:trPr>
          <w:trHeight w:val="149"/>
        </w:trPr>
        <w:tc>
          <w:tcPr>
            <w:tcW w:w="84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Long-term investments, net</w:t>
            </w:r>
          </w:p>
        </w:tc>
        <w:tc>
          <w:tcPr>
            <w:tcW w:w="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4</w:t>
            </w:r>
          </w:p>
        </w:tc>
        <w:tc>
          <w:tcPr>
            <w:tcW w:w="7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41,721</w:t>
            </w:r>
          </w:p>
        </w:tc>
        <w:tc>
          <w:tcPr>
            <w:tcW w:w="7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44,918</w:t>
            </w:r>
          </w:p>
        </w:tc>
        <w:tc>
          <w:tcPr>
            <w:tcW w:w="80" w:type="dxa"/>
            <w:vAlign w:val="bottom"/>
          </w:tcPr>
          <w:p>
            <w:pPr>
              <w:spacing w:after="0"/>
              <w:rPr>
                <w:sz w:val="12"/>
                <w:szCs w:val="12"/>
                <w:color w:val="auto"/>
              </w:rPr>
            </w:pPr>
          </w:p>
        </w:tc>
        <w:tc>
          <w:tcPr>
            <w:tcW w:w="5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6,423</w:t>
            </w:r>
          </w:p>
        </w:tc>
        <w:tc>
          <w:tcPr>
            <w:tcW w:w="0" w:type="dxa"/>
            <w:vAlign w:val="bottom"/>
          </w:tcPr>
          <w:p>
            <w:pPr>
              <w:spacing w:after="0"/>
              <w:rPr>
                <w:sz w:val="1"/>
                <w:szCs w:val="1"/>
                <w:color w:val="auto"/>
              </w:rPr>
            </w:pPr>
          </w:p>
        </w:tc>
      </w:tr>
      <w:tr>
        <w:trPr>
          <w:trHeight w:val="148"/>
        </w:trPr>
        <w:tc>
          <w:tcPr>
            <w:tcW w:w="844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Long-term time deposits and held-to-maturity investments</w:t>
            </w:r>
          </w:p>
        </w:tc>
        <w:tc>
          <w:tcPr>
            <w:tcW w:w="5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5</w:t>
            </w:r>
          </w:p>
        </w:tc>
        <w:tc>
          <w:tcPr>
            <w:tcW w:w="7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98,535</w:t>
            </w:r>
          </w:p>
        </w:tc>
        <w:tc>
          <w:tcPr>
            <w:tcW w:w="7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123,862</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w w:val="98"/>
              </w:rPr>
              <w:t>17,712</w:t>
            </w:r>
          </w:p>
        </w:tc>
        <w:tc>
          <w:tcPr>
            <w:tcW w:w="0" w:type="dxa"/>
            <w:vAlign w:val="bottom"/>
          </w:tcPr>
          <w:p>
            <w:pPr>
              <w:spacing w:after="0"/>
              <w:rPr>
                <w:sz w:val="1"/>
                <w:szCs w:val="1"/>
                <w:color w:val="auto"/>
              </w:rPr>
            </w:pPr>
          </w:p>
        </w:tc>
      </w:tr>
      <w:tr>
        <w:trPr>
          <w:trHeight w:val="148"/>
        </w:trPr>
        <w:tc>
          <w:tcPr>
            <w:tcW w:w="84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Amounts due from related parties</w:t>
            </w:r>
          </w:p>
        </w:tc>
        <w:tc>
          <w:tcPr>
            <w:tcW w:w="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24</w:t>
            </w:r>
          </w:p>
        </w:tc>
        <w:tc>
          <w:tcPr>
            <w:tcW w:w="7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137</w:t>
            </w:r>
          </w:p>
        </w:tc>
        <w:tc>
          <w:tcPr>
            <w:tcW w:w="7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167</w:t>
            </w:r>
          </w:p>
        </w:tc>
        <w:tc>
          <w:tcPr>
            <w:tcW w:w="80" w:type="dxa"/>
            <w:vAlign w:val="bottom"/>
          </w:tcPr>
          <w:p>
            <w:pPr>
              <w:spacing w:after="0"/>
              <w:rPr>
                <w:sz w:val="12"/>
                <w:szCs w:val="12"/>
                <w:color w:val="auto"/>
              </w:rPr>
            </w:pPr>
          </w:p>
        </w:tc>
        <w:tc>
          <w:tcPr>
            <w:tcW w:w="5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48"/>
        </w:trPr>
        <w:tc>
          <w:tcPr>
            <w:tcW w:w="844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Deferred tax assets, net</w:t>
            </w:r>
          </w:p>
        </w:tc>
        <w:tc>
          <w:tcPr>
            <w:tcW w:w="5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17</w:t>
            </w:r>
          </w:p>
        </w:tc>
        <w:tc>
          <w:tcPr>
            <w:tcW w:w="7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2,193</w:t>
            </w:r>
          </w:p>
        </w:tc>
        <w:tc>
          <w:tcPr>
            <w:tcW w:w="7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4,582</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655</w:t>
            </w:r>
          </w:p>
        </w:tc>
        <w:tc>
          <w:tcPr>
            <w:tcW w:w="0" w:type="dxa"/>
            <w:vAlign w:val="bottom"/>
          </w:tcPr>
          <w:p>
            <w:pPr>
              <w:spacing w:after="0"/>
              <w:rPr>
                <w:sz w:val="1"/>
                <w:szCs w:val="1"/>
                <w:color w:val="auto"/>
              </w:rPr>
            </w:pPr>
          </w:p>
        </w:tc>
      </w:tr>
      <w:tr>
        <w:trPr>
          <w:trHeight w:val="148"/>
        </w:trPr>
        <w:tc>
          <w:tcPr>
            <w:tcW w:w="84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Operating lease right-of-use assets</w:t>
            </w:r>
          </w:p>
        </w:tc>
        <w:tc>
          <w:tcPr>
            <w:tcW w:w="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16</w:t>
            </w:r>
          </w:p>
        </w:tc>
        <w:tc>
          <w:tcPr>
            <w:tcW w:w="7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10,898</w:t>
            </w:r>
          </w:p>
        </w:tc>
        <w:tc>
          <w:tcPr>
            <w:tcW w:w="7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8,610</w:t>
            </w:r>
          </w:p>
        </w:tc>
        <w:tc>
          <w:tcPr>
            <w:tcW w:w="80" w:type="dxa"/>
            <w:vAlign w:val="bottom"/>
          </w:tcPr>
          <w:p>
            <w:pPr>
              <w:spacing w:after="0"/>
              <w:rPr>
                <w:sz w:val="12"/>
                <w:szCs w:val="12"/>
                <w:color w:val="auto"/>
              </w:rPr>
            </w:pPr>
          </w:p>
        </w:tc>
        <w:tc>
          <w:tcPr>
            <w:tcW w:w="5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1,231</w:t>
            </w:r>
          </w:p>
        </w:tc>
        <w:tc>
          <w:tcPr>
            <w:tcW w:w="0" w:type="dxa"/>
            <w:vAlign w:val="bottom"/>
          </w:tcPr>
          <w:p>
            <w:pPr>
              <w:spacing w:after="0"/>
              <w:rPr>
                <w:sz w:val="1"/>
                <w:szCs w:val="1"/>
                <w:color w:val="auto"/>
              </w:rPr>
            </w:pPr>
          </w:p>
        </w:tc>
      </w:tr>
      <w:tr>
        <w:trPr>
          <w:trHeight w:val="148"/>
        </w:trPr>
        <w:tc>
          <w:tcPr>
            <w:tcW w:w="844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Receivables related to the proposed acquisition of YY Live, net</w:t>
            </w:r>
          </w:p>
        </w:tc>
        <w:tc>
          <w:tcPr>
            <w:tcW w:w="5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3</w:t>
            </w:r>
          </w:p>
        </w:tc>
        <w:tc>
          <w:tcPr>
            <w:tcW w:w="7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13,547</w:t>
            </w:r>
          </w:p>
        </w:tc>
        <w:tc>
          <w:tcPr>
            <w:tcW w:w="7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9"/>
        </w:trPr>
        <w:tc>
          <w:tcPr>
            <w:tcW w:w="84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Other non-current assets</w:t>
            </w:r>
          </w:p>
        </w:tc>
        <w:tc>
          <w:tcPr>
            <w:tcW w:w="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9</w:t>
            </w:r>
          </w:p>
        </w:tc>
        <w:tc>
          <w:tcPr>
            <w:tcW w:w="7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16,815</w:t>
            </w:r>
          </w:p>
        </w:tc>
        <w:tc>
          <w:tcPr>
            <w:tcW w:w="7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27,555</w:t>
            </w:r>
          </w:p>
        </w:tc>
        <w:tc>
          <w:tcPr>
            <w:tcW w:w="80" w:type="dxa"/>
            <w:vAlign w:val="bottom"/>
          </w:tcPr>
          <w:p>
            <w:pPr>
              <w:spacing w:after="0"/>
              <w:rPr>
                <w:sz w:val="12"/>
                <w:szCs w:val="12"/>
                <w:color w:val="auto"/>
              </w:rPr>
            </w:pPr>
          </w:p>
        </w:tc>
        <w:tc>
          <w:tcPr>
            <w:tcW w:w="5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3,941</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84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Total non-current assets</w:t>
            </w:r>
          </w:p>
        </w:tc>
        <w:tc>
          <w:tcPr>
            <w:tcW w:w="5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258,931</w:t>
            </w:r>
          </w:p>
        </w:tc>
        <w:tc>
          <w:tcPr>
            <w:tcW w:w="7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297,187</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42,497</w:t>
            </w:r>
          </w:p>
        </w:tc>
        <w:tc>
          <w:tcPr>
            <w:tcW w:w="0" w:type="dxa"/>
            <w:vAlign w:val="bottom"/>
          </w:tcPr>
          <w:p>
            <w:pPr>
              <w:spacing w:after="0"/>
              <w:rPr>
                <w:sz w:val="1"/>
                <w:szCs w:val="1"/>
                <w:color w:val="auto"/>
              </w:rPr>
            </w:pPr>
          </w:p>
        </w:tc>
      </w:tr>
      <w:tr>
        <w:trPr>
          <w:trHeight w:val="156"/>
        </w:trPr>
        <w:tc>
          <w:tcPr>
            <w:tcW w:w="844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Total assets</w:t>
            </w:r>
          </w:p>
        </w:tc>
        <w:tc>
          <w:tcPr>
            <w:tcW w:w="580" w:type="dxa"/>
            <w:vAlign w:val="bottom"/>
          </w:tcPr>
          <w:p>
            <w:pPr>
              <w:spacing w:after="0"/>
              <w:rPr>
                <w:sz w:val="13"/>
                <w:szCs w:val="13"/>
                <w:color w:val="auto"/>
              </w:rPr>
            </w:pP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427,780</w:t>
            </w:r>
          </w:p>
        </w:tc>
        <w:tc>
          <w:tcPr>
            <w:tcW w:w="200" w:type="dxa"/>
            <w:vAlign w:val="bottom"/>
          </w:tcPr>
          <w:p>
            <w:pPr>
              <w:spacing w:after="0"/>
              <w:rPr>
                <w:sz w:val="13"/>
                <w:szCs w:val="13"/>
                <w:color w:val="auto"/>
              </w:rPr>
            </w:pP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449,157</w:t>
            </w:r>
          </w:p>
        </w:tc>
        <w:tc>
          <w:tcPr>
            <w:tcW w:w="20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98"/>
              </w:rPr>
              <w:t>64,229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440" w:type="dxa"/>
            <w:vAlign w:val="bottom"/>
            <w:shd w:val="clear" w:color="auto" w:fill="CCEEFF"/>
          </w:tcPr>
          <w:p>
            <w:pPr>
              <w:spacing w:after="0" w:line="143" w:lineRule="exact"/>
              <w:rPr>
                <w:sz w:val="20"/>
                <w:szCs w:val="20"/>
                <w:color w:val="auto"/>
              </w:rPr>
            </w:pPr>
            <w:r>
              <w:rPr>
                <w:rFonts w:ascii="Times New Roman" w:cs="Times New Roman" w:eastAsia="Times New Roman" w:hAnsi="Times New Roman"/>
                <w:sz w:val="14"/>
                <w:szCs w:val="14"/>
                <w:b w:val="1"/>
                <w:bCs w:val="1"/>
                <w:color w:val="auto"/>
              </w:rPr>
              <w:t>LIABILITIES, REDEEMABLE NONCONTROLLING INTERESTS AND EQUITY</w:t>
            </w:r>
          </w:p>
        </w:tc>
        <w:tc>
          <w:tcPr>
            <w:tcW w:w="5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8440" w:type="dxa"/>
            <w:vAlign w:val="bottom"/>
          </w:tcPr>
          <w:p>
            <w:pPr>
              <w:spacing w:after="0" w:line="139" w:lineRule="exact"/>
              <w:rPr>
                <w:sz w:val="20"/>
                <w:szCs w:val="20"/>
                <w:color w:val="auto"/>
              </w:rPr>
            </w:pPr>
            <w:r>
              <w:rPr>
                <w:rFonts w:ascii="Times New Roman" w:cs="Times New Roman" w:eastAsia="Times New Roman" w:hAnsi="Times New Roman"/>
                <w:sz w:val="14"/>
                <w:szCs w:val="14"/>
                <w:b w:val="1"/>
                <w:bCs w:val="1"/>
                <w:color w:val="auto"/>
              </w:rPr>
              <w:t xml:space="preserve">Current liabilities </w:t>
            </w:r>
            <w:r>
              <w:rPr>
                <w:rFonts w:ascii="Times New Roman" w:cs="Times New Roman" w:eastAsia="Times New Roman" w:hAnsi="Times New Roman"/>
                <w:sz w:val="14"/>
                <w:szCs w:val="14"/>
                <w:color w:val="auto"/>
              </w:rPr>
              <w:t>(including amounts of the consolidated VIEs without recourse to the primary beneficiaries of RMB39,711 and RMB37,165</w:t>
            </w: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8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(US$5,315) as of December 31, 2024 and 2025, respectively):</w:t>
            </w: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w:t>
            </w: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844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Short-term loans</w:t>
            </w:r>
          </w:p>
        </w:tc>
        <w:tc>
          <w:tcPr>
            <w:tcW w:w="5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13</w:t>
            </w:r>
          </w:p>
        </w:tc>
        <w:tc>
          <w:tcPr>
            <w:tcW w:w="7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10,669</w:t>
            </w:r>
          </w:p>
        </w:tc>
        <w:tc>
          <w:tcPr>
            <w:tcW w:w="7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7,626</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1,091</w:t>
            </w:r>
          </w:p>
        </w:tc>
        <w:tc>
          <w:tcPr>
            <w:tcW w:w="0" w:type="dxa"/>
            <w:vAlign w:val="bottom"/>
          </w:tcPr>
          <w:p>
            <w:pPr>
              <w:spacing w:after="0"/>
              <w:rPr>
                <w:sz w:val="1"/>
                <w:szCs w:val="1"/>
                <w:color w:val="auto"/>
              </w:rPr>
            </w:pPr>
          </w:p>
        </w:tc>
      </w:tr>
      <w:tr>
        <w:trPr>
          <w:trHeight w:val="148"/>
        </w:trPr>
        <w:tc>
          <w:tcPr>
            <w:tcW w:w="84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Accounts payable and accrued liabilities</w:t>
            </w:r>
          </w:p>
        </w:tc>
        <w:tc>
          <w:tcPr>
            <w:tcW w:w="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12</w:t>
            </w:r>
          </w:p>
        </w:tc>
        <w:tc>
          <w:tcPr>
            <w:tcW w:w="7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41,443</w:t>
            </w:r>
          </w:p>
        </w:tc>
        <w:tc>
          <w:tcPr>
            <w:tcW w:w="7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38,891</w:t>
            </w:r>
          </w:p>
        </w:tc>
        <w:tc>
          <w:tcPr>
            <w:tcW w:w="80" w:type="dxa"/>
            <w:vAlign w:val="bottom"/>
          </w:tcPr>
          <w:p>
            <w:pPr>
              <w:spacing w:after="0"/>
              <w:rPr>
                <w:sz w:val="12"/>
                <w:szCs w:val="12"/>
                <w:color w:val="auto"/>
              </w:rPr>
            </w:pPr>
          </w:p>
        </w:tc>
        <w:tc>
          <w:tcPr>
            <w:tcW w:w="5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5,561</w:t>
            </w:r>
          </w:p>
        </w:tc>
        <w:tc>
          <w:tcPr>
            <w:tcW w:w="0" w:type="dxa"/>
            <w:vAlign w:val="bottom"/>
          </w:tcPr>
          <w:p>
            <w:pPr>
              <w:spacing w:after="0"/>
              <w:rPr>
                <w:sz w:val="1"/>
                <w:szCs w:val="1"/>
                <w:color w:val="auto"/>
              </w:rPr>
            </w:pPr>
          </w:p>
        </w:tc>
      </w:tr>
      <w:tr>
        <w:trPr>
          <w:trHeight w:val="148"/>
        </w:trPr>
        <w:tc>
          <w:tcPr>
            <w:tcW w:w="844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Customer deposits and deferred revenue</w:t>
            </w:r>
          </w:p>
        </w:tc>
        <w:tc>
          <w:tcPr>
            <w:tcW w:w="5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14,624</w:t>
            </w:r>
          </w:p>
        </w:tc>
        <w:tc>
          <w:tcPr>
            <w:tcW w:w="7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13,051</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1,866</w:t>
            </w:r>
          </w:p>
        </w:tc>
        <w:tc>
          <w:tcPr>
            <w:tcW w:w="0" w:type="dxa"/>
            <w:vAlign w:val="bottom"/>
          </w:tcPr>
          <w:p>
            <w:pPr>
              <w:spacing w:after="0"/>
              <w:rPr>
                <w:sz w:val="1"/>
                <w:szCs w:val="1"/>
                <w:color w:val="auto"/>
              </w:rPr>
            </w:pPr>
          </w:p>
        </w:tc>
      </w:tr>
      <w:tr>
        <w:trPr>
          <w:trHeight w:val="149"/>
        </w:trPr>
        <w:tc>
          <w:tcPr>
            <w:tcW w:w="84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Deferred income</w:t>
            </w:r>
          </w:p>
        </w:tc>
        <w:tc>
          <w:tcPr>
            <w:tcW w:w="580" w:type="dxa"/>
            <w:vAlign w:val="bottom"/>
          </w:tcPr>
          <w:p>
            <w:pPr>
              <w:spacing w:after="0"/>
              <w:rPr>
                <w:sz w:val="12"/>
                <w:szCs w:val="12"/>
                <w:color w:val="auto"/>
              </w:rPr>
            </w:pPr>
          </w:p>
        </w:tc>
        <w:tc>
          <w:tcPr>
            <w:tcW w:w="7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684</w:t>
            </w:r>
          </w:p>
        </w:tc>
        <w:tc>
          <w:tcPr>
            <w:tcW w:w="7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531</w:t>
            </w:r>
          </w:p>
        </w:tc>
        <w:tc>
          <w:tcPr>
            <w:tcW w:w="80" w:type="dxa"/>
            <w:vAlign w:val="bottom"/>
          </w:tcPr>
          <w:p>
            <w:pPr>
              <w:spacing w:after="0"/>
              <w:rPr>
                <w:sz w:val="12"/>
                <w:szCs w:val="12"/>
                <w:color w:val="auto"/>
              </w:rPr>
            </w:pPr>
          </w:p>
        </w:tc>
        <w:tc>
          <w:tcPr>
            <w:tcW w:w="5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76</w:t>
            </w:r>
          </w:p>
        </w:tc>
        <w:tc>
          <w:tcPr>
            <w:tcW w:w="0" w:type="dxa"/>
            <w:vAlign w:val="bottom"/>
          </w:tcPr>
          <w:p>
            <w:pPr>
              <w:spacing w:after="0"/>
              <w:rPr>
                <w:sz w:val="1"/>
                <w:szCs w:val="1"/>
                <w:color w:val="auto"/>
              </w:rPr>
            </w:pPr>
          </w:p>
        </w:tc>
      </w:tr>
      <w:tr>
        <w:trPr>
          <w:trHeight w:val="148"/>
        </w:trPr>
        <w:tc>
          <w:tcPr>
            <w:tcW w:w="844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Long-term loans, current portion</w:t>
            </w:r>
          </w:p>
        </w:tc>
        <w:tc>
          <w:tcPr>
            <w:tcW w:w="5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13</w:t>
            </w:r>
          </w:p>
        </w:tc>
        <w:tc>
          <w:tcPr>
            <w:tcW w:w="7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168</w:t>
            </w:r>
          </w:p>
        </w:tc>
        <w:tc>
          <w:tcPr>
            <w:tcW w:w="7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14,765</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2,111</w:t>
            </w:r>
          </w:p>
        </w:tc>
        <w:tc>
          <w:tcPr>
            <w:tcW w:w="0" w:type="dxa"/>
            <w:vAlign w:val="bottom"/>
          </w:tcPr>
          <w:p>
            <w:pPr>
              <w:spacing w:after="0"/>
              <w:rPr>
                <w:sz w:val="1"/>
                <w:szCs w:val="1"/>
                <w:color w:val="auto"/>
              </w:rPr>
            </w:pPr>
          </w:p>
        </w:tc>
      </w:tr>
      <w:tr>
        <w:trPr>
          <w:trHeight w:val="148"/>
        </w:trPr>
        <w:tc>
          <w:tcPr>
            <w:tcW w:w="84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Convertible senior notes, current portion</w:t>
            </w:r>
          </w:p>
        </w:tc>
        <w:tc>
          <w:tcPr>
            <w:tcW w:w="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15</w:t>
            </w:r>
          </w:p>
        </w:tc>
        <w:tc>
          <w:tcPr>
            <w:tcW w:w="7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242</w:t>
            </w:r>
          </w:p>
        </w:tc>
        <w:tc>
          <w:tcPr>
            <w:tcW w:w="7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1,459</w:t>
            </w:r>
          </w:p>
        </w:tc>
        <w:tc>
          <w:tcPr>
            <w:tcW w:w="80" w:type="dxa"/>
            <w:vAlign w:val="bottom"/>
          </w:tcPr>
          <w:p>
            <w:pPr>
              <w:spacing w:after="0"/>
              <w:rPr>
                <w:sz w:val="12"/>
                <w:szCs w:val="12"/>
                <w:color w:val="auto"/>
              </w:rPr>
            </w:pPr>
          </w:p>
        </w:tc>
        <w:tc>
          <w:tcPr>
            <w:tcW w:w="5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209</w:t>
            </w:r>
          </w:p>
        </w:tc>
        <w:tc>
          <w:tcPr>
            <w:tcW w:w="0" w:type="dxa"/>
            <w:vAlign w:val="bottom"/>
          </w:tcPr>
          <w:p>
            <w:pPr>
              <w:spacing w:after="0"/>
              <w:rPr>
                <w:sz w:val="1"/>
                <w:szCs w:val="1"/>
                <w:color w:val="auto"/>
              </w:rPr>
            </w:pPr>
          </w:p>
        </w:tc>
      </w:tr>
      <w:tr>
        <w:trPr>
          <w:trHeight w:val="149"/>
        </w:trPr>
        <w:tc>
          <w:tcPr>
            <w:tcW w:w="844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Notes payable, current portion</w:t>
            </w:r>
          </w:p>
        </w:tc>
        <w:tc>
          <w:tcPr>
            <w:tcW w:w="5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14</w:t>
            </w:r>
          </w:p>
        </w:tc>
        <w:tc>
          <w:tcPr>
            <w:tcW w:w="7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8,026</w:t>
            </w:r>
          </w:p>
        </w:tc>
        <w:tc>
          <w:tcPr>
            <w:tcW w:w="7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4,560</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652</w:t>
            </w:r>
          </w:p>
        </w:tc>
        <w:tc>
          <w:tcPr>
            <w:tcW w:w="0" w:type="dxa"/>
            <w:vAlign w:val="bottom"/>
          </w:tcPr>
          <w:p>
            <w:pPr>
              <w:spacing w:after="0"/>
              <w:rPr>
                <w:sz w:val="1"/>
                <w:szCs w:val="1"/>
                <w:color w:val="auto"/>
              </w:rPr>
            </w:pPr>
          </w:p>
        </w:tc>
      </w:tr>
      <w:tr>
        <w:trPr>
          <w:trHeight w:val="148"/>
        </w:trPr>
        <w:tc>
          <w:tcPr>
            <w:tcW w:w="84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Amounts due to related parties</w:t>
            </w:r>
          </w:p>
        </w:tc>
        <w:tc>
          <w:tcPr>
            <w:tcW w:w="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24</w:t>
            </w:r>
          </w:p>
        </w:tc>
        <w:tc>
          <w:tcPr>
            <w:tcW w:w="7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1,794</w:t>
            </w:r>
          </w:p>
        </w:tc>
        <w:tc>
          <w:tcPr>
            <w:tcW w:w="7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1,988</w:t>
            </w:r>
          </w:p>
        </w:tc>
        <w:tc>
          <w:tcPr>
            <w:tcW w:w="80" w:type="dxa"/>
            <w:vAlign w:val="bottom"/>
          </w:tcPr>
          <w:p>
            <w:pPr>
              <w:spacing w:after="0"/>
              <w:rPr>
                <w:sz w:val="12"/>
                <w:szCs w:val="12"/>
                <w:color w:val="auto"/>
              </w:rPr>
            </w:pPr>
          </w:p>
        </w:tc>
        <w:tc>
          <w:tcPr>
            <w:tcW w:w="5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284</w:t>
            </w:r>
          </w:p>
        </w:tc>
        <w:tc>
          <w:tcPr>
            <w:tcW w:w="0" w:type="dxa"/>
            <w:vAlign w:val="bottom"/>
          </w:tcPr>
          <w:p>
            <w:pPr>
              <w:spacing w:after="0"/>
              <w:rPr>
                <w:sz w:val="1"/>
                <w:szCs w:val="1"/>
                <w:color w:val="auto"/>
              </w:rPr>
            </w:pPr>
          </w:p>
        </w:tc>
      </w:tr>
      <w:tr>
        <w:trPr>
          <w:trHeight w:val="148"/>
        </w:trPr>
        <w:tc>
          <w:tcPr>
            <w:tcW w:w="844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Operating lease liabilities</w:t>
            </w:r>
          </w:p>
        </w:tc>
        <w:tc>
          <w:tcPr>
            <w:tcW w:w="5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16</w:t>
            </w:r>
          </w:p>
        </w:tc>
        <w:tc>
          <w:tcPr>
            <w:tcW w:w="7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3,303</w:t>
            </w:r>
          </w:p>
        </w:tc>
        <w:tc>
          <w:tcPr>
            <w:tcW w:w="7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3,457</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494</w:t>
            </w:r>
          </w:p>
        </w:tc>
        <w:tc>
          <w:tcPr>
            <w:tcW w:w="0" w:type="dxa"/>
            <w:vAlign w:val="bottom"/>
          </w:tcPr>
          <w:p>
            <w:pPr>
              <w:spacing w:after="0"/>
              <w:rPr>
                <w:sz w:val="1"/>
                <w:szCs w:val="1"/>
                <w:color w:val="auto"/>
              </w:rPr>
            </w:pPr>
          </w:p>
        </w:tc>
      </w:tr>
      <w:tr>
        <w:trPr>
          <w:trHeight w:val="163"/>
        </w:trPr>
        <w:tc>
          <w:tcPr>
            <w:tcW w:w="844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Total current liabilities</w:t>
            </w:r>
          </w:p>
        </w:tc>
        <w:tc>
          <w:tcPr>
            <w:tcW w:w="580" w:type="dxa"/>
            <w:vAlign w:val="bottom"/>
          </w:tcPr>
          <w:p>
            <w:pPr>
              <w:spacing w:after="0"/>
              <w:rPr>
                <w:sz w:val="14"/>
                <w:szCs w:val="14"/>
                <w:color w:val="auto"/>
              </w:rPr>
            </w:pP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80,953</w:t>
            </w:r>
          </w:p>
        </w:tc>
        <w:tc>
          <w:tcPr>
            <w:tcW w:w="200" w:type="dxa"/>
            <w:vAlign w:val="bottom"/>
          </w:tcPr>
          <w:p>
            <w:pPr>
              <w:spacing w:after="0"/>
              <w:rPr>
                <w:sz w:val="14"/>
                <w:szCs w:val="14"/>
                <w:color w:val="auto"/>
              </w:rPr>
            </w:pP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86,328</w:t>
            </w:r>
          </w:p>
        </w:tc>
        <w:tc>
          <w:tcPr>
            <w:tcW w:w="20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98"/>
              </w:rPr>
              <w:t>12,344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8440" w:type="dxa"/>
            <w:vAlign w:val="bottom"/>
            <w:shd w:val="clear" w:color="auto" w:fill="CCEEFF"/>
          </w:tcPr>
          <w:p>
            <w:pPr>
              <w:spacing w:after="0" w:line="139" w:lineRule="exact"/>
              <w:rPr>
                <w:sz w:val="20"/>
                <w:szCs w:val="20"/>
                <w:color w:val="auto"/>
              </w:rPr>
            </w:pPr>
            <w:r>
              <w:rPr>
                <w:rFonts w:ascii="Times New Roman" w:cs="Times New Roman" w:eastAsia="Times New Roman" w:hAnsi="Times New Roman"/>
                <w:sz w:val="14"/>
                <w:szCs w:val="14"/>
                <w:b w:val="1"/>
                <w:bCs w:val="1"/>
                <w:color w:val="auto"/>
              </w:rPr>
              <w:t xml:space="preserve">Non-current liabilities </w:t>
            </w:r>
            <w:r>
              <w:rPr>
                <w:rFonts w:ascii="Times New Roman" w:cs="Times New Roman" w:eastAsia="Times New Roman" w:hAnsi="Times New Roman"/>
                <w:sz w:val="14"/>
                <w:szCs w:val="14"/>
                <w:color w:val="auto"/>
              </w:rPr>
              <w:t>(including amounts of the consolidated VIEs without recourse to the primary beneficiaries of RMB7,352 and RMB8,242</w:t>
            </w:r>
          </w:p>
        </w:tc>
        <w:tc>
          <w:tcPr>
            <w:tcW w:w="5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(US$1,179) as of December 31, 2024 and 2025, respectively):</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w:t>
            </w:r>
          </w:p>
        </w:tc>
        <w:tc>
          <w:tcPr>
            <w:tcW w:w="5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84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Deferred income</w:t>
            </w:r>
          </w:p>
        </w:tc>
        <w:tc>
          <w:tcPr>
            <w:tcW w:w="580" w:type="dxa"/>
            <w:vAlign w:val="bottom"/>
          </w:tcPr>
          <w:p>
            <w:pPr>
              <w:spacing w:after="0"/>
              <w:rPr>
                <w:sz w:val="12"/>
                <w:szCs w:val="12"/>
                <w:color w:val="auto"/>
              </w:rPr>
            </w:pPr>
          </w:p>
        </w:tc>
        <w:tc>
          <w:tcPr>
            <w:tcW w:w="7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231</w:t>
            </w:r>
          </w:p>
        </w:tc>
        <w:tc>
          <w:tcPr>
            <w:tcW w:w="7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198</w:t>
            </w:r>
          </w:p>
        </w:tc>
        <w:tc>
          <w:tcPr>
            <w:tcW w:w="80" w:type="dxa"/>
            <w:vAlign w:val="bottom"/>
          </w:tcPr>
          <w:p>
            <w:pPr>
              <w:spacing w:after="0"/>
              <w:rPr>
                <w:sz w:val="12"/>
                <w:szCs w:val="12"/>
                <w:color w:val="auto"/>
              </w:rPr>
            </w:pPr>
          </w:p>
        </w:tc>
        <w:tc>
          <w:tcPr>
            <w:tcW w:w="5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49"/>
        </w:trPr>
        <w:tc>
          <w:tcPr>
            <w:tcW w:w="844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Deferred revenue</w:t>
            </w:r>
          </w:p>
        </w:tc>
        <w:tc>
          <w:tcPr>
            <w:tcW w:w="5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585</w:t>
            </w:r>
          </w:p>
        </w:tc>
        <w:tc>
          <w:tcPr>
            <w:tcW w:w="7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723</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103</w:t>
            </w:r>
          </w:p>
        </w:tc>
        <w:tc>
          <w:tcPr>
            <w:tcW w:w="0" w:type="dxa"/>
            <w:vAlign w:val="bottom"/>
          </w:tcPr>
          <w:p>
            <w:pPr>
              <w:spacing w:after="0"/>
              <w:rPr>
                <w:sz w:val="1"/>
                <w:szCs w:val="1"/>
                <w:color w:val="auto"/>
              </w:rPr>
            </w:pPr>
          </w:p>
        </w:tc>
      </w:tr>
      <w:tr>
        <w:trPr>
          <w:trHeight w:val="148"/>
        </w:trPr>
        <w:tc>
          <w:tcPr>
            <w:tcW w:w="84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Amounts due to related parties</w:t>
            </w:r>
          </w:p>
        </w:tc>
        <w:tc>
          <w:tcPr>
            <w:tcW w:w="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24</w:t>
            </w:r>
          </w:p>
        </w:tc>
        <w:tc>
          <w:tcPr>
            <w:tcW w:w="7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56</w:t>
            </w:r>
          </w:p>
        </w:tc>
        <w:tc>
          <w:tcPr>
            <w:tcW w:w="7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36</w:t>
            </w:r>
          </w:p>
        </w:tc>
        <w:tc>
          <w:tcPr>
            <w:tcW w:w="80" w:type="dxa"/>
            <w:vAlign w:val="bottom"/>
          </w:tcPr>
          <w:p>
            <w:pPr>
              <w:spacing w:after="0"/>
              <w:rPr>
                <w:sz w:val="12"/>
                <w:szCs w:val="12"/>
                <w:color w:val="auto"/>
              </w:rPr>
            </w:pPr>
          </w:p>
        </w:tc>
        <w:tc>
          <w:tcPr>
            <w:tcW w:w="5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48"/>
        </w:trPr>
        <w:tc>
          <w:tcPr>
            <w:tcW w:w="844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Long-term loans</w:t>
            </w:r>
          </w:p>
        </w:tc>
        <w:tc>
          <w:tcPr>
            <w:tcW w:w="5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13</w:t>
            </w:r>
          </w:p>
        </w:tc>
        <w:tc>
          <w:tcPr>
            <w:tcW w:w="7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15,596</w:t>
            </w:r>
          </w:p>
        </w:tc>
        <w:tc>
          <w:tcPr>
            <w:tcW w:w="7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3,369</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482</w:t>
            </w:r>
          </w:p>
        </w:tc>
        <w:tc>
          <w:tcPr>
            <w:tcW w:w="0" w:type="dxa"/>
            <w:vAlign w:val="bottom"/>
          </w:tcPr>
          <w:p>
            <w:pPr>
              <w:spacing w:after="0"/>
              <w:rPr>
                <w:sz w:val="1"/>
                <w:szCs w:val="1"/>
                <w:color w:val="auto"/>
              </w:rPr>
            </w:pPr>
          </w:p>
        </w:tc>
      </w:tr>
      <w:tr>
        <w:trPr>
          <w:trHeight w:val="149"/>
        </w:trPr>
        <w:tc>
          <w:tcPr>
            <w:tcW w:w="84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Notes payable</w:t>
            </w:r>
          </w:p>
        </w:tc>
        <w:tc>
          <w:tcPr>
            <w:tcW w:w="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14</w:t>
            </w:r>
          </w:p>
        </w:tc>
        <w:tc>
          <w:tcPr>
            <w:tcW w:w="7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27,996</w:t>
            </w:r>
          </w:p>
        </w:tc>
        <w:tc>
          <w:tcPr>
            <w:tcW w:w="7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51,021</w:t>
            </w:r>
          </w:p>
        </w:tc>
        <w:tc>
          <w:tcPr>
            <w:tcW w:w="80" w:type="dxa"/>
            <w:vAlign w:val="bottom"/>
          </w:tcPr>
          <w:p>
            <w:pPr>
              <w:spacing w:after="0"/>
              <w:rPr>
                <w:sz w:val="12"/>
                <w:szCs w:val="12"/>
                <w:color w:val="auto"/>
              </w:rPr>
            </w:pPr>
          </w:p>
        </w:tc>
        <w:tc>
          <w:tcPr>
            <w:tcW w:w="5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7,296</w:t>
            </w:r>
          </w:p>
        </w:tc>
        <w:tc>
          <w:tcPr>
            <w:tcW w:w="0" w:type="dxa"/>
            <w:vAlign w:val="bottom"/>
          </w:tcPr>
          <w:p>
            <w:pPr>
              <w:spacing w:after="0"/>
              <w:rPr>
                <w:sz w:val="1"/>
                <w:szCs w:val="1"/>
                <w:color w:val="auto"/>
              </w:rPr>
            </w:pPr>
          </w:p>
        </w:tc>
      </w:tr>
      <w:tr>
        <w:trPr>
          <w:trHeight w:val="148"/>
        </w:trPr>
        <w:tc>
          <w:tcPr>
            <w:tcW w:w="844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Convertible senior notes</w:t>
            </w:r>
          </w:p>
        </w:tc>
        <w:tc>
          <w:tcPr>
            <w:tcW w:w="5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15</w:t>
            </w:r>
          </w:p>
        </w:tc>
        <w:tc>
          <w:tcPr>
            <w:tcW w:w="7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8,351</w:t>
            </w:r>
          </w:p>
        </w:tc>
        <w:tc>
          <w:tcPr>
            <w:tcW w:w="7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6,712</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960</w:t>
            </w:r>
          </w:p>
        </w:tc>
        <w:tc>
          <w:tcPr>
            <w:tcW w:w="0" w:type="dxa"/>
            <w:vAlign w:val="bottom"/>
          </w:tcPr>
          <w:p>
            <w:pPr>
              <w:spacing w:after="0"/>
              <w:rPr>
                <w:sz w:val="1"/>
                <w:szCs w:val="1"/>
                <w:color w:val="auto"/>
              </w:rPr>
            </w:pPr>
          </w:p>
        </w:tc>
      </w:tr>
      <w:tr>
        <w:trPr>
          <w:trHeight w:val="149"/>
        </w:trPr>
        <w:tc>
          <w:tcPr>
            <w:tcW w:w="84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Deferred tax liabilities</w:t>
            </w:r>
          </w:p>
        </w:tc>
        <w:tc>
          <w:tcPr>
            <w:tcW w:w="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17</w:t>
            </w:r>
          </w:p>
        </w:tc>
        <w:tc>
          <w:tcPr>
            <w:tcW w:w="7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3,870</w:t>
            </w:r>
          </w:p>
        </w:tc>
        <w:tc>
          <w:tcPr>
            <w:tcW w:w="7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4,985</w:t>
            </w:r>
          </w:p>
        </w:tc>
        <w:tc>
          <w:tcPr>
            <w:tcW w:w="80" w:type="dxa"/>
            <w:vAlign w:val="bottom"/>
          </w:tcPr>
          <w:p>
            <w:pPr>
              <w:spacing w:after="0"/>
              <w:rPr>
                <w:sz w:val="12"/>
                <w:szCs w:val="12"/>
                <w:color w:val="auto"/>
              </w:rPr>
            </w:pPr>
          </w:p>
        </w:tc>
        <w:tc>
          <w:tcPr>
            <w:tcW w:w="5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713</w:t>
            </w:r>
          </w:p>
        </w:tc>
        <w:tc>
          <w:tcPr>
            <w:tcW w:w="0" w:type="dxa"/>
            <w:vAlign w:val="bottom"/>
          </w:tcPr>
          <w:p>
            <w:pPr>
              <w:spacing w:after="0"/>
              <w:rPr>
                <w:sz w:val="1"/>
                <w:szCs w:val="1"/>
                <w:color w:val="auto"/>
              </w:rPr>
            </w:pPr>
          </w:p>
        </w:tc>
      </w:tr>
      <w:tr>
        <w:trPr>
          <w:trHeight w:val="148"/>
        </w:trPr>
        <w:tc>
          <w:tcPr>
            <w:tcW w:w="844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Operating lease liabilities</w:t>
            </w:r>
          </w:p>
        </w:tc>
        <w:tc>
          <w:tcPr>
            <w:tcW w:w="5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16</w:t>
            </w:r>
          </w:p>
        </w:tc>
        <w:tc>
          <w:tcPr>
            <w:tcW w:w="7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4,973</w:t>
            </w:r>
          </w:p>
        </w:tc>
        <w:tc>
          <w:tcPr>
            <w:tcW w:w="7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4,108</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587</w:t>
            </w:r>
          </w:p>
        </w:tc>
        <w:tc>
          <w:tcPr>
            <w:tcW w:w="0" w:type="dxa"/>
            <w:vAlign w:val="bottom"/>
          </w:tcPr>
          <w:p>
            <w:pPr>
              <w:spacing w:after="0"/>
              <w:rPr>
                <w:sz w:val="1"/>
                <w:szCs w:val="1"/>
                <w:color w:val="auto"/>
              </w:rPr>
            </w:pPr>
          </w:p>
        </w:tc>
      </w:tr>
      <w:tr>
        <w:trPr>
          <w:trHeight w:val="148"/>
        </w:trPr>
        <w:tc>
          <w:tcPr>
            <w:tcW w:w="84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Other non-current liabilities</w:t>
            </w:r>
          </w:p>
        </w:tc>
        <w:tc>
          <w:tcPr>
            <w:tcW w:w="580" w:type="dxa"/>
            <w:vAlign w:val="bottom"/>
          </w:tcPr>
          <w:p>
            <w:pPr>
              <w:spacing w:after="0"/>
              <w:rPr>
                <w:sz w:val="12"/>
                <w:szCs w:val="12"/>
                <w:color w:val="auto"/>
              </w:rPr>
            </w:pPr>
          </w:p>
        </w:tc>
        <w:tc>
          <w:tcPr>
            <w:tcW w:w="7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1,557</w:t>
            </w:r>
          </w:p>
        </w:tc>
        <w:tc>
          <w:tcPr>
            <w:tcW w:w="7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1,951</w:t>
            </w:r>
          </w:p>
        </w:tc>
        <w:tc>
          <w:tcPr>
            <w:tcW w:w="80" w:type="dxa"/>
            <w:vAlign w:val="bottom"/>
          </w:tcPr>
          <w:p>
            <w:pPr>
              <w:spacing w:after="0"/>
              <w:rPr>
                <w:sz w:val="12"/>
                <w:szCs w:val="12"/>
                <w:color w:val="auto"/>
              </w:rPr>
            </w:pPr>
          </w:p>
        </w:tc>
        <w:tc>
          <w:tcPr>
            <w:tcW w:w="5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280</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84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Total non-current liabilities</w:t>
            </w:r>
          </w:p>
        </w:tc>
        <w:tc>
          <w:tcPr>
            <w:tcW w:w="5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63,215</w:t>
            </w:r>
          </w:p>
        </w:tc>
        <w:tc>
          <w:tcPr>
            <w:tcW w:w="7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73,103</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10,454</w:t>
            </w:r>
          </w:p>
        </w:tc>
        <w:tc>
          <w:tcPr>
            <w:tcW w:w="0" w:type="dxa"/>
            <w:vAlign w:val="bottom"/>
          </w:tcPr>
          <w:p>
            <w:pPr>
              <w:spacing w:after="0"/>
              <w:rPr>
                <w:sz w:val="1"/>
                <w:szCs w:val="1"/>
                <w:color w:val="auto"/>
              </w:rPr>
            </w:pPr>
          </w:p>
        </w:tc>
      </w:tr>
      <w:tr>
        <w:trPr>
          <w:trHeight w:val="162"/>
        </w:trPr>
        <w:tc>
          <w:tcPr>
            <w:tcW w:w="844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Total liabilities</w:t>
            </w:r>
          </w:p>
        </w:tc>
        <w:tc>
          <w:tcPr>
            <w:tcW w:w="580" w:type="dxa"/>
            <w:vAlign w:val="bottom"/>
          </w:tcPr>
          <w:p>
            <w:pPr>
              <w:spacing w:after="0"/>
              <w:rPr>
                <w:sz w:val="14"/>
                <w:szCs w:val="14"/>
                <w:color w:val="auto"/>
              </w:rPr>
            </w:pP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144,168</w:t>
            </w:r>
          </w:p>
        </w:tc>
        <w:tc>
          <w:tcPr>
            <w:tcW w:w="200" w:type="dxa"/>
            <w:vAlign w:val="bottom"/>
          </w:tcPr>
          <w:p>
            <w:pPr>
              <w:spacing w:after="0"/>
              <w:rPr>
                <w:sz w:val="14"/>
                <w:szCs w:val="14"/>
                <w:color w:val="auto"/>
              </w:rPr>
            </w:pP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159,431</w:t>
            </w:r>
          </w:p>
        </w:tc>
        <w:tc>
          <w:tcPr>
            <w:tcW w:w="20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98"/>
              </w:rPr>
              <w:t>22,798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4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Commitments and contingencies</w:t>
            </w:r>
          </w:p>
        </w:tc>
        <w:tc>
          <w:tcPr>
            <w:tcW w:w="5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19</w:t>
            </w: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 xml:space="preserve">       </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6"/>
                <w:szCs w:val="6"/>
                <w:color w:val="auto"/>
                <w:w w:val="79"/>
              </w:rPr>
              <w:t>  </w:t>
            </w:r>
          </w:p>
        </w:tc>
        <w:tc>
          <w:tcPr>
            <w:tcW w:w="5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 xml:space="preserve">    </w:t>
            </w:r>
          </w:p>
        </w:tc>
        <w:tc>
          <w:tcPr>
            <w:tcW w:w="0" w:type="dxa"/>
            <w:vAlign w:val="bottom"/>
          </w:tcPr>
          <w:p>
            <w:pPr>
              <w:spacing w:after="0"/>
              <w:rPr>
                <w:sz w:val="1"/>
                <w:szCs w:val="1"/>
                <w:color w:val="auto"/>
              </w:rPr>
            </w:pPr>
          </w:p>
        </w:tc>
      </w:tr>
      <w:tr>
        <w:trPr>
          <w:trHeight w:val="233"/>
        </w:trPr>
        <w:tc>
          <w:tcPr>
            <w:tcW w:w="8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Redeemable noncontrolling interests</w:t>
            </w: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9,870</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13,166</w:t>
            </w:r>
          </w:p>
        </w:tc>
        <w:tc>
          <w:tcPr>
            <w:tcW w:w="80" w:type="dxa"/>
            <w:vAlign w:val="bottom"/>
          </w:tcPr>
          <w:p>
            <w:pPr>
              <w:spacing w:after="0"/>
              <w:rPr>
                <w:sz w:val="20"/>
                <w:szCs w:val="20"/>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1,883</w:t>
            </w:r>
          </w:p>
        </w:tc>
        <w:tc>
          <w:tcPr>
            <w:tcW w:w="0" w:type="dxa"/>
            <w:vAlign w:val="bottom"/>
          </w:tcPr>
          <w:p>
            <w:pPr>
              <w:spacing w:after="0"/>
              <w:rPr>
                <w:sz w:val="1"/>
                <w:szCs w:val="1"/>
                <w:color w:val="auto"/>
              </w:rPr>
            </w:pPr>
          </w:p>
        </w:tc>
      </w:tr>
      <w:tr>
        <w:trPr>
          <w:trHeight w:val="50"/>
        </w:trPr>
        <w:tc>
          <w:tcPr>
            <w:tcW w:w="8440" w:type="dxa"/>
            <w:vAlign w:val="bottom"/>
          </w:tcPr>
          <w:p>
            <w:pPr>
              <w:spacing w:after="0"/>
              <w:rPr>
                <w:sz w:val="4"/>
                <w:szCs w:val="4"/>
                <w:color w:val="auto"/>
              </w:rPr>
            </w:pPr>
          </w:p>
        </w:tc>
        <w:tc>
          <w:tcPr>
            <w:tcW w:w="58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84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5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8440" w:type="dxa"/>
            <w:vAlign w:val="bottom"/>
          </w:tcPr>
          <w:p>
            <w:pPr>
              <w:ind w:left="280"/>
              <w:spacing w:after="0" w:line="139" w:lineRule="exact"/>
              <w:rPr>
                <w:sz w:val="20"/>
                <w:szCs w:val="20"/>
                <w:color w:val="auto"/>
              </w:rPr>
            </w:pPr>
            <w:r>
              <w:rPr>
                <w:rFonts w:ascii="Times New Roman" w:cs="Times New Roman" w:eastAsia="Times New Roman" w:hAnsi="Times New Roman"/>
                <w:sz w:val="14"/>
                <w:szCs w:val="14"/>
                <w:color w:val="auto"/>
              </w:rPr>
              <w:t>Class A Ordinary Shares, par value US$0.000000625 per share, 66,000,000,000</w:t>
            </w: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84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shares authorized, 2,378,179,600 shares and 2,323,561,440 shares issued as of</w:t>
            </w: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December 31, 2024 and 2025, respectively, and 2,239,234,372 shares and</w:t>
            </w: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84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2,197,993,760 shares outstanding as of December 31, 2024 and 2025, respectively</w:t>
            </w: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21</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7"/>
                <w:szCs w:val="17"/>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39"/>
        </w:trPr>
        <w:tc>
          <w:tcPr>
            <w:tcW w:w="8440" w:type="dxa"/>
            <w:vAlign w:val="bottom"/>
            <w:shd w:val="clear" w:color="auto" w:fill="CCEEFF"/>
          </w:tcPr>
          <w:p>
            <w:pPr>
              <w:ind w:left="280"/>
              <w:spacing w:after="0" w:line="139" w:lineRule="exact"/>
              <w:rPr>
                <w:sz w:val="20"/>
                <w:szCs w:val="20"/>
                <w:color w:val="auto"/>
              </w:rPr>
            </w:pPr>
            <w:r>
              <w:rPr>
                <w:rFonts w:ascii="Times New Roman" w:cs="Times New Roman" w:eastAsia="Times New Roman" w:hAnsi="Times New Roman"/>
                <w:sz w:val="14"/>
                <w:szCs w:val="14"/>
                <w:color w:val="auto"/>
              </w:rPr>
              <w:t>Class B Ordinary Shares, par value US$0.000000625 per share, 2,832,000,000 shares authorized,</w:t>
            </w:r>
          </w:p>
        </w:tc>
        <w:tc>
          <w:tcPr>
            <w:tcW w:w="5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44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524,340,320 shares and 524,020,320 shares issued and</w:t>
            </w:r>
          </w:p>
        </w:tc>
        <w:tc>
          <w:tcPr>
            <w:tcW w:w="5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84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outstanding as of December 31, 2024 and 2025, respectively</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21</w:t>
            </w: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84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Additional paid-in capital</w:t>
            </w:r>
          </w:p>
        </w:tc>
        <w:tc>
          <w:tcPr>
            <w:tcW w:w="580" w:type="dxa"/>
            <w:vAlign w:val="bottom"/>
          </w:tcPr>
          <w:p>
            <w:pPr>
              <w:spacing w:after="0"/>
              <w:rPr>
                <w:sz w:val="12"/>
                <w:szCs w:val="12"/>
                <w:color w:val="auto"/>
              </w:rPr>
            </w:pPr>
          </w:p>
        </w:tc>
        <w:tc>
          <w:tcPr>
            <w:tcW w:w="7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91,586</w:t>
            </w:r>
          </w:p>
        </w:tc>
        <w:tc>
          <w:tcPr>
            <w:tcW w:w="7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94,979</w:t>
            </w:r>
          </w:p>
        </w:tc>
        <w:tc>
          <w:tcPr>
            <w:tcW w:w="80" w:type="dxa"/>
            <w:vAlign w:val="bottom"/>
          </w:tcPr>
          <w:p>
            <w:pPr>
              <w:spacing w:after="0"/>
              <w:rPr>
                <w:sz w:val="12"/>
                <w:szCs w:val="12"/>
                <w:color w:val="auto"/>
              </w:rPr>
            </w:pPr>
          </w:p>
        </w:tc>
        <w:tc>
          <w:tcPr>
            <w:tcW w:w="5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w w:val="98"/>
              </w:rPr>
              <w:t>13,582</w:t>
            </w:r>
          </w:p>
        </w:tc>
        <w:tc>
          <w:tcPr>
            <w:tcW w:w="0" w:type="dxa"/>
            <w:vAlign w:val="bottom"/>
          </w:tcPr>
          <w:p>
            <w:pPr>
              <w:spacing w:after="0"/>
              <w:rPr>
                <w:sz w:val="1"/>
                <w:szCs w:val="1"/>
                <w:color w:val="auto"/>
              </w:rPr>
            </w:pPr>
          </w:p>
        </w:tc>
      </w:tr>
      <w:tr>
        <w:trPr>
          <w:trHeight w:val="149"/>
        </w:trPr>
        <w:tc>
          <w:tcPr>
            <w:tcW w:w="844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Treasury stock</w:t>
            </w:r>
          </w:p>
        </w:tc>
        <w:tc>
          <w:tcPr>
            <w:tcW w:w="5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21</w:t>
            </w:r>
          </w:p>
        </w:tc>
        <w:tc>
          <w:tcPr>
            <w:tcW w:w="7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(6,236)</w:t>
            </w:r>
          </w:p>
        </w:tc>
        <w:tc>
          <w:tcPr>
            <w:tcW w:w="7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(4,693)</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(671)</w:t>
            </w:r>
          </w:p>
        </w:tc>
        <w:tc>
          <w:tcPr>
            <w:tcW w:w="0" w:type="dxa"/>
            <w:vAlign w:val="bottom"/>
          </w:tcPr>
          <w:p>
            <w:pPr>
              <w:spacing w:after="0"/>
              <w:rPr>
                <w:sz w:val="1"/>
                <w:szCs w:val="1"/>
                <w:color w:val="auto"/>
              </w:rPr>
            </w:pPr>
          </w:p>
        </w:tc>
      </w:tr>
      <w:tr>
        <w:trPr>
          <w:trHeight w:val="149"/>
        </w:trPr>
        <w:tc>
          <w:tcPr>
            <w:tcW w:w="84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Retained earnings</w:t>
            </w:r>
          </w:p>
        </w:tc>
        <w:tc>
          <w:tcPr>
            <w:tcW w:w="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21</w:t>
            </w:r>
          </w:p>
        </w:tc>
        <w:tc>
          <w:tcPr>
            <w:tcW w:w="7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180,073</w:t>
            </w:r>
          </w:p>
        </w:tc>
        <w:tc>
          <w:tcPr>
            <w:tcW w:w="7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177,694</w:t>
            </w:r>
          </w:p>
        </w:tc>
        <w:tc>
          <w:tcPr>
            <w:tcW w:w="80" w:type="dxa"/>
            <w:vAlign w:val="bottom"/>
          </w:tcPr>
          <w:p>
            <w:pPr>
              <w:spacing w:after="0"/>
              <w:rPr>
                <w:sz w:val="12"/>
                <w:szCs w:val="12"/>
                <w:color w:val="auto"/>
              </w:rPr>
            </w:pPr>
          </w:p>
        </w:tc>
        <w:tc>
          <w:tcPr>
            <w:tcW w:w="5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w w:val="98"/>
              </w:rPr>
              <w:t>25,410</w:t>
            </w:r>
          </w:p>
        </w:tc>
        <w:tc>
          <w:tcPr>
            <w:tcW w:w="0" w:type="dxa"/>
            <w:vAlign w:val="bottom"/>
          </w:tcPr>
          <w:p>
            <w:pPr>
              <w:spacing w:after="0"/>
              <w:rPr>
                <w:sz w:val="1"/>
                <w:szCs w:val="1"/>
                <w:color w:val="auto"/>
              </w:rPr>
            </w:pPr>
          </w:p>
        </w:tc>
      </w:tr>
      <w:tr>
        <w:trPr>
          <w:trHeight w:val="149"/>
        </w:trPr>
        <w:tc>
          <w:tcPr>
            <w:tcW w:w="844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Accumulated other comprehensive loss</w:t>
            </w:r>
          </w:p>
        </w:tc>
        <w:tc>
          <w:tcPr>
            <w:tcW w:w="5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21</w:t>
            </w:r>
          </w:p>
        </w:tc>
        <w:tc>
          <w:tcPr>
            <w:tcW w:w="7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(1,803)</w:t>
            </w:r>
          </w:p>
        </w:tc>
        <w:tc>
          <w:tcPr>
            <w:tcW w:w="7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(1,650)</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(236)</w:t>
            </w:r>
          </w:p>
        </w:tc>
        <w:tc>
          <w:tcPr>
            <w:tcW w:w="0" w:type="dxa"/>
            <w:vAlign w:val="bottom"/>
          </w:tcPr>
          <w:p>
            <w:pPr>
              <w:spacing w:after="0"/>
              <w:rPr>
                <w:sz w:val="1"/>
                <w:szCs w:val="1"/>
                <w:color w:val="auto"/>
              </w:rPr>
            </w:pPr>
          </w:p>
        </w:tc>
      </w:tr>
      <w:tr>
        <w:trPr>
          <w:trHeight w:val="163"/>
        </w:trPr>
        <w:tc>
          <w:tcPr>
            <w:tcW w:w="844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Total Baidu, Inc. shareholders’ equity</w:t>
            </w:r>
          </w:p>
        </w:tc>
        <w:tc>
          <w:tcPr>
            <w:tcW w:w="580" w:type="dxa"/>
            <w:vAlign w:val="bottom"/>
          </w:tcPr>
          <w:p>
            <w:pPr>
              <w:spacing w:after="0"/>
              <w:rPr>
                <w:sz w:val="14"/>
                <w:szCs w:val="14"/>
                <w:color w:val="auto"/>
              </w:rPr>
            </w:pP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263,620</w:t>
            </w:r>
          </w:p>
        </w:tc>
        <w:tc>
          <w:tcPr>
            <w:tcW w:w="200" w:type="dxa"/>
            <w:vAlign w:val="bottom"/>
          </w:tcPr>
          <w:p>
            <w:pPr>
              <w:spacing w:after="0"/>
              <w:rPr>
                <w:sz w:val="14"/>
                <w:szCs w:val="14"/>
                <w:color w:val="auto"/>
              </w:rPr>
            </w:pP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266,330</w:t>
            </w:r>
          </w:p>
        </w:tc>
        <w:tc>
          <w:tcPr>
            <w:tcW w:w="20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98"/>
              </w:rPr>
              <w:t>38,085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4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Noncontrolling interests</w:t>
            </w:r>
          </w:p>
        </w:tc>
        <w:tc>
          <w:tcPr>
            <w:tcW w:w="5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10,122</w:t>
            </w:r>
          </w:p>
        </w:tc>
        <w:tc>
          <w:tcPr>
            <w:tcW w:w="7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10,230</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1,463</w:t>
            </w:r>
          </w:p>
        </w:tc>
        <w:tc>
          <w:tcPr>
            <w:tcW w:w="0" w:type="dxa"/>
            <w:vAlign w:val="bottom"/>
          </w:tcPr>
          <w:p>
            <w:pPr>
              <w:spacing w:after="0"/>
              <w:rPr>
                <w:sz w:val="1"/>
                <w:szCs w:val="1"/>
                <w:color w:val="auto"/>
              </w:rPr>
            </w:pPr>
          </w:p>
        </w:tc>
      </w:tr>
      <w:tr>
        <w:trPr>
          <w:trHeight w:val="163"/>
        </w:trPr>
        <w:tc>
          <w:tcPr>
            <w:tcW w:w="844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Total equity</w:t>
            </w:r>
          </w:p>
        </w:tc>
        <w:tc>
          <w:tcPr>
            <w:tcW w:w="580" w:type="dxa"/>
            <w:vAlign w:val="bottom"/>
          </w:tcPr>
          <w:p>
            <w:pPr>
              <w:spacing w:after="0"/>
              <w:rPr>
                <w:sz w:val="14"/>
                <w:szCs w:val="14"/>
                <w:color w:val="auto"/>
              </w:rPr>
            </w:pP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273,742</w:t>
            </w:r>
          </w:p>
        </w:tc>
        <w:tc>
          <w:tcPr>
            <w:tcW w:w="200" w:type="dxa"/>
            <w:vAlign w:val="bottom"/>
          </w:tcPr>
          <w:p>
            <w:pPr>
              <w:spacing w:after="0"/>
              <w:rPr>
                <w:sz w:val="14"/>
                <w:szCs w:val="14"/>
                <w:color w:val="auto"/>
              </w:rPr>
            </w:pP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276,560</w:t>
            </w:r>
          </w:p>
        </w:tc>
        <w:tc>
          <w:tcPr>
            <w:tcW w:w="20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98"/>
              </w:rPr>
              <w:t>39,548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4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Total liabilities, redeemable noncontrolling interests and equity</w:t>
            </w:r>
          </w:p>
        </w:tc>
        <w:tc>
          <w:tcPr>
            <w:tcW w:w="5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427,780</w:t>
            </w:r>
          </w:p>
        </w:tc>
        <w:tc>
          <w:tcPr>
            <w:tcW w:w="7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449,157</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64,229</w:t>
            </w: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The accompanying notes are an integral part of the consolidated financial statements.</w:t>
      </w:r>
    </w:p>
    <w:p>
      <w:pPr>
        <w:sectPr>
          <w:pgSz w:w="11900" w:h="16838" w:orient="portrait"/>
          <w:cols w:equalWidth="0" w:num="1">
            <w:col w:w="11140"/>
          </w:cols>
          <w:pgMar w:left="320" w:top="482" w:right="439" w:bottom="1440" w:gutter="0" w:footer="0" w:header="0"/>
        </w:sectPr>
      </w:pPr>
    </w:p>
    <w:p>
      <w:pPr>
        <w:spacing w:after="0" w:line="16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F-5</w:t>
      </w:r>
    </w:p>
    <w:p>
      <w:pPr>
        <w:sectPr>
          <w:pgSz w:w="11900" w:h="16838" w:orient="portrait"/>
          <w:cols w:equalWidth="0" w:num="1">
            <w:col w:w="11140"/>
          </w:cols>
          <w:pgMar w:left="320" w:top="482" w:right="439" w:bottom="1440" w:gutter="0" w:footer="0" w:header="0"/>
          <w:type w:val="continuous"/>
        </w:sectPr>
      </w:pPr>
    </w:p>
    <w:bookmarkStart w:id="230" w:name="page231"/>
    <w:bookmarkEnd w:id="2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40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BAIDU, INC.</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CONSOLIDATED STATEMENTS OF COMPREHENSIVE INCOME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(Amounts in millions of Renminbi (“RMB”), and in millions of U.S. Dollars (“US$”), including number of shares, except for per share (or ADS) data)</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6760" w:type="dxa"/>
            <w:vAlign w:val="bottom"/>
          </w:tcPr>
          <w:p>
            <w:pPr>
              <w:spacing w:after="0"/>
              <w:rPr>
                <w:sz w:val="15"/>
                <w:szCs w:val="15"/>
                <w:color w:val="auto"/>
              </w:rPr>
            </w:pPr>
          </w:p>
        </w:tc>
        <w:tc>
          <w:tcPr>
            <w:tcW w:w="1320" w:type="dxa"/>
            <w:vAlign w:val="bottom"/>
            <w:vMerge w:val="restart"/>
          </w:tcPr>
          <w:p>
            <w:pPr>
              <w:ind w:left="82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2940" w:type="dxa"/>
            <w:vAlign w:val="bottom"/>
            <w:gridSpan w:val="8"/>
          </w:tcPr>
          <w:p>
            <w:pPr>
              <w:ind w:left="34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676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560" w:type="dxa"/>
            <w:vAlign w:val="bottom"/>
            <w:tcBorders>
              <w:top w:val="single" w:sz="8" w:color="auto"/>
              <w:bottom w:val="single" w:sz="8" w:color="auto"/>
            </w:tcBorders>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7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560" w:type="dxa"/>
            <w:vAlign w:val="bottom"/>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spacing w:after="0"/>
              <w:rPr>
                <w:sz w:val="12"/>
                <w:szCs w:val="12"/>
                <w:color w:val="auto"/>
              </w:rPr>
            </w:pPr>
          </w:p>
        </w:tc>
        <w:tc>
          <w:tcPr>
            <w:tcW w:w="560" w:type="dxa"/>
            <w:vAlign w:val="bottom"/>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Pr>
          <w:p>
            <w:pPr>
              <w:spacing w:after="0"/>
              <w:rPr>
                <w:sz w:val="12"/>
                <w:szCs w:val="12"/>
                <w:color w:val="auto"/>
              </w:rPr>
            </w:pPr>
          </w:p>
        </w:tc>
        <w:tc>
          <w:tcPr>
            <w:tcW w:w="560" w:type="dxa"/>
            <w:vAlign w:val="bottom"/>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spacing w:after="0"/>
              <w:rPr>
                <w:sz w:val="12"/>
                <w:szCs w:val="12"/>
                <w:color w:val="auto"/>
              </w:rPr>
            </w:pPr>
          </w:p>
        </w:tc>
        <w:tc>
          <w:tcPr>
            <w:tcW w:w="480" w:type="dxa"/>
            <w:vAlign w:val="bottom"/>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320" w:type="dxa"/>
            <w:vAlign w:val="bottom"/>
            <w:shd w:val="clear" w:color="auto" w:fill="CCEEFF"/>
          </w:tcPr>
          <w:p>
            <w:pPr>
              <w:jc w:val="center"/>
              <w:ind w:left="680"/>
              <w:spacing w:after="0"/>
              <w:rPr>
                <w:sz w:val="20"/>
                <w:szCs w:val="20"/>
                <w:color w:val="auto"/>
              </w:rPr>
            </w:pPr>
            <w:r>
              <w:rPr>
                <w:rFonts w:ascii="Times New Roman" w:cs="Times New Roman" w:eastAsia="Times New Roman" w:hAnsi="Times New Roman"/>
                <w:sz w:val="16"/>
                <w:szCs w:val="16"/>
                <w:color w:val="auto"/>
                <w:w w:val="99"/>
              </w:rPr>
              <w:t>25</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134,598</w:t>
            </w:r>
          </w:p>
        </w:tc>
        <w:tc>
          <w:tcPr>
            <w:tcW w:w="2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133,125</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129,079</w:t>
            </w:r>
          </w:p>
        </w:tc>
        <w:tc>
          <w:tcPr>
            <w:tcW w:w="2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18,458</w:t>
            </w:r>
          </w:p>
        </w:tc>
        <w:tc>
          <w:tcPr>
            <w:tcW w:w="0" w:type="dxa"/>
            <w:vAlign w:val="bottom"/>
          </w:tcPr>
          <w:p>
            <w:pPr>
              <w:spacing w:after="0"/>
              <w:rPr>
                <w:sz w:val="1"/>
                <w:szCs w:val="1"/>
                <w:color w:val="auto"/>
              </w:rPr>
            </w:pPr>
          </w:p>
        </w:tc>
      </w:tr>
      <w:tr>
        <w:trPr>
          <w:trHeight w:val="207"/>
        </w:trPr>
        <w:tc>
          <w:tcPr>
            <w:tcW w:w="6760" w:type="dxa"/>
            <w:vAlign w:val="bottom"/>
          </w:tcPr>
          <w:p>
            <w:pPr>
              <w:spacing w:after="0"/>
              <w:rPr>
                <w:sz w:val="20"/>
                <w:szCs w:val="20"/>
                <w:color w:val="auto"/>
              </w:rPr>
            </w:pPr>
            <w:r>
              <w:rPr>
                <w:rFonts w:ascii="Times New Roman" w:cs="Times New Roman" w:eastAsia="Times New Roman" w:hAnsi="Times New Roman"/>
                <w:sz w:val="16"/>
                <w:szCs w:val="16"/>
                <w:color w:val="auto"/>
              </w:rPr>
              <w:t>Costs and expenses:</w:t>
            </w:r>
          </w:p>
        </w:tc>
        <w:tc>
          <w:tcPr>
            <w:tcW w:w="132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7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Cost of revenue</w:t>
            </w:r>
          </w:p>
        </w:tc>
        <w:tc>
          <w:tcPr>
            <w:tcW w:w="13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65,031</w:t>
            </w:r>
          </w:p>
        </w:tc>
        <w:tc>
          <w:tcPr>
            <w:tcW w:w="2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66,102</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72,436</w:t>
            </w:r>
          </w:p>
        </w:tc>
        <w:tc>
          <w:tcPr>
            <w:tcW w:w="2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10,358</w:t>
            </w:r>
          </w:p>
        </w:tc>
        <w:tc>
          <w:tcPr>
            <w:tcW w:w="0" w:type="dxa"/>
            <w:vAlign w:val="bottom"/>
          </w:tcPr>
          <w:p>
            <w:pPr>
              <w:spacing w:after="0"/>
              <w:rPr>
                <w:sz w:val="1"/>
                <w:szCs w:val="1"/>
                <w:color w:val="auto"/>
              </w:rPr>
            </w:pPr>
          </w:p>
        </w:tc>
      </w:tr>
      <w:tr>
        <w:trPr>
          <w:trHeight w:val="203"/>
        </w:trPr>
        <w:tc>
          <w:tcPr>
            <w:tcW w:w="67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13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23,519</w:t>
            </w:r>
          </w:p>
        </w:tc>
        <w:tc>
          <w:tcPr>
            <w:tcW w:w="220" w:type="dxa"/>
            <w:vAlign w:val="bottom"/>
          </w:tcPr>
          <w:p>
            <w:pPr>
              <w:spacing w:after="0"/>
              <w:rPr>
                <w:sz w:val="17"/>
                <w:szCs w:val="17"/>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23,620</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25,843</w:t>
            </w:r>
          </w:p>
        </w:tc>
        <w:tc>
          <w:tcPr>
            <w:tcW w:w="22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3,696</w:t>
            </w:r>
          </w:p>
        </w:tc>
        <w:tc>
          <w:tcPr>
            <w:tcW w:w="0" w:type="dxa"/>
            <w:vAlign w:val="bottom"/>
          </w:tcPr>
          <w:p>
            <w:pPr>
              <w:spacing w:after="0"/>
              <w:rPr>
                <w:sz w:val="1"/>
                <w:szCs w:val="1"/>
                <w:color w:val="auto"/>
              </w:rPr>
            </w:pPr>
          </w:p>
        </w:tc>
      </w:tr>
      <w:tr>
        <w:trPr>
          <w:trHeight w:val="203"/>
        </w:trPr>
        <w:tc>
          <w:tcPr>
            <w:tcW w:w="67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3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24,192</w:t>
            </w:r>
          </w:p>
        </w:tc>
        <w:tc>
          <w:tcPr>
            <w:tcW w:w="2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22,133</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20,433</w:t>
            </w:r>
          </w:p>
        </w:tc>
        <w:tc>
          <w:tcPr>
            <w:tcW w:w="2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2,922</w:t>
            </w:r>
          </w:p>
        </w:tc>
        <w:tc>
          <w:tcPr>
            <w:tcW w:w="0" w:type="dxa"/>
            <w:vAlign w:val="bottom"/>
          </w:tcPr>
          <w:p>
            <w:pPr>
              <w:spacing w:after="0"/>
              <w:rPr>
                <w:sz w:val="1"/>
                <w:szCs w:val="1"/>
                <w:color w:val="auto"/>
              </w:rPr>
            </w:pPr>
          </w:p>
        </w:tc>
      </w:tr>
      <w:tr>
        <w:trPr>
          <w:trHeight w:val="209"/>
        </w:trPr>
        <w:tc>
          <w:tcPr>
            <w:tcW w:w="67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Impairment of long-lived assets</w:t>
            </w:r>
          </w:p>
        </w:tc>
        <w:tc>
          <w:tcPr>
            <w:tcW w:w="1320" w:type="dxa"/>
            <w:vAlign w:val="bottom"/>
          </w:tcPr>
          <w:p>
            <w:pPr>
              <w:jc w:val="center"/>
              <w:ind w:left="680"/>
              <w:spacing w:after="0"/>
              <w:rPr>
                <w:sz w:val="20"/>
                <w:szCs w:val="20"/>
                <w:color w:val="auto"/>
              </w:rPr>
            </w:pPr>
            <w:r>
              <w:rPr>
                <w:rFonts w:ascii="Times New Roman" w:cs="Times New Roman" w:eastAsia="Times New Roman" w:hAnsi="Times New Roman"/>
                <w:sz w:val="16"/>
                <w:szCs w:val="16"/>
                <w:color w:val="auto"/>
                <w:w w:val="99"/>
              </w:rPr>
              <w:t>2</w:t>
            </w:r>
          </w:p>
        </w:tc>
        <w:tc>
          <w:tcPr>
            <w:tcW w:w="78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— </w:t>
            </w: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— </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16,190</w:t>
            </w:r>
          </w:p>
        </w:tc>
        <w:tc>
          <w:tcPr>
            <w:tcW w:w="22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2,315</w:t>
            </w:r>
          </w:p>
        </w:tc>
        <w:tc>
          <w:tcPr>
            <w:tcW w:w="0" w:type="dxa"/>
            <w:vAlign w:val="bottom"/>
          </w:tcPr>
          <w:p>
            <w:pPr>
              <w:spacing w:after="0"/>
              <w:rPr>
                <w:sz w:val="1"/>
                <w:szCs w:val="1"/>
                <w:color w:val="auto"/>
              </w:rPr>
            </w:pPr>
          </w:p>
        </w:tc>
      </w:tr>
      <w:tr>
        <w:trPr>
          <w:trHeight w:val="203"/>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costs and expenses</w:t>
            </w:r>
          </w:p>
        </w:tc>
        <w:tc>
          <w:tcPr>
            <w:tcW w:w="1320" w:type="dxa"/>
            <w:vAlign w:val="bottom"/>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112,742</w:t>
            </w:r>
          </w:p>
        </w:tc>
        <w:tc>
          <w:tcPr>
            <w:tcW w:w="220" w:type="dxa"/>
            <w:vAlign w:val="bottom"/>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111,855</w:t>
            </w:r>
          </w:p>
        </w:tc>
        <w:tc>
          <w:tcPr>
            <w:tcW w:w="200" w:type="dxa"/>
            <w:vAlign w:val="bottom"/>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134,902</w:t>
            </w:r>
          </w:p>
        </w:tc>
        <w:tc>
          <w:tcPr>
            <w:tcW w:w="220" w:type="dxa"/>
            <w:vAlign w:val="bottom"/>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19,291</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7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Operating income (loss)</w:t>
            </w:r>
          </w:p>
        </w:tc>
        <w:tc>
          <w:tcPr>
            <w:tcW w:w="1320" w:type="dxa"/>
            <w:vAlign w:val="bottom"/>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21,856</w:t>
            </w:r>
          </w:p>
        </w:tc>
        <w:tc>
          <w:tcPr>
            <w:tcW w:w="220" w:type="dxa"/>
            <w:vAlign w:val="bottom"/>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21,270</w:t>
            </w:r>
          </w:p>
        </w:tc>
        <w:tc>
          <w:tcPr>
            <w:tcW w:w="200" w:type="dxa"/>
            <w:vAlign w:val="bottom"/>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(5,823)</w:t>
            </w:r>
          </w:p>
        </w:tc>
        <w:tc>
          <w:tcPr>
            <w:tcW w:w="220" w:type="dxa"/>
            <w:vAlign w:val="bottom"/>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(833)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income:</w:t>
            </w:r>
          </w:p>
        </w:tc>
        <w:tc>
          <w:tcPr>
            <w:tcW w:w="13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Interest income</w:t>
            </w:r>
          </w:p>
        </w:tc>
        <w:tc>
          <w:tcPr>
            <w:tcW w:w="13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8,009</w:t>
            </w:r>
          </w:p>
        </w:tc>
        <w:tc>
          <w:tcPr>
            <w:tcW w:w="220" w:type="dxa"/>
            <w:vAlign w:val="bottom"/>
          </w:tcPr>
          <w:p>
            <w:pPr>
              <w:spacing w:after="0"/>
              <w:rPr>
                <w:sz w:val="17"/>
                <w:szCs w:val="17"/>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7,962</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8,602</w:t>
            </w:r>
          </w:p>
        </w:tc>
        <w:tc>
          <w:tcPr>
            <w:tcW w:w="22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1,230</w:t>
            </w:r>
          </w:p>
        </w:tc>
        <w:tc>
          <w:tcPr>
            <w:tcW w:w="0" w:type="dxa"/>
            <w:vAlign w:val="bottom"/>
          </w:tcPr>
          <w:p>
            <w:pPr>
              <w:spacing w:after="0"/>
              <w:rPr>
                <w:sz w:val="1"/>
                <w:szCs w:val="1"/>
                <w:color w:val="auto"/>
              </w:rPr>
            </w:pPr>
          </w:p>
        </w:tc>
      </w:tr>
      <w:tr>
        <w:trPr>
          <w:trHeight w:val="203"/>
        </w:trPr>
        <w:tc>
          <w:tcPr>
            <w:tcW w:w="67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Interest expense</w:t>
            </w:r>
          </w:p>
        </w:tc>
        <w:tc>
          <w:tcPr>
            <w:tcW w:w="13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(3,248)</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(2,824)</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(2,784)</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(398)</w:t>
            </w:r>
          </w:p>
        </w:tc>
        <w:tc>
          <w:tcPr>
            <w:tcW w:w="0" w:type="dxa"/>
            <w:vAlign w:val="bottom"/>
          </w:tcPr>
          <w:p>
            <w:pPr>
              <w:spacing w:after="0"/>
              <w:rPr>
                <w:sz w:val="1"/>
                <w:szCs w:val="1"/>
                <w:color w:val="auto"/>
              </w:rPr>
            </w:pPr>
          </w:p>
        </w:tc>
      </w:tr>
      <w:tr>
        <w:trPr>
          <w:trHeight w:val="203"/>
        </w:trPr>
        <w:tc>
          <w:tcPr>
            <w:tcW w:w="67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Foreign exchange gain (loss), net</w:t>
            </w:r>
          </w:p>
        </w:tc>
        <w:tc>
          <w:tcPr>
            <w:tcW w:w="13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595</w:t>
            </w:r>
          </w:p>
        </w:tc>
        <w:tc>
          <w:tcPr>
            <w:tcW w:w="220" w:type="dxa"/>
            <w:vAlign w:val="bottom"/>
          </w:tcPr>
          <w:p>
            <w:pPr>
              <w:spacing w:after="0"/>
              <w:rPr>
                <w:sz w:val="17"/>
                <w:szCs w:val="17"/>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1,076</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(2,242)</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(321)</w:t>
            </w:r>
          </w:p>
        </w:tc>
        <w:tc>
          <w:tcPr>
            <w:tcW w:w="0" w:type="dxa"/>
            <w:vAlign w:val="bottom"/>
          </w:tcPr>
          <w:p>
            <w:pPr>
              <w:spacing w:after="0"/>
              <w:rPr>
                <w:sz w:val="1"/>
                <w:szCs w:val="1"/>
                <w:color w:val="auto"/>
              </w:rPr>
            </w:pPr>
          </w:p>
        </w:tc>
      </w:tr>
      <w:tr>
        <w:trPr>
          <w:trHeight w:val="203"/>
        </w:trPr>
        <w:tc>
          <w:tcPr>
            <w:tcW w:w="67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Share of earnings (losses) from equity method investments</w:t>
            </w:r>
          </w:p>
        </w:tc>
        <w:tc>
          <w:tcPr>
            <w:tcW w:w="13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(3,799)</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(691)</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3,196</w:t>
            </w:r>
          </w:p>
        </w:tc>
        <w:tc>
          <w:tcPr>
            <w:tcW w:w="2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457</w:t>
            </w:r>
          </w:p>
        </w:tc>
        <w:tc>
          <w:tcPr>
            <w:tcW w:w="0" w:type="dxa"/>
            <w:vAlign w:val="bottom"/>
          </w:tcPr>
          <w:p>
            <w:pPr>
              <w:spacing w:after="0"/>
              <w:rPr>
                <w:sz w:val="1"/>
                <w:szCs w:val="1"/>
                <w:color w:val="auto"/>
              </w:rPr>
            </w:pPr>
          </w:p>
        </w:tc>
      </w:tr>
      <w:tr>
        <w:trPr>
          <w:trHeight w:val="210"/>
        </w:trPr>
        <w:tc>
          <w:tcPr>
            <w:tcW w:w="67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Others, net</w:t>
            </w:r>
          </w:p>
        </w:tc>
        <w:tc>
          <w:tcPr>
            <w:tcW w:w="13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1,785</w:t>
            </w:r>
          </w:p>
        </w:tc>
        <w:tc>
          <w:tcPr>
            <w:tcW w:w="2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1,829</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5,767</w:t>
            </w:r>
          </w:p>
        </w:tc>
        <w:tc>
          <w:tcPr>
            <w:tcW w:w="22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825</w:t>
            </w:r>
          </w:p>
        </w:tc>
        <w:tc>
          <w:tcPr>
            <w:tcW w:w="0" w:type="dxa"/>
            <w:vAlign w:val="bottom"/>
          </w:tcPr>
          <w:p>
            <w:pPr>
              <w:spacing w:after="0"/>
              <w:rPr>
                <w:sz w:val="1"/>
                <w:szCs w:val="1"/>
                <w:color w:val="auto"/>
              </w:rPr>
            </w:pPr>
          </w:p>
        </w:tc>
      </w:tr>
      <w:tr>
        <w:trPr>
          <w:trHeight w:val="203"/>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other income, net</w:t>
            </w:r>
          </w:p>
        </w:tc>
        <w:tc>
          <w:tcPr>
            <w:tcW w:w="1320" w:type="dxa"/>
            <w:vAlign w:val="bottom"/>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3,342</w:t>
            </w:r>
          </w:p>
        </w:tc>
        <w:tc>
          <w:tcPr>
            <w:tcW w:w="220" w:type="dxa"/>
            <w:vAlign w:val="bottom"/>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7,352</w:t>
            </w:r>
          </w:p>
        </w:tc>
        <w:tc>
          <w:tcPr>
            <w:tcW w:w="200" w:type="dxa"/>
            <w:vAlign w:val="bottom"/>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12,539</w:t>
            </w:r>
          </w:p>
        </w:tc>
        <w:tc>
          <w:tcPr>
            <w:tcW w:w="220" w:type="dxa"/>
            <w:vAlign w:val="bottom"/>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1,793</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7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Income before income taxes</w:t>
            </w:r>
          </w:p>
        </w:tc>
        <w:tc>
          <w:tcPr>
            <w:tcW w:w="13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25,198</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28,622</w:t>
            </w: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6,716</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960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expense</w:t>
            </w:r>
          </w:p>
        </w:tc>
        <w:tc>
          <w:tcPr>
            <w:tcW w:w="1320" w:type="dxa"/>
            <w:vAlign w:val="bottom"/>
            <w:shd w:val="clear" w:color="auto" w:fill="CCEEFF"/>
          </w:tcPr>
          <w:p>
            <w:pPr>
              <w:jc w:val="center"/>
              <w:ind w:left="680"/>
              <w:spacing w:after="0"/>
              <w:rPr>
                <w:sz w:val="20"/>
                <w:szCs w:val="20"/>
                <w:color w:val="auto"/>
              </w:rPr>
            </w:pPr>
            <w:r>
              <w:rPr>
                <w:rFonts w:ascii="Times New Roman" w:cs="Times New Roman" w:eastAsia="Times New Roman" w:hAnsi="Times New Roman"/>
                <w:sz w:val="16"/>
                <w:szCs w:val="16"/>
                <w:color w:val="auto"/>
                <w:w w:val="99"/>
              </w:rPr>
              <w:t>17</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3,649</w:t>
            </w:r>
          </w:p>
        </w:tc>
        <w:tc>
          <w:tcPr>
            <w:tcW w:w="2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4,447</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1,259</w:t>
            </w:r>
          </w:p>
        </w:tc>
        <w:tc>
          <w:tcPr>
            <w:tcW w:w="2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180</w:t>
            </w:r>
          </w:p>
        </w:tc>
        <w:tc>
          <w:tcPr>
            <w:tcW w:w="0" w:type="dxa"/>
            <w:vAlign w:val="bottom"/>
          </w:tcPr>
          <w:p>
            <w:pPr>
              <w:spacing w:after="0"/>
              <w:rPr>
                <w:sz w:val="1"/>
                <w:szCs w:val="1"/>
                <w:color w:val="auto"/>
              </w:rPr>
            </w:pPr>
          </w:p>
        </w:tc>
      </w:tr>
      <w:tr>
        <w:trPr>
          <w:trHeight w:val="217"/>
        </w:trPr>
        <w:tc>
          <w:tcPr>
            <w:tcW w:w="67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1320" w:type="dxa"/>
            <w:vAlign w:val="bottom"/>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21,549</w:t>
            </w:r>
          </w:p>
        </w:tc>
        <w:tc>
          <w:tcPr>
            <w:tcW w:w="220" w:type="dxa"/>
            <w:vAlign w:val="bottom"/>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24,175</w:t>
            </w:r>
          </w:p>
        </w:tc>
        <w:tc>
          <w:tcPr>
            <w:tcW w:w="200" w:type="dxa"/>
            <w:vAlign w:val="bottom"/>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5,457</w:t>
            </w:r>
          </w:p>
        </w:tc>
        <w:tc>
          <w:tcPr>
            <w:tcW w:w="22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780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7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Less: net income (loss) attributable to noncontrolling interests</w:t>
            </w:r>
          </w:p>
        </w:tc>
        <w:tc>
          <w:tcPr>
            <w:tcW w:w="132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1,234</w:t>
            </w:r>
          </w:p>
        </w:tc>
        <w:tc>
          <w:tcPr>
            <w:tcW w:w="22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w:t>
            </w:r>
          </w:p>
        </w:tc>
        <w:tc>
          <w:tcPr>
            <w:tcW w:w="20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22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7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income attributable to Baidu, Inc.</w:t>
            </w:r>
          </w:p>
        </w:tc>
        <w:tc>
          <w:tcPr>
            <w:tcW w:w="1320" w:type="dxa"/>
            <w:vAlign w:val="bottom"/>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20,315</w:t>
            </w:r>
          </w:p>
        </w:tc>
        <w:tc>
          <w:tcPr>
            <w:tcW w:w="220" w:type="dxa"/>
            <w:vAlign w:val="bottom"/>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23,760</w:t>
            </w:r>
          </w:p>
        </w:tc>
        <w:tc>
          <w:tcPr>
            <w:tcW w:w="200" w:type="dxa"/>
            <w:vAlign w:val="bottom"/>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5,589</w:t>
            </w:r>
          </w:p>
        </w:tc>
        <w:tc>
          <w:tcPr>
            <w:tcW w:w="220" w:type="dxa"/>
            <w:vAlign w:val="bottom"/>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799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Earnings per share for Class A and Class B ordinary shares:</w:t>
            </w:r>
          </w:p>
        </w:tc>
        <w:tc>
          <w:tcPr>
            <w:tcW w:w="1320" w:type="dxa"/>
            <w:vAlign w:val="bottom"/>
            <w:shd w:val="clear" w:color="auto" w:fill="CCEEFF"/>
          </w:tcPr>
          <w:p>
            <w:pPr>
              <w:jc w:val="center"/>
              <w:ind w:left="680"/>
              <w:spacing w:after="0"/>
              <w:rPr>
                <w:sz w:val="20"/>
                <w:szCs w:val="20"/>
                <w:color w:val="auto"/>
              </w:rPr>
            </w:pPr>
            <w:r>
              <w:rPr>
                <w:rFonts w:ascii="Times New Roman" w:cs="Times New Roman" w:eastAsia="Times New Roman" w:hAnsi="Times New Roman"/>
                <w:sz w:val="16"/>
                <w:szCs w:val="16"/>
                <w:color w:val="auto"/>
                <w:w w:val="99"/>
              </w:rPr>
              <w:t>22</w:t>
            </w: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6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Basic</w:t>
            </w:r>
          </w:p>
        </w:tc>
        <w:tc>
          <w:tcPr>
            <w:tcW w:w="13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6.98</w:t>
            </w:r>
          </w:p>
        </w:tc>
        <w:tc>
          <w:tcPr>
            <w:tcW w:w="220" w:type="dxa"/>
            <w:vAlign w:val="bottom"/>
          </w:tcPr>
          <w:p>
            <w:pPr>
              <w:spacing w:after="0"/>
              <w:rPr>
                <w:sz w:val="17"/>
                <w:szCs w:val="17"/>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8.31</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22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0.24</w:t>
            </w:r>
          </w:p>
        </w:tc>
        <w:tc>
          <w:tcPr>
            <w:tcW w:w="0" w:type="dxa"/>
            <w:vAlign w:val="bottom"/>
          </w:tcPr>
          <w:p>
            <w:pPr>
              <w:spacing w:after="0"/>
              <w:rPr>
                <w:sz w:val="1"/>
                <w:szCs w:val="1"/>
                <w:color w:val="auto"/>
              </w:rPr>
            </w:pPr>
          </w:p>
        </w:tc>
      </w:tr>
      <w:tr>
        <w:trPr>
          <w:trHeight w:val="202"/>
        </w:trPr>
        <w:tc>
          <w:tcPr>
            <w:tcW w:w="67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Diluted</w:t>
            </w:r>
          </w:p>
        </w:tc>
        <w:tc>
          <w:tcPr>
            <w:tcW w:w="13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6.89</w:t>
            </w:r>
          </w:p>
        </w:tc>
        <w:tc>
          <w:tcPr>
            <w:tcW w:w="2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8.24</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2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0.21</w:t>
            </w:r>
          </w:p>
        </w:tc>
        <w:tc>
          <w:tcPr>
            <w:tcW w:w="0" w:type="dxa"/>
            <w:vAlign w:val="bottom"/>
          </w:tcPr>
          <w:p>
            <w:pPr>
              <w:spacing w:after="0"/>
              <w:rPr>
                <w:sz w:val="1"/>
                <w:szCs w:val="1"/>
                <w:color w:val="auto"/>
              </w:rPr>
            </w:pPr>
          </w:p>
        </w:tc>
      </w:tr>
      <w:tr>
        <w:trPr>
          <w:trHeight w:val="203"/>
        </w:trPr>
        <w:tc>
          <w:tcPr>
            <w:tcW w:w="6760" w:type="dxa"/>
            <w:vAlign w:val="bottom"/>
          </w:tcPr>
          <w:p>
            <w:pPr>
              <w:spacing w:after="0"/>
              <w:rPr>
                <w:sz w:val="20"/>
                <w:szCs w:val="20"/>
                <w:color w:val="auto"/>
              </w:rPr>
            </w:pPr>
            <w:r>
              <w:rPr>
                <w:rFonts w:ascii="Times New Roman" w:cs="Times New Roman" w:eastAsia="Times New Roman" w:hAnsi="Times New Roman"/>
                <w:sz w:val="16"/>
                <w:szCs w:val="16"/>
                <w:color w:val="auto"/>
              </w:rPr>
              <w:t>Earnings per ADS (1 ADS equals 8 Class A ordinary shares):</w:t>
            </w:r>
          </w:p>
        </w:tc>
        <w:tc>
          <w:tcPr>
            <w:tcW w:w="1320" w:type="dxa"/>
            <w:vAlign w:val="bottom"/>
          </w:tcPr>
          <w:p>
            <w:pPr>
              <w:jc w:val="center"/>
              <w:ind w:left="680"/>
              <w:spacing w:after="0"/>
              <w:rPr>
                <w:sz w:val="20"/>
                <w:szCs w:val="20"/>
                <w:color w:val="auto"/>
              </w:rPr>
            </w:pPr>
            <w:r>
              <w:rPr>
                <w:rFonts w:ascii="Times New Roman" w:cs="Times New Roman" w:eastAsia="Times New Roman" w:hAnsi="Times New Roman"/>
                <w:sz w:val="16"/>
                <w:szCs w:val="16"/>
                <w:color w:val="auto"/>
                <w:w w:val="99"/>
              </w:rPr>
              <w:t>22</w:t>
            </w: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Basic</w:t>
            </w:r>
          </w:p>
        </w:tc>
        <w:tc>
          <w:tcPr>
            <w:tcW w:w="13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55.83</w:t>
            </w:r>
          </w:p>
        </w:tc>
        <w:tc>
          <w:tcPr>
            <w:tcW w:w="2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66.40</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13.67</w:t>
            </w:r>
          </w:p>
        </w:tc>
        <w:tc>
          <w:tcPr>
            <w:tcW w:w="2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1.95</w:t>
            </w:r>
          </w:p>
        </w:tc>
        <w:tc>
          <w:tcPr>
            <w:tcW w:w="0" w:type="dxa"/>
            <w:vAlign w:val="bottom"/>
          </w:tcPr>
          <w:p>
            <w:pPr>
              <w:spacing w:after="0"/>
              <w:rPr>
                <w:sz w:val="1"/>
                <w:szCs w:val="1"/>
                <w:color w:val="auto"/>
              </w:rPr>
            </w:pPr>
          </w:p>
        </w:tc>
      </w:tr>
      <w:tr>
        <w:trPr>
          <w:trHeight w:val="203"/>
        </w:trPr>
        <w:tc>
          <w:tcPr>
            <w:tcW w:w="676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Diluted</w:t>
            </w:r>
          </w:p>
        </w:tc>
        <w:tc>
          <w:tcPr>
            <w:tcW w:w="13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55.08</w:t>
            </w:r>
          </w:p>
        </w:tc>
        <w:tc>
          <w:tcPr>
            <w:tcW w:w="220" w:type="dxa"/>
            <w:vAlign w:val="bottom"/>
          </w:tcPr>
          <w:p>
            <w:pPr>
              <w:spacing w:after="0"/>
              <w:rPr>
                <w:sz w:val="17"/>
                <w:szCs w:val="17"/>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65.91</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11.78</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1.68</w:t>
            </w:r>
          </w:p>
        </w:tc>
        <w:tc>
          <w:tcPr>
            <w:tcW w:w="0" w:type="dxa"/>
            <w:vAlign w:val="bottom"/>
          </w:tcPr>
          <w:p>
            <w:pPr>
              <w:spacing w:after="0"/>
              <w:rPr>
                <w:sz w:val="1"/>
                <w:szCs w:val="1"/>
                <w:color w:val="auto"/>
              </w:rPr>
            </w:pPr>
          </w:p>
        </w:tc>
      </w:tr>
      <w:tr>
        <w:trPr>
          <w:trHeight w:val="203"/>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 average number of Class A and Class B ordinary shares outstanding (in millions):</w:t>
            </w:r>
          </w:p>
        </w:tc>
        <w:tc>
          <w:tcPr>
            <w:tcW w:w="1320" w:type="dxa"/>
            <w:vAlign w:val="bottom"/>
            <w:shd w:val="clear" w:color="auto" w:fill="CCEEFF"/>
          </w:tcPr>
          <w:p>
            <w:pPr>
              <w:jc w:val="center"/>
              <w:ind w:left="680"/>
              <w:spacing w:after="0"/>
              <w:rPr>
                <w:sz w:val="20"/>
                <w:szCs w:val="20"/>
                <w:color w:val="auto"/>
              </w:rPr>
            </w:pPr>
            <w:r>
              <w:rPr>
                <w:rFonts w:ascii="Times New Roman" w:cs="Times New Roman" w:eastAsia="Times New Roman" w:hAnsi="Times New Roman"/>
                <w:sz w:val="16"/>
                <w:szCs w:val="16"/>
                <w:color w:val="auto"/>
                <w:w w:val="99"/>
              </w:rPr>
              <w:t>22</w:t>
            </w: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6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Basic</w:t>
            </w:r>
          </w:p>
        </w:tc>
        <w:tc>
          <w:tcPr>
            <w:tcW w:w="13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2,807</w:t>
            </w:r>
          </w:p>
        </w:tc>
        <w:tc>
          <w:tcPr>
            <w:tcW w:w="220" w:type="dxa"/>
            <w:vAlign w:val="bottom"/>
          </w:tcPr>
          <w:p>
            <w:pPr>
              <w:spacing w:after="0"/>
              <w:rPr>
                <w:sz w:val="17"/>
                <w:szCs w:val="17"/>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2,790</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2,726</w:t>
            </w:r>
          </w:p>
        </w:tc>
        <w:tc>
          <w:tcPr>
            <w:tcW w:w="22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2,726</w:t>
            </w:r>
          </w:p>
        </w:tc>
        <w:tc>
          <w:tcPr>
            <w:tcW w:w="0" w:type="dxa"/>
            <w:vAlign w:val="bottom"/>
          </w:tcPr>
          <w:p>
            <w:pPr>
              <w:spacing w:after="0"/>
              <w:rPr>
                <w:sz w:val="1"/>
                <w:szCs w:val="1"/>
                <w:color w:val="auto"/>
              </w:rPr>
            </w:pPr>
          </w:p>
        </w:tc>
      </w:tr>
      <w:tr>
        <w:trPr>
          <w:trHeight w:val="203"/>
        </w:trPr>
        <w:tc>
          <w:tcPr>
            <w:tcW w:w="67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Diluted</w:t>
            </w:r>
          </w:p>
        </w:tc>
        <w:tc>
          <w:tcPr>
            <w:tcW w:w="13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2,837</w:t>
            </w:r>
          </w:p>
        </w:tc>
        <w:tc>
          <w:tcPr>
            <w:tcW w:w="2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2,798</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2,744</w:t>
            </w:r>
          </w:p>
        </w:tc>
        <w:tc>
          <w:tcPr>
            <w:tcW w:w="2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2,744</w:t>
            </w:r>
          </w:p>
        </w:tc>
        <w:tc>
          <w:tcPr>
            <w:tcW w:w="0" w:type="dxa"/>
            <w:vAlign w:val="bottom"/>
          </w:tcPr>
          <w:p>
            <w:pPr>
              <w:spacing w:after="0"/>
              <w:rPr>
                <w:sz w:val="1"/>
                <w:szCs w:val="1"/>
                <w:color w:val="auto"/>
              </w:rPr>
            </w:pPr>
          </w:p>
        </w:tc>
      </w:tr>
      <w:tr>
        <w:trPr>
          <w:trHeight w:val="203"/>
        </w:trPr>
        <w:tc>
          <w:tcPr>
            <w:tcW w:w="67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Other comprehensive income (loss):</w:t>
            </w:r>
          </w:p>
        </w:tc>
        <w:tc>
          <w:tcPr>
            <w:tcW w:w="1320" w:type="dxa"/>
            <w:vAlign w:val="bottom"/>
          </w:tcPr>
          <w:p>
            <w:pPr>
              <w:jc w:val="center"/>
              <w:ind w:left="680"/>
              <w:spacing w:after="0"/>
              <w:rPr>
                <w:sz w:val="20"/>
                <w:szCs w:val="20"/>
                <w:color w:val="auto"/>
              </w:rPr>
            </w:pPr>
            <w:r>
              <w:rPr>
                <w:rFonts w:ascii="Times New Roman" w:cs="Times New Roman" w:eastAsia="Times New Roman" w:hAnsi="Times New Roman"/>
                <w:sz w:val="16"/>
                <w:szCs w:val="16"/>
                <w:color w:val="auto"/>
                <w:w w:val="99"/>
              </w:rPr>
              <w:t>21</w:t>
            </w: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13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(913)</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(766)</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w:t>
            </w:r>
          </w:p>
        </w:tc>
        <w:tc>
          <w:tcPr>
            <w:tcW w:w="2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89</w:t>
            </w:r>
          </w:p>
        </w:tc>
        <w:tc>
          <w:tcPr>
            <w:tcW w:w="0" w:type="dxa"/>
            <w:vAlign w:val="bottom"/>
          </w:tcPr>
          <w:p>
            <w:pPr>
              <w:spacing w:after="0"/>
              <w:rPr>
                <w:sz w:val="1"/>
                <w:szCs w:val="1"/>
                <w:color w:val="auto"/>
              </w:rPr>
            </w:pPr>
          </w:p>
        </w:tc>
      </w:tr>
      <w:tr>
        <w:trPr>
          <w:trHeight w:val="203"/>
        </w:trPr>
        <w:tc>
          <w:tcPr>
            <w:tcW w:w="67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Unrealized gains (losses) on available-for-sale investments, net of reclassification</w:t>
            </w:r>
          </w:p>
        </w:tc>
        <w:tc>
          <w:tcPr>
            <w:tcW w:w="132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(201)</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174</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(96)</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03"/>
        </w:trPr>
        <w:tc>
          <w:tcPr>
            <w:tcW w:w="67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Unrealized losses on derivatives</w:t>
            </w:r>
          </w:p>
        </w:tc>
        <w:tc>
          <w:tcPr>
            <w:tcW w:w="13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(422)</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(387)</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(511)</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(73)</w:t>
            </w:r>
          </w:p>
        </w:tc>
        <w:tc>
          <w:tcPr>
            <w:tcW w:w="0" w:type="dxa"/>
            <w:vAlign w:val="bottom"/>
          </w:tcPr>
          <w:p>
            <w:pPr>
              <w:spacing w:after="0"/>
              <w:rPr>
                <w:sz w:val="1"/>
                <w:szCs w:val="1"/>
                <w:color w:val="auto"/>
              </w:rPr>
            </w:pPr>
          </w:p>
        </w:tc>
      </w:tr>
      <w:tr>
        <w:trPr>
          <w:trHeight w:val="208"/>
        </w:trPr>
        <w:tc>
          <w:tcPr>
            <w:tcW w:w="67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Other comprehensive income (loss), net of tax</w:t>
            </w:r>
          </w:p>
        </w:tc>
        <w:tc>
          <w:tcPr>
            <w:tcW w:w="1320" w:type="dxa"/>
            <w:vAlign w:val="bottom"/>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(1,536)</w:t>
            </w:r>
          </w:p>
        </w:tc>
        <w:tc>
          <w:tcPr>
            <w:tcW w:w="220" w:type="dxa"/>
            <w:vAlign w:val="bottom"/>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(979)</w:t>
            </w:r>
          </w:p>
        </w:tc>
        <w:tc>
          <w:tcPr>
            <w:tcW w:w="200" w:type="dxa"/>
            <w:vAlign w:val="bottom"/>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w:t>
            </w:r>
          </w:p>
        </w:tc>
        <w:tc>
          <w:tcPr>
            <w:tcW w:w="22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Comprehensive income</w:t>
            </w:r>
          </w:p>
        </w:tc>
        <w:tc>
          <w:tcPr>
            <w:tcW w:w="1320" w:type="dxa"/>
            <w:vAlign w:val="bottom"/>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20,013</w:t>
            </w:r>
          </w:p>
        </w:tc>
        <w:tc>
          <w:tcPr>
            <w:tcW w:w="220" w:type="dxa"/>
            <w:vAlign w:val="bottom"/>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23,196</w:t>
            </w:r>
          </w:p>
        </w:tc>
        <w:tc>
          <w:tcPr>
            <w:tcW w:w="200" w:type="dxa"/>
            <w:vAlign w:val="bottom"/>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5,474</w:t>
            </w:r>
          </w:p>
        </w:tc>
        <w:tc>
          <w:tcPr>
            <w:tcW w:w="220" w:type="dxa"/>
            <w:vAlign w:val="bottom"/>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782</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7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Less: comprehensive income (loss) attributable to noncontrolling interests</w:t>
            </w:r>
          </w:p>
        </w:tc>
        <w:tc>
          <w:tcPr>
            <w:tcW w:w="1320" w:type="dxa"/>
            <w:vAlign w:val="bottom"/>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1,139</w:t>
            </w:r>
          </w:p>
        </w:tc>
        <w:tc>
          <w:tcPr>
            <w:tcW w:w="220" w:type="dxa"/>
            <w:vAlign w:val="bottom"/>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344</w:t>
            </w:r>
          </w:p>
        </w:tc>
        <w:tc>
          <w:tcPr>
            <w:tcW w:w="200" w:type="dxa"/>
            <w:vAlign w:val="bottom"/>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220" w:type="dxa"/>
            <w:vAlign w:val="bottom"/>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Comprehensive income attributable to Baidu, Inc.</w:t>
            </w:r>
          </w:p>
        </w:tc>
        <w:tc>
          <w:tcPr>
            <w:tcW w:w="132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18,874</w:t>
            </w:r>
          </w:p>
        </w:tc>
        <w:tc>
          <w:tcPr>
            <w:tcW w:w="22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22,852</w:t>
            </w:r>
          </w:p>
        </w:tc>
        <w:tc>
          <w:tcPr>
            <w:tcW w:w="20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5,742</w:t>
            </w:r>
          </w:p>
        </w:tc>
        <w:tc>
          <w:tcPr>
            <w:tcW w:w="22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820</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15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140"/>
          </w:cols>
          <w:pgMar w:left="320" w:top="482" w:right="439"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40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BAIDU, INC.</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CONSOLIDATED STATEMENTS OF CASH FLOWS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(Amounts in millions of Renminbi (“RMB”), and in millions of U.S. Dollars (“US$”))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900" w:type="dxa"/>
            <w:vAlign w:val="bottom"/>
          </w:tcPr>
          <w:p>
            <w:pPr>
              <w:spacing w:after="0"/>
              <w:rPr>
                <w:sz w:val="15"/>
                <w:szCs w:val="15"/>
                <w:color w:val="auto"/>
              </w:rPr>
            </w:pPr>
          </w:p>
        </w:tc>
        <w:tc>
          <w:tcPr>
            <w:tcW w:w="3120" w:type="dxa"/>
            <w:vAlign w:val="bottom"/>
            <w:gridSpan w:val="8"/>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r>
      <w:tr>
        <w:trPr>
          <w:trHeight w:val="142"/>
        </w:trPr>
        <w:tc>
          <w:tcPr>
            <w:tcW w:w="790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9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9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3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142"/>
        </w:trPr>
        <w:tc>
          <w:tcPr>
            <w:tcW w:w="7900" w:type="dxa"/>
            <w:vAlign w:val="bottom"/>
          </w:tcPr>
          <w:p>
            <w:pPr>
              <w:spacing w:after="0"/>
              <w:rPr>
                <w:sz w:val="12"/>
                <w:szCs w:val="12"/>
                <w:color w:val="auto"/>
              </w:rPr>
            </w:pPr>
          </w:p>
        </w:tc>
        <w:tc>
          <w:tcPr>
            <w:tcW w:w="620" w:type="dxa"/>
            <w:vAlign w:val="bottom"/>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spacing w:after="0"/>
              <w:rPr>
                <w:sz w:val="12"/>
                <w:szCs w:val="12"/>
                <w:color w:val="auto"/>
              </w:rPr>
            </w:pPr>
          </w:p>
        </w:tc>
        <w:tc>
          <w:tcPr>
            <w:tcW w:w="620" w:type="dxa"/>
            <w:vAlign w:val="bottom"/>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Pr>
          <w:p>
            <w:pPr>
              <w:spacing w:after="0"/>
              <w:rPr>
                <w:sz w:val="12"/>
                <w:szCs w:val="12"/>
                <w:color w:val="auto"/>
              </w:rPr>
            </w:pPr>
          </w:p>
        </w:tc>
        <w:tc>
          <w:tcPr>
            <w:tcW w:w="620" w:type="dxa"/>
            <w:vAlign w:val="bottom"/>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Pr>
          <w:p>
            <w:pPr>
              <w:spacing w:after="0"/>
              <w:rPr>
                <w:sz w:val="12"/>
                <w:szCs w:val="12"/>
                <w:color w:val="auto"/>
              </w:rPr>
            </w:pPr>
          </w:p>
        </w:tc>
        <w:tc>
          <w:tcPr>
            <w:tcW w:w="540" w:type="dxa"/>
            <w:vAlign w:val="bottom"/>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12"/>
                <w:szCs w:val="12"/>
                <w:color w:val="auto"/>
              </w:rPr>
            </w:pPr>
          </w:p>
        </w:tc>
      </w:tr>
      <w:tr>
        <w:trPr>
          <w:trHeight w:val="203"/>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790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21,549</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24,175</w:t>
            </w:r>
          </w:p>
        </w:tc>
        <w:tc>
          <w:tcPr>
            <w:tcW w:w="20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5,457</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780</w:t>
            </w:r>
          </w:p>
        </w:tc>
        <w:tc>
          <w:tcPr>
            <w:tcW w:w="100" w:type="dxa"/>
            <w:vAlign w:val="bottom"/>
          </w:tcPr>
          <w:p>
            <w:pPr>
              <w:spacing w:after="0"/>
              <w:rPr>
                <w:sz w:val="17"/>
                <w:szCs w:val="17"/>
                <w:color w:val="auto"/>
              </w:rPr>
            </w:pPr>
          </w:p>
        </w:tc>
      </w:tr>
      <w:tr>
        <w:trPr>
          <w:trHeight w:val="203"/>
        </w:trPr>
        <w:tc>
          <w:tcPr>
            <w:tcW w:w="79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(used in) operating activities:</w:t>
            </w: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790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Depreciation of fixed assets and computer parts</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7,390</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6,844</w:t>
            </w:r>
          </w:p>
        </w:tc>
        <w:tc>
          <w:tcPr>
            <w:tcW w:w="20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7,746</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1,108</w:t>
            </w:r>
          </w:p>
        </w:tc>
        <w:tc>
          <w:tcPr>
            <w:tcW w:w="100" w:type="dxa"/>
            <w:vAlign w:val="bottom"/>
          </w:tcPr>
          <w:p>
            <w:pPr>
              <w:spacing w:after="0"/>
              <w:rPr>
                <w:sz w:val="17"/>
                <w:szCs w:val="17"/>
                <w:color w:val="auto"/>
              </w:rPr>
            </w:pPr>
          </w:p>
        </w:tc>
      </w:tr>
      <w:tr>
        <w:trPr>
          <w:trHeight w:val="203"/>
        </w:trPr>
        <w:tc>
          <w:tcPr>
            <w:tcW w:w="79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Amortization and impairment of intangible assets</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430</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555</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shd w:val="clear" w:color="auto" w:fill="CCEEFF"/>
          </w:tcPr>
          <w:p>
            <w:pPr>
              <w:spacing w:after="0"/>
              <w:rPr>
                <w:sz w:val="17"/>
                <w:szCs w:val="17"/>
                <w:color w:val="auto"/>
              </w:rPr>
            </w:pPr>
          </w:p>
        </w:tc>
      </w:tr>
      <w:tr>
        <w:trPr>
          <w:trHeight w:val="203"/>
        </w:trPr>
        <w:tc>
          <w:tcPr>
            <w:tcW w:w="790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Impairment of long-lived assets</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— </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— </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16,190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2,315</w:t>
            </w:r>
          </w:p>
        </w:tc>
        <w:tc>
          <w:tcPr>
            <w:tcW w:w="100" w:type="dxa"/>
            <w:vAlign w:val="bottom"/>
          </w:tcPr>
          <w:p>
            <w:pPr>
              <w:spacing w:after="0"/>
              <w:rPr>
                <w:sz w:val="17"/>
                <w:szCs w:val="17"/>
                <w:color w:val="auto"/>
              </w:rPr>
            </w:pPr>
          </w:p>
        </w:tc>
      </w:tr>
      <w:tr>
        <w:trPr>
          <w:trHeight w:val="203"/>
        </w:trPr>
        <w:tc>
          <w:tcPr>
            <w:tcW w:w="79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Deferred income tax, net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(163)</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1,040</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(1,271)</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(182)</w:t>
            </w:r>
          </w:p>
        </w:tc>
      </w:tr>
      <w:tr>
        <w:trPr>
          <w:trHeight w:val="203"/>
        </w:trPr>
        <w:tc>
          <w:tcPr>
            <w:tcW w:w="790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Share-based compensation</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6,345</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4,784</w:t>
            </w:r>
          </w:p>
        </w:tc>
        <w:tc>
          <w:tcPr>
            <w:tcW w:w="20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3,605</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w:t>
            </w:r>
          </w:p>
        </w:tc>
        <w:tc>
          <w:tcPr>
            <w:tcW w:w="100" w:type="dxa"/>
            <w:vAlign w:val="bottom"/>
          </w:tcPr>
          <w:p>
            <w:pPr>
              <w:spacing w:after="0"/>
              <w:rPr>
                <w:sz w:val="17"/>
                <w:szCs w:val="17"/>
                <w:color w:val="auto"/>
              </w:rPr>
            </w:pPr>
          </w:p>
        </w:tc>
      </w:tr>
      <w:tr>
        <w:trPr>
          <w:trHeight w:val="203"/>
        </w:trPr>
        <w:tc>
          <w:tcPr>
            <w:tcW w:w="79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Allowance for credit losses</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693</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1,074</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1,984</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w:t>
            </w:r>
          </w:p>
        </w:tc>
        <w:tc>
          <w:tcPr>
            <w:tcW w:w="100" w:type="dxa"/>
            <w:vAlign w:val="bottom"/>
            <w:shd w:val="clear" w:color="auto" w:fill="CCEEFF"/>
          </w:tcPr>
          <w:p>
            <w:pPr>
              <w:spacing w:after="0"/>
              <w:rPr>
                <w:sz w:val="17"/>
                <w:szCs w:val="17"/>
                <w:color w:val="auto"/>
              </w:rPr>
            </w:pPr>
          </w:p>
        </w:tc>
      </w:tr>
      <w:tr>
        <w:trPr>
          <w:trHeight w:val="203"/>
        </w:trPr>
        <w:tc>
          <w:tcPr>
            <w:tcW w:w="790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Investment and interest income</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(3,765)</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(2,598)</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(7,455)</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(1,067)</w:t>
            </w:r>
          </w:p>
        </w:tc>
      </w:tr>
      <w:tr>
        <w:trPr>
          <w:trHeight w:val="203"/>
        </w:trPr>
        <w:tc>
          <w:tcPr>
            <w:tcW w:w="79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Amortization of licensed copyrights</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7,088</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7,489</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6,137</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878</w:t>
            </w:r>
          </w:p>
        </w:tc>
        <w:tc>
          <w:tcPr>
            <w:tcW w:w="100" w:type="dxa"/>
            <w:vAlign w:val="bottom"/>
            <w:shd w:val="clear" w:color="auto" w:fill="CCEEFF"/>
          </w:tcPr>
          <w:p>
            <w:pPr>
              <w:spacing w:after="0"/>
              <w:rPr>
                <w:sz w:val="17"/>
                <w:szCs w:val="17"/>
                <w:color w:val="auto"/>
              </w:rPr>
            </w:pPr>
          </w:p>
        </w:tc>
      </w:tr>
      <w:tr>
        <w:trPr>
          <w:trHeight w:val="203"/>
        </w:trPr>
        <w:tc>
          <w:tcPr>
            <w:tcW w:w="790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Amortization and impairment of produced content</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6,549</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5,893</w:t>
            </w:r>
          </w:p>
        </w:tc>
        <w:tc>
          <w:tcPr>
            <w:tcW w:w="20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6,913</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989</w:t>
            </w:r>
          </w:p>
        </w:tc>
        <w:tc>
          <w:tcPr>
            <w:tcW w:w="100" w:type="dxa"/>
            <w:vAlign w:val="bottom"/>
          </w:tcPr>
          <w:p>
            <w:pPr>
              <w:spacing w:after="0"/>
              <w:rPr>
                <w:sz w:val="17"/>
                <w:szCs w:val="17"/>
                <w:color w:val="auto"/>
              </w:rPr>
            </w:pPr>
          </w:p>
        </w:tc>
      </w:tr>
      <w:tr>
        <w:trPr>
          <w:trHeight w:val="203"/>
        </w:trPr>
        <w:tc>
          <w:tcPr>
            <w:tcW w:w="79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Impairment of long-term investments and other assets excluding long-lived assets</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910</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630</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488</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shd w:val="clear" w:color="auto" w:fill="CCEEFF"/>
          </w:tcPr>
          <w:p>
            <w:pPr>
              <w:spacing w:after="0"/>
              <w:rPr>
                <w:sz w:val="17"/>
                <w:szCs w:val="17"/>
                <w:color w:val="auto"/>
              </w:rPr>
            </w:pPr>
          </w:p>
        </w:tc>
      </w:tr>
      <w:tr>
        <w:trPr>
          <w:trHeight w:val="203"/>
        </w:trPr>
        <w:tc>
          <w:tcPr>
            <w:tcW w:w="790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Share of losses (earnings) from equity method investments</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3,799</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691</w:t>
            </w:r>
          </w:p>
        </w:tc>
        <w:tc>
          <w:tcPr>
            <w:tcW w:w="20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(3,196)</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(457)</w:t>
            </w:r>
          </w:p>
        </w:tc>
      </w:tr>
      <w:tr>
        <w:trPr>
          <w:trHeight w:val="203"/>
        </w:trPr>
        <w:tc>
          <w:tcPr>
            <w:tcW w:w="79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Loss (gain) on disposal of subsidiaries or business</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(157)</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— </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r>
      <w:tr>
        <w:trPr>
          <w:trHeight w:val="203"/>
        </w:trPr>
        <w:tc>
          <w:tcPr>
            <w:tcW w:w="790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Gain on disposal of fixed assets</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(36)</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(44)</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(11)</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w:t>
            </w:r>
          </w:p>
        </w:tc>
      </w:tr>
      <w:tr>
        <w:trPr>
          <w:trHeight w:val="203"/>
        </w:trPr>
        <w:tc>
          <w:tcPr>
            <w:tcW w:w="79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Barter transaction revenue</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(418)</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(902)</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(450)</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(64)</w:t>
            </w:r>
          </w:p>
        </w:tc>
      </w:tr>
      <w:tr>
        <w:trPr>
          <w:trHeight w:val="202"/>
        </w:trPr>
        <w:tc>
          <w:tcPr>
            <w:tcW w:w="790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Accretion on convertible senior notes and others</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332</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311</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261</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17"/>
                <w:szCs w:val="17"/>
                <w:color w:val="auto"/>
              </w:rPr>
            </w:pPr>
          </w:p>
        </w:tc>
      </w:tr>
      <w:tr>
        <w:trPr>
          <w:trHeight w:val="203"/>
        </w:trPr>
        <w:tc>
          <w:tcPr>
            <w:tcW w:w="79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Other non-cash expenses (income)</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(864)</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(958)</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2,082</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w:t>
            </w:r>
          </w:p>
        </w:tc>
        <w:tc>
          <w:tcPr>
            <w:tcW w:w="100" w:type="dxa"/>
            <w:vAlign w:val="bottom"/>
            <w:shd w:val="clear" w:color="auto" w:fill="CCEEFF"/>
          </w:tcPr>
          <w:p>
            <w:pPr>
              <w:spacing w:after="0"/>
              <w:rPr>
                <w:sz w:val="17"/>
                <w:szCs w:val="17"/>
                <w:color w:val="auto"/>
              </w:rPr>
            </w:pPr>
          </w:p>
        </w:tc>
      </w:tr>
      <w:tr>
        <w:trPr>
          <w:trHeight w:val="203"/>
        </w:trPr>
        <w:tc>
          <w:tcPr>
            <w:tcW w:w="79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Changes in operating assets and liabilities, net of effects of acquisitions and disposals:</w:t>
            </w: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9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Accounts receivable</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216</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(4,509)</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(645)</w:t>
            </w:r>
          </w:p>
        </w:tc>
      </w:tr>
      <w:tr>
        <w:trPr>
          <w:trHeight w:val="203"/>
        </w:trPr>
        <w:tc>
          <w:tcPr>
            <w:tcW w:w="790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Amounts due from related parties</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(196)</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(220)</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6</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7"/>
                <w:szCs w:val="17"/>
                <w:color w:val="auto"/>
              </w:rPr>
            </w:pPr>
          </w:p>
        </w:tc>
      </w:tr>
      <w:tr>
        <w:trPr>
          <w:trHeight w:val="203"/>
        </w:trPr>
        <w:tc>
          <w:tcPr>
            <w:tcW w:w="79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Licensed copyrights</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(6,381)</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(6,530)</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(4,858)</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(695)</w:t>
            </w:r>
          </w:p>
        </w:tc>
      </w:tr>
      <w:tr>
        <w:trPr>
          <w:trHeight w:val="203"/>
        </w:trPr>
        <w:tc>
          <w:tcPr>
            <w:tcW w:w="790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Produced content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(6,928)</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(7,210)</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(6,749)</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(965)</w:t>
            </w:r>
          </w:p>
        </w:tc>
      </w:tr>
      <w:tr>
        <w:trPr>
          <w:trHeight w:val="203"/>
        </w:trPr>
        <w:tc>
          <w:tcPr>
            <w:tcW w:w="79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Other assets</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(691)</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(16,782)</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(22,377)</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(3,200)</w:t>
            </w:r>
          </w:p>
        </w:tc>
      </w:tr>
      <w:tr>
        <w:trPr>
          <w:trHeight w:val="203"/>
        </w:trPr>
        <w:tc>
          <w:tcPr>
            <w:tcW w:w="790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Customer deposits and deferred revenue</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1,645</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20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(1,775)</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(254)</w:t>
            </w:r>
          </w:p>
        </w:tc>
      </w:tr>
      <w:tr>
        <w:trPr>
          <w:trHeight w:val="203"/>
        </w:trPr>
        <w:tc>
          <w:tcPr>
            <w:tcW w:w="79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Accounts payable and accrued liabilities and other non-current liabilities</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(858)</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2,298</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(1,844)</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(264)</w:t>
            </w:r>
          </w:p>
        </w:tc>
      </w:tr>
      <w:tr>
        <w:trPr>
          <w:trHeight w:val="203"/>
        </w:trPr>
        <w:tc>
          <w:tcPr>
            <w:tcW w:w="790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Deferred income</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273</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w:t>
            </w:r>
          </w:p>
        </w:tc>
        <w:tc>
          <w:tcPr>
            <w:tcW w:w="20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(99)</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(14)</w:t>
            </w:r>
          </w:p>
        </w:tc>
      </w:tr>
      <w:tr>
        <w:trPr>
          <w:trHeight w:val="203"/>
        </w:trPr>
        <w:tc>
          <w:tcPr>
            <w:tcW w:w="79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Amounts due to related parties</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(147)</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157</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shd w:val="clear" w:color="auto" w:fill="CCEEFF"/>
          </w:tcPr>
          <w:p>
            <w:pPr>
              <w:spacing w:after="0"/>
              <w:rPr>
                <w:sz w:val="17"/>
                <w:szCs w:val="17"/>
                <w:color w:val="auto"/>
              </w:rPr>
            </w:pPr>
          </w:p>
        </w:tc>
      </w:tr>
      <w:tr>
        <w:trPr>
          <w:trHeight w:val="216"/>
        </w:trPr>
        <w:tc>
          <w:tcPr>
            <w:tcW w:w="79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cash provided by/ (used in) operating activities</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36,615</w:t>
            </w:r>
          </w:p>
        </w:tc>
        <w:tc>
          <w:tcPr>
            <w:tcW w:w="22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21,234</w:t>
            </w:r>
          </w:p>
        </w:tc>
        <w:tc>
          <w:tcPr>
            <w:tcW w:w="20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(3,013)</w:t>
            </w:r>
          </w:p>
        </w:tc>
        <w:tc>
          <w:tcPr>
            <w:tcW w:w="20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(431)</w:t>
            </w:r>
          </w:p>
        </w:tc>
        <w:tc>
          <w:tcPr>
            <w:tcW w:w="100" w:type="dxa"/>
            <w:vAlign w:val="bottom"/>
          </w:tcPr>
          <w:p>
            <w:pPr>
              <w:spacing w:after="0"/>
              <w:rPr>
                <w:sz w:val="18"/>
                <w:szCs w:val="18"/>
                <w:color w:val="auto"/>
              </w:rPr>
            </w:pPr>
          </w:p>
        </w:tc>
      </w:tr>
      <w:tr>
        <w:trPr>
          <w:trHeight w:val="203"/>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7900" w:type="dxa"/>
            <w:vAlign w:val="bottom"/>
          </w:tcPr>
          <w:p>
            <w:pPr>
              <w:spacing w:after="0"/>
              <w:rPr>
                <w:sz w:val="20"/>
                <w:szCs w:val="20"/>
                <w:color w:val="auto"/>
              </w:rPr>
            </w:pPr>
            <w:r>
              <w:rPr>
                <w:rFonts w:ascii="Times New Roman" w:cs="Times New Roman" w:eastAsia="Times New Roman" w:hAnsi="Times New Roman"/>
                <w:sz w:val="16"/>
                <w:szCs w:val="16"/>
                <w:color w:val="auto"/>
              </w:rPr>
              <w:t>Acquisition of fixed assets</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(11,190)</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(8,134)</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(12,073)</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(1,726)</w:t>
            </w:r>
          </w:p>
        </w:tc>
      </w:tr>
      <w:tr>
        <w:trPr>
          <w:trHeight w:val="203"/>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Acquisition of businesses, net of cash acquired</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(115)</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— </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(1,188)</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(170)</w:t>
            </w:r>
          </w:p>
        </w:tc>
      </w:tr>
      <w:tr>
        <w:trPr>
          <w:trHeight w:val="203"/>
        </w:trPr>
        <w:tc>
          <w:tcPr>
            <w:tcW w:w="7900" w:type="dxa"/>
            <w:vAlign w:val="bottom"/>
          </w:tcPr>
          <w:p>
            <w:pPr>
              <w:spacing w:after="0"/>
              <w:rPr>
                <w:sz w:val="20"/>
                <w:szCs w:val="20"/>
                <w:color w:val="auto"/>
              </w:rPr>
            </w:pPr>
            <w:r>
              <w:rPr>
                <w:rFonts w:ascii="Times New Roman" w:cs="Times New Roman" w:eastAsia="Times New Roman" w:hAnsi="Times New Roman"/>
                <w:sz w:val="16"/>
                <w:szCs w:val="16"/>
                <w:color w:val="auto"/>
              </w:rPr>
              <w:t>Acquisition of intangible assets</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(105)</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(125)</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(1,344)</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(192)</w:t>
            </w:r>
          </w:p>
        </w:tc>
      </w:tr>
      <w:tr>
        <w:trPr>
          <w:trHeight w:val="203"/>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Purchases of time deposits and held-to-maturity investments</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(198,658)</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(225,885)</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(160,679)</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(22,977)</w:t>
            </w:r>
          </w:p>
        </w:tc>
      </w:tr>
      <w:tr>
        <w:trPr>
          <w:trHeight w:val="203"/>
        </w:trPr>
        <w:tc>
          <w:tcPr>
            <w:tcW w:w="7900" w:type="dxa"/>
            <w:vAlign w:val="bottom"/>
          </w:tcPr>
          <w:p>
            <w:pPr>
              <w:spacing w:after="0"/>
              <w:rPr>
                <w:sz w:val="20"/>
                <w:szCs w:val="20"/>
                <w:color w:val="auto"/>
              </w:rPr>
            </w:pPr>
            <w:r>
              <w:rPr>
                <w:rFonts w:ascii="Times New Roman" w:cs="Times New Roman" w:eastAsia="Times New Roman" w:hAnsi="Times New Roman"/>
                <w:sz w:val="16"/>
                <w:szCs w:val="16"/>
                <w:color w:val="auto"/>
              </w:rPr>
              <w:t>Maturities of time deposits and held-to-maturity investments</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152,877</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224,188</w:t>
            </w:r>
          </w:p>
        </w:tc>
        <w:tc>
          <w:tcPr>
            <w:tcW w:w="20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155,700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22,265</w:t>
            </w:r>
          </w:p>
        </w:tc>
        <w:tc>
          <w:tcPr>
            <w:tcW w:w="100" w:type="dxa"/>
            <w:vAlign w:val="bottom"/>
          </w:tcPr>
          <w:p>
            <w:pPr>
              <w:spacing w:after="0"/>
              <w:rPr>
                <w:sz w:val="17"/>
                <w:szCs w:val="17"/>
                <w:color w:val="auto"/>
              </w:rPr>
            </w:pPr>
          </w:p>
        </w:tc>
      </w:tr>
      <w:tr>
        <w:trPr>
          <w:trHeight w:val="203"/>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Purchases of available-for-sale debt investments</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(3,335)</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(79,022)</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(151,448)</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(21,657)</w:t>
            </w:r>
          </w:p>
        </w:tc>
      </w:tr>
      <w:tr>
        <w:trPr>
          <w:trHeight w:val="203"/>
        </w:trPr>
        <w:tc>
          <w:tcPr>
            <w:tcW w:w="7900" w:type="dxa"/>
            <w:vAlign w:val="bottom"/>
          </w:tcPr>
          <w:p>
            <w:pPr>
              <w:spacing w:after="0"/>
              <w:rPr>
                <w:sz w:val="20"/>
                <w:szCs w:val="20"/>
                <w:color w:val="auto"/>
              </w:rPr>
            </w:pPr>
            <w:r>
              <w:rPr>
                <w:rFonts w:ascii="Times New Roman" w:cs="Times New Roman" w:eastAsia="Times New Roman" w:hAnsi="Times New Roman"/>
                <w:sz w:val="16"/>
                <w:szCs w:val="16"/>
                <w:color w:val="auto"/>
              </w:rPr>
              <w:t>Sales and maturities of available-for-sale debt investments</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2,155</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74,366</w:t>
            </w:r>
          </w:p>
        </w:tc>
        <w:tc>
          <w:tcPr>
            <w:tcW w:w="20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146,788</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20,990</w:t>
            </w:r>
          </w:p>
        </w:tc>
        <w:tc>
          <w:tcPr>
            <w:tcW w:w="100" w:type="dxa"/>
            <w:vAlign w:val="bottom"/>
          </w:tcPr>
          <w:p>
            <w:pPr>
              <w:spacing w:after="0"/>
              <w:rPr>
                <w:sz w:val="17"/>
                <w:szCs w:val="17"/>
                <w:color w:val="auto"/>
              </w:rPr>
            </w:pPr>
          </w:p>
        </w:tc>
      </w:tr>
      <w:tr>
        <w:trPr>
          <w:trHeight w:val="203"/>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Purchases of trading investments</w:t>
            </w: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— </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(15)</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(3,405)</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(487)</w:t>
            </w:r>
          </w:p>
        </w:tc>
      </w:tr>
      <w:tr>
        <w:trPr>
          <w:trHeight w:val="203"/>
        </w:trPr>
        <w:tc>
          <w:tcPr>
            <w:tcW w:w="7900" w:type="dxa"/>
            <w:vAlign w:val="bottom"/>
          </w:tcPr>
          <w:p>
            <w:pPr>
              <w:spacing w:after="0"/>
              <w:rPr>
                <w:sz w:val="20"/>
                <w:szCs w:val="20"/>
                <w:color w:val="auto"/>
              </w:rPr>
            </w:pPr>
            <w:r>
              <w:rPr>
                <w:rFonts w:ascii="Times New Roman" w:cs="Times New Roman" w:eastAsia="Times New Roman" w:hAnsi="Times New Roman"/>
                <w:sz w:val="16"/>
                <w:szCs w:val="16"/>
                <w:color w:val="auto"/>
              </w:rPr>
              <w:t>Purchases of equity investments</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(1,487)</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(795)</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(646)</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(92)</w:t>
            </w:r>
          </w:p>
        </w:tc>
      </w:tr>
      <w:tr>
        <w:trPr>
          <w:trHeight w:val="203"/>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from disposal of equity investments</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6,884</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6,697</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3,936</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w:t>
            </w:r>
          </w:p>
        </w:tc>
        <w:tc>
          <w:tcPr>
            <w:tcW w:w="100" w:type="dxa"/>
            <w:vAlign w:val="bottom"/>
            <w:shd w:val="clear" w:color="auto" w:fill="CCEEFF"/>
          </w:tcPr>
          <w:p>
            <w:pPr>
              <w:spacing w:after="0"/>
              <w:rPr>
                <w:sz w:val="17"/>
                <w:szCs w:val="17"/>
                <w:color w:val="auto"/>
              </w:rPr>
            </w:pPr>
          </w:p>
        </w:tc>
      </w:tr>
      <w:tr>
        <w:trPr>
          <w:trHeight w:val="203"/>
        </w:trPr>
        <w:tc>
          <w:tcPr>
            <w:tcW w:w="7900" w:type="dxa"/>
            <w:vAlign w:val="bottom"/>
          </w:tcPr>
          <w:p>
            <w:pPr>
              <w:spacing w:after="0"/>
              <w:rPr>
                <w:sz w:val="20"/>
                <w:szCs w:val="20"/>
                <w:color w:val="auto"/>
              </w:rPr>
            </w:pPr>
            <w:r>
              <w:rPr>
                <w:rFonts w:ascii="Times New Roman" w:cs="Times New Roman" w:eastAsia="Times New Roman" w:hAnsi="Times New Roman"/>
                <w:sz w:val="16"/>
                <w:szCs w:val="16"/>
                <w:color w:val="auto"/>
              </w:rPr>
              <w:t>Loans provided to third parties</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(1,472)</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(2,427)</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(813)</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(116)</w:t>
            </w:r>
          </w:p>
        </w:tc>
      </w:tr>
      <w:tr>
        <w:trPr>
          <w:trHeight w:val="203"/>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Loans provided to related parties</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(38)</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(100)</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(14)</w:t>
            </w:r>
          </w:p>
        </w:tc>
      </w:tr>
      <w:tr>
        <w:trPr>
          <w:trHeight w:val="203"/>
        </w:trPr>
        <w:tc>
          <w:tcPr>
            <w:tcW w:w="7900" w:type="dxa"/>
            <w:vAlign w:val="bottom"/>
          </w:tcPr>
          <w:p>
            <w:pPr>
              <w:spacing w:after="0"/>
              <w:rPr>
                <w:sz w:val="20"/>
                <w:szCs w:val="20"/>
                <w:color w:val="auto"/>
              </w:rPr>
            </w:pPr>
            <w:r>
              <w:rPr>
                <w:rFonts w:ascii="Times New Roman" w:cs="Times New Roman" w:eastAsia="Times New Roman" w:hAnsi="Times New Roman"/>
                <w:sz w:val="16"/>
                <w:szCs w:val="16"/>
                <w:color w:val="auto"/>
              </w:rPr>
              <w:t>Repayment from loans provided to third parties</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— </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112</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— </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r>
      <w:tr>
        <w:trPr>
          <w:trHeight w:val="203"/>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Repayment from loans provided to related parties</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3,946</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— </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— </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r>
      <w:tr>
        <w:trPr>
          <w:trHeight w:val="202"/>
        </w:trPr>
        <w:tc>
          <w:tcPr>
            <w:tcW w:w="7900" w:type="dxa"/>
            <w:vAlign w:val="bottom"/>
          </w:tcPr>
          <w:p>
            <w:pPr>
              <w:spacing w:after="0"/>
              <w:rPr>
                <w:sz w:val="20"/>
                <w:szCs w:val="20"/>
                <w:color w:val="auto"/>
              </w:rPr>
            </w:pPr>
            <w:r>
              <w:rPr>
                <w:rFonts w:ascii="Times New Roman" w:cs="Times New Roman" w:eastAsia="Times New Roman" w:hAnsi="Times New Roman"/>
                <w:sz w:val="16"/>
                <w:szCs w:val="16"/>
                <w:color w:val="auto"/>
              </w:rPr>
              <w:t>Return of equity method investments</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— </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2,536</w:t>
            </w:r>
          </w:p>
        </w:tc>
        <w:tc>
          <w:tcPr>
            <w:tcW w:w="20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29</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7"/>
                <w:szCs w:val="17"/>
                <w:color w:val="auto"/>
              </w:rPr>
            </w:pPr>
          </w:p>
        </w:tc>
      </w:tr>
      <w:tr>
        <w:trPr>
          <w:trHeight w:val="203"/>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investing activities</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104</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(13)</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107</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7"/>
                <w:szCs w:val="17"/>
                <w:color w:val="auto"/>
              </w:rPr>
            </w:pPr>
          </w:p>
        </w:tc>
      </w:tr>
      <w:tr>
        <w:trPr>
          <w:trHeight w:val="208"/>
        </w:trPr>
        <w:tc>
          <w:tcPr>
            <w:tcW w:w="79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(50,397)</w:t>
            </w:r>
          </w:p>
        </w:tc>
        <w:tc>
          <w:tcPr>
            <w:tcW w:w="22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(8,555)</w:t>
            </w:r>
          </w:p>
        </w:tc>
        <w:tc>
          <w:tcPr>
            <w:tcW w:w="20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(25,136)</w:t>
            </w:r>
          </w:p>
        </w:tc>
        <w:tc>
          <w:tcPr>
            <w:tcW w:w="20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(3,594)</w:t>
            </w:r>
          </w:p>
        </w:tc>
        <w:tc>
          <w:tcPr>
            <w:tcW w:w="100" w:type="dxa"/>
            <w:vAlign w:val="bottom"/>
          </w:tcPr>
          <w:p>
            <w:pPr>
              <w:spacing w:after="0"/>
              <w:rPr>
                <w:sz w:val="18"/>
                <w:szCs w:val="18"/>
                <w:color w:val="auto"/>
              </w:rPr>
            </w:pPr>
          </w:p>
        </w:tc>
      </w:tr>
    </w:tbl>
    <w:p>
      <w:pPr>
        <w:spacing w:after="0" w:line="14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140"/>
          </w:cols>
          <w:pgMar w:left="320" w:top="482" w:right="439"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40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BAIDU, INC.</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CONSOLIDATED STATEMENTS OF CASH FLOWS (CONTINUED)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(Amounts in millions of Renminbi (“RMB”), and in millions of U.S. Dollars (“US$”))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140" w:type="dxa"/>
            <w:vAlign w:val="bottom"/>
          </w:tcPr>
          <w:p>
            <w:pPr>
              <w:spacing w:after="0"/>
              <w:rPr>
                <w:sz w:val="15"/>
                <w:szCs w:val="15"/>
                <w:color w:val="auto"/>
              </w:rPr>
            </w:pPr>
          </w:p>
        </w:tc>
        <w:tc>
          <w:tcPr>
            <w:tcW w:w="2880" w:type="dxa"/>
            <w:vAlign w:val="bottom"/>
            <w:gridSpan w:val="9"/>
          </w:tcPr>
          <w:p>
            <w:pPr>
              <w:ind w:left="32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r>
      <w:tr>
        <w:trPr>
          <w:trHeight w:val="142"/>
        </w:trPr>
        <w:tc>
          <w:tcPr>
            <w:tcW w:w="814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r>
      <w:tr>
        <w:trPr>
          <w:trHeight w:val="142"/>
        </w:trPr>
        <w:tc>
          <w:tcPr>
            <w:tcW w:w="8140" w:type="dxa"/>
            <w:vAlign w:val="bottom"/>
          </w:tcPr>
          <w:p>
            <w:pPr>
              <w:spacing w:after="0"/>
              <w:rPr>
                <w:sz w:val="12"/>
                <w:szCs w:val="12"/>
                <w:color w:val="auto"/>
              </w:rPr>
            </w:pPr>
          </w:p>
        </w:tc>
        <w:tc>
          <w:tcPr>
            <w:tcW w:w="5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gridSpan w:val="2"/>
          </w:tcPr>
          <w:p>
            <w:pPr>
              <w:spacing w:after="0"/>
              <w:rPr>
                <w:sz w:val="12"/>
                <w:szCs w:val="12"/>
                <w:color w:val="auto"/>
              </w:rPr>
            </w:pPr>
          </w:p>
        </w:tc>
        <w:tc>
          <w:tcPr>
            <w:tcW w:w="540" w:type="dxa"/>
            <w:vAlign w:val="bottom"/>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Pr>
          <w:p>
            <w:pPr>
              <w:spacing w:after="0"/>
              <w:rPr>
                <w:sz w:val="12"/>
                <w:szCs w:val="12"/>
                <w:color w:val="auto"/>
              </w:rPr>
            </w:pPr>
          </w:p>
        </w:tc>
        <w:tc>
          <w:tcPr>
            <w:tcW w:w="580" w:type="dxa"/>
            <w:vAlign w:val="bottom"/>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Pr>
          <w:p>
            <w:pPr>
              <w:spacing w:after="0"/>
              <w:rPr>
                <w:sz w:val="12"/>
                <w:szCs w:val="12"/>
                <w:color w:val="auto"/>
              </w:rPr>
            </w:pPr>
          </w:p>
        </w:tc>
        <w:tc>
          <w:tcPr>
            <w:tcW w:w="480" w:type="dxa"/>
            <w:vAlign w:val="bottom"/>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20" w:type="dxa"/>
            <w:vAlign w:val="bottom"/>
          </w:tcPr>
          <w:p>
            <w:pPr>
              <w:spacing w:after="0"/>
              <w:rPr>
                <w:sz w:val="12"/>
                <w:szCs w:val="12"/>
                <w:color w:val="auto"/>
              </w:rPr>
            </w:pPr>
          </w:p>
        </w:tc>
      </w:tr>
      <w:tr>
        <w:trPr>
          <w:trHeight w:val="203"/>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814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short-term loans</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15,928</w:t>
            </w:r>
          </w:p>
        </w:tc>
        <w:tc>
          <w:tcPr>
            <w:tcW w:w="200" w:type="dxa"/>
            <w:vAlign w:val="bottom"/>
          </w:tcPr>
          <w:p>
            <w:pPr>
              <w:spacing w:after="0"/>
              <w:rPr>
                <w:sz w:val="17"/>
                <w:szCs w:val="17"/>
                <w:color w:val="auto"/>
              </w:rPr>
            </w:pPr>
          </w:p>
        </w:tc>
        <w:tc>
          <w:tcPr>
            <w:tcW w:w="74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22,454</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11,996</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1,715</w:t>
            </w:r>
          </w:p>
        </w:tc>
      </w:tr>
      <w:tr>
        <w:trPr>
          <w:trHeight w:val="203"/>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Repayments of short-term loans</w:t>
            </w:r>
          </w:p>
        </w:tc>
        <w:tc>
          <w:tcPr>
            <w:tcW w:w="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(11,026)</w:t>
            </w:r>
          </w:p>
        </w:tc>
        <w:tc>
          <w:tcPr>
            <w:tcW w:w="74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(22,039)</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(15,035)</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(2,150)</w:t>
            </w:r>
          </w:p>
        </w:tc>
      </w:tr>
      <w:tr>
        <w:trPr>
          <w:trHeight w:val="203"/>
        </w:trPr>
        <w:tc>
          <w:tcPr>
            <w:tcW w:w="814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long-term loans</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200" w:type="dxa"/>
            <w:vAlign w:val="bottom"/>
          </w:tcPr>
          <w:p>
            <w:pPr>
              <w:spacing w:after="0"/>
              <w:rPr>
                <w:sz w:val="17"/>
                <w:szCs w:val="17"/>
                <w:color w:val="auto"/>
              </w:rPr>
            </w:pPr>
          </w:p>
        </w:tc>
        <w:tc>
          <w:tcPr>
            <w:tcW w:w="74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1,120</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3,450</w:t>
            </w:r>
          </w:p>
        </w:tc>
        <w:tc>
          <w:tcPr>
            <w:tcW w:w="200" w:type="dxa"/>
            <w:vAlign w:val="bottom"/>
          </w:tcPr>
          <w:p>
            <w:pPr>
              <w:spacing w:after="0"/>
              <w:rPr>
                <w:sz w:val="17"/>
                <w:szCs w:val="17"/>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493</w:t>
            </w:r>
          </w:p>
        </w:tc>
      </w:tr>
      <w:tr>
        <w:trPr>
          <w:trHeight w:val="203"/>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Repayments of long-term loans</w:t>
            </w:r>
          </w:p>
        </w:tc>
        <w:tc>
          <w:tcPr>
            <w:tcW w:w="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(31)</w:t>
            </w:r>
          </w:p>
        </w:tc>
        <w:tc>
          <w:tcPr>
            <w:tcW w:w="74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(16)</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(547)</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(78)</w:t>
            </w:r>
          </w:p>
        </w:tc>
      </w:tr>
      <w:tr>
        <w:trPr>
          <w:trHeight w:val="203"/>
        </w:trPr>
        <w:tc>
          <w:tcPr>
            <w:tcW w:w="8140" w:type="dxa"/>
            <w:vAlign w:val="bottom"/>
          </w:tcPr>
          <w:p>
            <w:pPr>
              <w:spacing w:after="0"/>
              <w:rPr>
                <w:sz w:val="20"/>
                <w:szCs w:val="20"/>
                <w:color w:val="auto"/>
              </w:rPr>
            </w:pPr>
            <w:r>
              <w:rPr>
                <w:rFonts w:ascii="Times New Roman" w:cs="Times New Roman" w:eastAsia="Times New Roman" w:hAnsi="Times New Roman"/>
                <w:sz w:val="16"/>
                <w:szCs w:val="16"/>
                <w:color w:val="auto"/>
              </w:rPr>
              <w:t>Repayment of loans borrowed from related parties</w:t>
            </w: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(3,477)</w:t>
            </w:r>
          </w:p>
        </w:tc>
        <w:tc>
          <w:tcPr>
            <w:tcW w:w="74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— </w:t>
            </w: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— </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— </w:t>
            </w:r>
          </w:p>
        </w:tc>
      </w:tr>
      <w:tr>
        <w:trPr>
          <w:trHeight w:val="203"/>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from issuance of long-term notes, net of issuance costs</w:t>
            </w:r>
          </w:p>
        </w:tc>
        <w:tc>
          <w:tcPr>
            <w:tcW w:w="76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— </w:t>
            </w:r>
          </w:p>
        </w:tc>
        <w:tc>
          <w:tcPr>
            <w:tcW w:w="74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— </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28,708</w:t>
            </w:r>
          </w:p>
        </w:tc>
        <w:tc>
          <w:tcPr>
            <w:tcW w:w="2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4,105</w:t>
            </w:r>
          </w:p>
        </w:tc>
      </w:tr>
      <w:tr>
        <w:trPr>
          <w:trHeight w:val="203"/>
        </w:trPr>
        <w:tc>
          <w:tcPr>
            <w:tcW w:w="8140" w:type="dxa"/>
            <w:vAlign w:val="bottom"/>
          </w:tcPr>
          <w:p>
            <w:pPr>
              <w:spacing w:after="0"/>
              <w:rPr>
                <w:sz w:val="20"/>
                <w:szCs w:val="20"/>
                <w:color w:val="auto"/>
              </w:rPr>
            </w:pPr>
            <w:r>
              <w:rPr>
                <w:rFonts w:ascii="Times New Roman" w:cs="Times New Roman" w:eastAsia="Times New Roman" w:hAnsi="Times New Roman"/>
                <w:sz w:val="16"/>
                <w:szCs w:val="16"/>
                <w:color w:val="auto"/>
              </w:rPr>
              <w:t>Repayments of long-term notes</w:t>
            </w: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(7,296)</w:t>
            </w:r>
          </w:p>
        </w:tc>
        <w:tc>
          <w:tcPr>
            <w:tcW w:w="7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(6,142)</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(7,955)</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(1,138)</w:t>
            </w:r>
          </w:p>
        </w:tc>
      </w:tr>
      <w:tr>
        <w:trPr>
          <w:trHeight w:val="203"/>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from issuance of convertible senior notes, net of issuance costs</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4,415</w:t>
            </w:r>
          </w:p>
        </w:tc>
        <w:tc>
          <w:tcPr>
            <w:tcW w:w="2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— </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2,490</w:t>
            </w:r>
          </w:p>
        </w:tc>
        <w:tc>
          <w:tcPr>
            <w:tcW w:w="2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356</w:t>
            </w:r>
          </w:p>
        </w:tc>
      </w:tr>
      <w:tr>
        <w:trPr>
          <w:trHeight w:val="203"/>
        </w:trPr>
        <w:tc>
          <w:tcPr>
            <w:tcW w:w="8140" w:type="dxa"/>
            <w:vAlign w:val="bottom"/>
          </w:tcPr>
          <w:p>
            <w:pPr>
              <w:spacing w:after="0"/>
              <w:rPr>
                <w:sz w:val="20"/>
                <w:szCs w:val="20"/>
                <w:color w:val="auto"/>
              </w:rPr>
            </w:pPr>
            <w:r>
              <w:rPr>
                <w:rFonts w:ascii="Times New Roman" w:cs="Times New Roman" w:eastAsia="Times New Roman" w:hAnsi="Times New Roman"/>
                <w:sz w:val="16"/>
                <w:szCs w:val="16"/>
                <w:color w:val="auto"/>
              </w:rPr>
              <w:t>Repayments or redemption of convertible senior notes</w:t>
            </w: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(11,736)</w:t>
            </w:r>
          </w:p>
        </w:tc>
        <w:tc>
          <w:tcPr>
            <w:tcW w:w="7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(2,914)</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(2,814)</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(402)</w:t>
            </w:r>
          </w:p>
        </w:tc>
      </w:tr>
      <w:tr>
        <w:trPr>
          <w:trHeight w:val="203"/>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from issuance of subsidiaries’ shares</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3,461</w:t>
            </w:r>
          </w:p>
        </w:tc>
        <w:tc>
          <w:tcPr>
            <w:tcW w:w="2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41</w:t>
            </w: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— </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— </w:t>
            </w:r>
          </w:p>
        </w:tc>
      </w:tr>
      <w:tr>
        <w:trPr>
          <w:trHeight w:val="203"/>
        </w:trPr>
        <w:tc>
          <w:tcPr>
            <w:tcW w:w="8140" w:type="dxa"/>
            <w:vAlign w:val="bottom"/>
          </w:tcPr>
          <w:p>
            <w:pPr>
              <w:spacing w:after="0"/>
              <w:rPr>
                <w:sz w:val="20"/>
                <w:szCs w:val="20"/>
                <w:color w:val="auto"/>
              </w:rPr>
            </w:pPr>
            <w:r>
              <w:rPr>
                <w:rFonts w:ascii="Times New Roman" w:cs="Times New Roman" w:eastAsia="Times New Roman" w:hAnsi="Times New Roman"/>
                <w:sz w:val="16"/>
                <w:szCs w:val="16"/>
                <w:color w:val="auto"/>
              </w:rPr>
              <w:t>Repurchase of ordinary shares</w:t>
            </w: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(4,764)</w:t>
            </w:r>
          </w:p>
        </w:tc>
        <w:tc>
          <w:tcPr>
            <w:tcW w:w="7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(6,324)</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(5,536)</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(792)</w:t>
            </w:r>
          </w:p>
        </w:tc>
      </w:tr>
      <w:tr>
        <w:trPr>
          <w:trHeight w:val="203"/>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from exercise of share options</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2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47</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2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13</w:t>
            </w:r>
          </w:p>
        </w:tc>
      </w:tr>
      <w:tr>
        <w:trPr>
          <w:trHeight w:val="203"/>
        </w:trPr>
        <w:tc>
          <w:tcPr>
            <w:tcW w:w="814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issuance of redeemable noncontrolling interests</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351</w:t>
            </w:r>
          </w:p>
        </w:tc>
        <w:tc>
          <w:tcPr>
            <w:tcW w:w="200" w:type="dxa"/>
            <w:vAlign w:val="bottom"/>
          </w:tcPr>
          <w:p>
            <w:pPr>
              <w:spacing w:after="0"/>
              <w:rPr>
                <w:sz w:val="17"/>
                <w:szCs w:val="17"/>
                <w:color w:val="auto"/>
              </w:rPr>
            </w:pPr>
          </w:p>
        </w:tc>
        <w:tc>
          <w:tcPr>
            <w:tcW w:w="74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615</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2,370</w:t>
            </w:r>
          </w:p>
        </w:tc>
        <w:tc>
          <w:tcPr>
            <w:tcW w:w="200" w:type="dxa"/>
            <w:vAlign w:val="bottom"/>
          </w:tcPr>
          <w:p>
            <w:pPr>
              <w:spacing w:after="0"/>
              <w:rPr>
                <w:sz w:val="17"/>
                <w:szCs w:val="17"/>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339</w:t>
            </w:r>
          </w:p>
        </w:tc>
      </w:tr>
      <w:tr>
        <w:trPr>
          <w:trHeight w:val="203"/>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Acquisition of redeemable noncontrolling interests and noncontrolling interests in subsidiaries</w:t>
            </w:r>
          </w:p>
        </w:tc>
        <w:tc>
          <w:tcPr>
            <w:tcW w:w="76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— </w:t>
            </w:r>
          </w:p>
        </w:tc>
        <w:tc>
          <w:tcPr>
            <w:tcW w:w="74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(825)</w:t>
            </w: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— </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— </w:t>
            </w:r>
          </w:p>
        </w:tc>
      </w:tr>
      <w:tr>
        <w:trPr>
          <w:trHeight w:val="203"/>
        </w:trPr>
        <w:tc>
          <w:tcPr>
            <w:tcW w:w="814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other financing activities</w:t>
            </w:r>
          </w:p>
        </w:tc>
        <w:tc>
          <w:tcPr>
            <w:tcW w:w="76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— </w:t>
            </w:r>
          </w:p>
        </w:tc>
        <w:tc>
          <w:tcPr>
            <w:tcW w:w="74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339</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200" w:type="dxa"/>
            <w:vAlign w:val="bottom"/>
          </w:tcPr>
          <w:p>
            <w:pPr>
              <w:spacing w:after="0"/>
              <w:rPr>
                <w:sz w:val="17"/>
                <w:szCs w:val="17"/>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36</w:t>
            </w:r>
          </w:p>
        </w:tc>
      </w:tr>
      <w:tr>
        <w:trPr>
          <w:trHeight w:val="203"/>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Repayments of other financing activities</w:t>
            </w:r>
          </w:p>
        </w:tc>
        <w:tc>
          <w:tcPr>
            <w:tcW w:w="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(220)</w:t>
            </w:r>
          </w:p>
        </w:tc>
        <w:tc>
          <w:tcPr>
            <w:tcW w:w="74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(115)</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(321)</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(46)</w:t>
            </w:r>
          </w:p>
        </w:tc>
      </w:tr>
      <w:tr>
        <w:trPr>
          <w:trHeight w:val="216"/>
        </w:trPr>
        <w:tc>
          <w:tcPr>
            <w:tcW w:w="8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cash provided by/ (used in) financing activities</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(14,162</w:t>
            </w:r>
          </w:p>
        </w:tc>
        <w:tc>
          <w:tcPr>
            <w:tcW w:w="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(13,759</w:t>
            </w:r>
          </w:p>
        </w:tc>
        <w:tc>
          <w:tcPr>
            <w:tcW w:w="20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17,142</w:t>
            </w:r>
          </w:p>
        </w:tc>
        <w:tc>
          <w:tcPr>
            <w:tcW w:w="20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2,451</w:t>
            </w:r>
          </w:p>
        </w:tc>
        <w:tc>
          <w:tcPr>
            <w:tcW w:w="120" w:type="dxa"/>
            <w:vAlign w:val="bottom"/>
          </w:tcPr>
          <w:p>
            <w:pPr>
              <w:spacing w:after="0"/>
              <w:rPr>
                <w:sz w:val="18"/>
                <w:szCs w:val="18"/>
                <w:color w:val="auto"/>
              </w:rPr>
            </w:pPr>
          </w:p>
        </w:tc>
      </w:tr>
      <w:tr>
        <w:trPr>
          <w:trHeight w:val="203"/>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w:t>
            </w:r>
          </w:p>
        </w:tc>
        <w:tc>
          <w:tcPr>
            <w:tcW w:w="2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95</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(751)</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(107)</w:t>
            </w:r>
          </w:p>
        </w:tc>
      </w:tr>
      <w:tr>
        <w:trPr>
          <w:trHeight w:val="203"/>
        </w:trPr>
        <w:tc>
          <w:tcPr>
            <w:tcW w:w="8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decrease in cash, cash equivalents and restricted cash</w:t>
            </w: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(27,662)</w:t>
            </w:r>
          </w:p>
        </w:tc>
        <w:tc>
          <w:tcPr>
            <w:tcW w:w="2120" w:type="dxa"/>
            <w:vAlign w:val="bottom"/>
            <w:gridSpan w:val="6"/>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(985)   (11,758)   (1,681)</w:t>
            </w:r>
          </w:p>
        </w:tc>
      </w:tr>
      <w:tr>
        <w:trPr>
          <w:trHeight w:val="27"/>
        </w:trPr>
        <w:tc>
          <w:tcPr>
            <w:tcW w:w="81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2"/>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 the beginning of the year</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65,236</w:t>
            </w:r>
          </w:p>
        </w:tc>
        <w:tc>
          <w:tcPr>
            <w:tcW w:w="2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37,574</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36,589</w:t>
            </w:r>
          </w:p>
        </w:tc>
        <w:tc>
          <w:tcPr>
            <w:tcW w:w="2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5,232</w:t>
            </w:r>
          </w:p>
        </w:tc>
      </w:tr>
      <w:tr>
        <w:trPr>
          <w:trHeight w:val="208"/>
        </w:trPr>
        <w:tc>
          <w:tcPr>
            <w:tcW w:w="8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the end of the year</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37,574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36,589</w:t>
            </w:r>
          </w:p>
        </w:tc>
        <w:tc>
          <w:tcPr>
            <w:tcW w:w="20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24,831</w:t>
            </w:r>
          </w:p>
        </w:tc>
        <w:tc>
          <w:tcPr>
            <w:tcW w:w="20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3,551</w:t>
            </w:r>
          </w:p>
        </w:tc>
        <w:tc>
          <w:tcPr>
            <w:tcW w:w="120" w:type="dxa"/>
            <w:vAlign w:val="bottom"/>
          </w:tcPr>
          <w:p>
            <w:pPr>
              <w:spacing w:after="0"/>
              <w:rPr>
                <w:sz w:val="18"/>
                <w:szCs w:val="18"/>
                <w:color w:val="auto"/>
              </w:rPr>
            </w:pPr>
          </w:p>
        </w:tc>
      </w:tr>
      <w:tr>
        <w:trPr>
          <w:trHeight w:val="20"/>
        </w:trPr>
        <w:tc>
          <w:tcPr>
            <w:tcW w:w="8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8"/>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disclosures:</w:t>
            </w: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8140" w:type="dxa"/>
            <w:vAlign w:val="bottom"/>
          </w:tcPr>
          <w:p>
            <w:pPr>
              <w:spacing w:after="0"/>
              <w:rPr>
                <w:sz w:val="20"/>
                <w:szCs w:val="20"/>
                <w:color w:val="auto"/>
              </w:rPr>
            </w:pPr>
            <w:r>
              <w:rPr>
                <w:rFonts w:ascii="Times New Roman" w:cs="Times New Roman" w:eastAsia="Times New Roman" w:hAnsi="Times New Roman"/>
                <w:sz w:val="16"/>
                <w:szCs w:val="16"/>
                <w:color w:val="auto"/>
              </w:rPr>
              <w:t>Interest paid</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2,764</w:t>
            </w:r>
          </w:p>
        </w:tc>
        <w:tc>
          <w:tcPr>
            <w:tcW w:w="200" w:type="dxa"/>
            <w:vAlign w:val="bottom"/>
          </w:tcPr>
          <w:p>
            <w:pPr>
              <w:spacing w:after="0"/>
              <w:rPr>
                <w:sz w:val="17"/>
                <w:szCs w:val="17"/>
                <w:color w:val="auto"/>
              </w:rPr>
            </w:pPr>
          </w:p>
        </w:tc>
        <w:tc>
          <w:tcPr>
            <w:tcW w:w="74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2,237</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2,007</w:t>
            </w:r>
          </w:p>
        </w:tc>
        <w:tc>
          <w:tcPr>
            <w:tcW w:w="200" w:type="dxa"/>
            <w:vAlign w:val="bottom"/>
          </w:tcPr>
          <w:p>
            <w:pPr>
              <w:spacing w:after="0"/>
              <w:rPr>
                <w:sz w:val="17"/>
                <w:szCs w:val="17"/>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287</w:t>
            </w:r>
          </w:p>
        </w:tc>
      </w:tr>
      <w:tr>
        <w:trPr>
          <w:trHeight w:val="203"/>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taxes paid (i)</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3,666</w:t>
            </w:r>
          </w:p>
        </w:tc>
        <w:tc>
          <w:tcPr>
            <w:tcW w:w="2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3,684</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3,254</w:t>
            </w:r>
          </w:p>
        </w:tc>
        <w:tc>
          <w:tcPr>
            <w:tcW w:w="2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465</w:t>
            </w:r>
          </w:p>
        </w:tc>
      </w:tr>
      <w:tr>
        <w:trPr>
          <w:trHeight w:val="203"/>
        </w:trPr>
        <w:tc>
          <w:tcPr>
            <w:tcW w:w="8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Non-cash investing and financing activities:</w:t>
            </w: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2"/>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Acquisition of fixed assets included in accounts payable and accrued liabilities</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1,310</w:t>
            </w:r>
          </w:p>
        </w:tc>
        <w:tc>
          <w:tcPr>
            <w:tcW w:w="2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1,819</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1,638</w:t>
            </w:r>
          </w:p>
        </w:tc>
        <w:tc>
          <w:tcPr>
            <w:tcW w:w="2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234</w:t>
            </w:r>
          </w:p>
        </w:tc>
      </w:tr>
      <w:tr>
        <w:trPr>
          <w:trHeight w:val="203"/>
        </w:trPr>
        <w:tc>
          <w:tcPr>
            <w:tcW w:w="8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Reconciliation of cash, cash equivalents and restricted cash:</w:t>
            </w: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25,231</w:t>
            </w:r>
          </w:p>
        </w:tc>
        <w:tc>
          <w:tcPr>
            <w:tcW w:w="2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24,832</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24,606</w:t>
            </w:r>
          </w:p>
        </w:tc>
        <w:tc>
          <w:tcPr>
            <w:tcW w:w="2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3,519</w:t>
            </w:r>
          </w:p>
        </w:tc>
      </w:tr>
      <w:tr>
        <w:trPr>
          <w:trHeight w:val="203"/>
        </w:trPr>
        <w:tc>
          <w:tcPr>
            <w:tcW w:w="8140" w:type="dxa"/>
            <w:vAlign w:val="bottom"/>
          </w:tcPr>
          <w:p>
            <w:pPr>
              <w:spacing w:after="0"/>
              <w:rPr>
                <w:sz w:val="20"/>
                <w:szCs w:val="20"/>
                <w:color w:val="auto"/>
              </w:rPr>
            </w:pPr>
            <w:r>
              <w:rPr>
                <w:rFonts w:ascii="Times New Roman" w:cs="Times New Roman" w:eastAsia="Times New Roman" w:hAnsi="Times New Roman"/>
                <w:sz w:val="16"/>
                <w:szCs w:val="16"/>
                <w:color w:val="auto"/>
              </w:rPr>
              <w:t>Restricted cash</w:t>
            </w:r>
          </w:p>
        </w:tc>
        <w:tc>
          <w:tcPr>
            <w:tcW w:w="76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11,503</w:t>
            </w:r>
          </w:p>
        </w:tc>
        <w:tc>
          <w:tcPr>
            <w:tcW w:w="74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11,697</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200" w:type="dxa"/>
            <w:vAlign w:val="bottom"/>
          </w:tcPr>
          <w:p>
            <w:pPr>
              <w:spacing w:after="0"/>
              <w:rPr>
                <w:sz w:val="17"/>
                <w:szCs w:val="17"/>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32</w:t>
            </w:r>
          </w:p>
        </w:tc>
      </w:tr>
      <w:tr>
        <w:trPr>
          <w:trHeight w:val="203"/>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Long-term restricted cash</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840</w:t>
            </w:r>
          </w:p>
        </w:tc>
        <w:tc>
          <w:tcPr>
            <w:tcW w:w="2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60</w:t>
            </w: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— </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— </w:t>
            </w:r>
          </w:p>
        </w:tc>
      </w:tr>
      <w:tr>
        <w:trPr>
          <w:trHeight w:val="208"/>
        </w:trPr>
        <w:tc>
          <w:tcPr>
            <w:tcW w:w="8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cash, cash equivalents and restricted cash shown in the statements of cash flows</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37,574</w:t>
            </w: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36,589</w:t>
            </w:r>
          </w:p>
        </w:tc>
        <w:tc>
          <w:tcPr>
            <w:tcW w:w="20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24,831</w:t>
            </w:r>
          </w:p>
        </w:tc>
        <w:tc>
          <w:tcPr>
            <w:tcW w:w="20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3,551</w:t>
            </w:r>
          </w:p>
        </w:tc>
        <w:tc>
          <w:tcPr>
            <w:tcW w:w="120" w:type="dxa"/>
            <w:vAlign w:val="bottom"/>
          </w:tcPr>
          <w:p>
            <w:pPr>
              <w:spacing w:after="0"/>
              <w:rPr>
                <w:sz w:val="18"/>
                <w:szCs w:val="18"/>
                <w:color w:val="auto"/>
              </w:rPr>
            </w:pPr>
          </w:p>
        </w:tc>
      </w:tr>
      <w:tr>
        <w:trPr>
          <w:trHeight w:val="20"/>
        </w:trPr>
        <w:tc>
          <w:tcPr>
            <w:tcW w:w="8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17" w:lineRule="exact"/>
        <w:rPr>
          <w:sz w:val="20"/>
          <w:szCs w:val="20"/>
          <w:color w:val="auto"/>
        </w:rPr>
      </w:pPr>
    </w:p>
    <w:p>
      <w:pPr>
        <w:ind w:left="540" w:right="20" w:hanging="424"/>
        <w:spacing w:after="0" w:line="282" w:lineRule="auto"/>
        <w:tabs>
          <w:tab w:leader="none" w:pos="54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 ended December 31, 2025, income taxes paid amounted to RMB3.2 billion (US$461 million) in Chinese mainland, and RMB27 million (US$4 million) in jurisdictions outside Chinese mainland.</w:t>
      </w:r>
    </w:p>
    <w:p>
      <w:pPr>
        <w:spacing w:after="0" w:line="16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140"/>
          </w:cols>
          <w:pgMar w:left="320" w:top="482" w:right="439"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40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BAIDU, INC.</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CONSOLIDATED STATEMENTS OF SHAREHOLDERS’ EQUITY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(Amounts in millions of Renminbi (“RMB”), and in millions of U.S. Dollars (“US$”), except for number of shares)</w:t>
      </w:r>
    </w:p>
    <w:p>
      <w:pPr>
        <w:spacing w:after="0" w:line="232" w:lineRule="exact"/>
        <w:rPr>
          <w:sz w:val="20"/>
          <w:szCs w:val="20"/>
          <w:color w:val="auto"/>
        </w:rPr>
      </w:pPr>
    </w:p>
    <w:tbl>
      <w:tblPr>
        <w:tblLayout w:type="fixed"/>
        <w:tblInd w:w="120" w:type="dxa"/>
        <w:tblCellMar>
          <w:top w:w="0" w:type="dxa"/>
          <w:left w:w="0" w:type="dxa"/>
          <w:bottom w:w="0" w:type="dxa"/>
          <w:right w:w="0" w:type="dxa"/>
        </w:tblCellMar>
      </w:tblPr>
      <w:tr>
        <w:trPr>
          <w:trHeight w:val="155"/>
        </w:trPr>
        <w:tc>
          <w:tcPr>
            <w:tcW w:w="360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200" w:type="dxa"/>
            <w:vAlign w:val="bottom"/>
            <w:tcBorders>
              <w:bottom w:val="single" w:sz="8" w:color="auto"/>
            </w:tcBorders>
            <w:gridSpan w:val="6"/>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Attributable to Baidu, Inc.</w:t>
            </w:r>
          </w:p>
        </w:tc>
        <w:tc>
          <w:tcPr>
            <w:tcW w:w="5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3600" w:type="dxa"/>
            <w:vAlign w:val="bottom"/>
          </w:tcPr>
          <w:p>
            <w:pPr>
              <w:spacing w:after="0"/>
              <w:rPr>
                <w:sz w:val="11"/>
                <w:szCs w:val="11"/>
                <w:color w:val="auto"/>
              </w:rPr>
            </w:pPr>
          </w:p>
        </w:tc>
        <w:tc>
          <w:tcPr>
            <w:tcW w:w="1440" w:type="dxa"/>
            <w:vAlign w:val="bottom"/>
            <w:gridSpan w:val="3"/>
          </w:tcPr>
          <w:p>
            <w:pPr>
              <w:ind w:left="280"/>
              <w:spacing w:after="0" w:line="129" w:lineRule="exact"/>
              <w:rPr>
                <w:sz w:val="20"/>
                <w:szCs w:val="20"/>
                <w:color w:val="auto"/>
              </w:rPr>
            </w:pPr>
            <w:r>
              <w:rPr>
                <w:rFonts w:ascii="Times New Roman" w:cs="Times New Roman" w:eastAsia="Times New Roman" w:hAnsi="Times New Roman"/>
                <w:sz w:val="13"/>
                <w:szCs w:val="13"/>
                <w:b w:val="1"/>
                <w:bCs w:val="1"/>
                <w:color w:val="auto"/>
              </w:rPr>
              <w:t>Ordinary shares</w:t>
            </w:r>
          </w:p>
        </w:tc>
        <w:tc>
          <w:tcPr>
            <w:tcW w:w="120" w:type="dxa"/>
            <w:vAlign w:val="bottom"/>
          </w:tcPr>
          <w:p>
            <w:pPr>
              <w:spacing w:after="0"/>
              <w:rPr>
                <w:sz w:val="11"/>
                <w:szCs w:val="11"/>
                <w:color w:val="auto"/>
              </w:rPr>
            </w:pPr>
          </w:p>
        </w:tc>
        <w:tc>
          <w:tcPr>
            <w:tcW w:w="1460" w:type="dxa"/>
            <w:vAlign w:val="bottom"/>
            <w:gridSpan w:val="4"/>
          </w:tcPr>
          <w:p>
            <w:pPr>
              <w:jc w:val="right"/>
              <w:ind w:right="400"/>
              <w:spacing w:after="0" w:line="129" w:lineRule="exact"/>
              <w:rPr>
                <w:sz w:val="20"/>
                <w:szCs w:val="20"/>
                <w:color w:val="auto"/>
              </w:rPr>
            </w:pPr>
            <w:r>
              <w:rPr>
                <w:rFonts w:ascii="Times New Roman" w:cs="Times New Roman" w:eastAsia="Times New Roman" w:hAnsi="Times New Roman"/>
                <w:sz w:val="13"/>
                <w:szCs w:val="13"/>
                <w:b w:val="1"/>
                <w:bCs w:val="1"/>
                <w:color w:val="auto"/>
              </w:rPr>
              <w:t>Treasury Stock</w:t>
            </w:r>
          </w:p>
        </w:tc>
        <w:tc>
          <w:tcPr>
            <w:tcW w:w="7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Accumulated other</w:t>
            </w: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95"/>
        </w:trPr>
        <w:tc>
          <w:tcPr>
            <w:tcW w:w="3600" w:type="dxa"/>
            <w:vAlign w:val="bottom"/>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3600" w:type="dxa"/>
            <w:vAlign w:val="bottom"/>
          </w:tcPr>
          <w:p>
            <w:pPr>
              <w:spacing w:after="0"/>
              <w:rPr>
                <w:sz w:val="11"/>
                <w:szCs w:val="11"/>
                <w:color w:val="auto"/>
              </w:rPr>
            </w:pPr>
          </w:p>
        </w:tc>
        <w:tc>
          <w:tcPr>
            <w:tcW w:w="980" w:type="dxa"/>
            <w:vAlign w:val="bottom"/>
            <w:gridSpan w:val="2"/>
          </w:tcPr>
          <w:p>
            <w:pPr>
              <w:jc w:val="right"/>
              <w:ind w:right="280"/>
              <w:spacing w:after="0" w:line="135"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paid-in</w:t>
            </w:r>
          </w:p>
        </w:tc>
        <w:tc>
          <w:tcPr>
            <w:tcW w:w="66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120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96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Noncontrolling</w:t>
            </w:r>
          </w:p>
        </w:tc>
        <w:tc>
          <w:tcPr>
            <w:tcW w:w="84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4"/>
              </w:rPr>
              <w:t>shareholders’</w:t>
            </w:r>
          </w:p>
        </w:tc>
        <w:tc>
          <w:tcPr>
            <w:tcW w:w="0" w:type="dxa"/>
            <w:vAlign w:val="bottom"/>
          </w:tcPr>
          <w:p>
            <w:pPr>
              <w:spacing w:after="0"/>
              <w:rPr>
                <w:sz w:val="1"/>
                <w:szCs w:val="1"/>
                <w:color w:val="auto"/>
              </w:rPr>
            </w:pPr>
          </w:p>
        </w:tc>
      </w:tr>
      <w:tr>
        <w:trPr>
          <w:trHeight w:val="155"/>
        </w:trPr>
        <w:tc>
          <w:tcPr>
            <w:tcW w:w="3600" w:type="dxa"/>
            <w:vAlign w:val="bottom"/>
          </w:tcPr>
          <w:p>
            <w:pPr>
              <w:spacing w:after="0"/>
              <w:rPr>
                <w:sz w:val="13"/>
                <w:szCs w:val="13"/>
                <w:color w:val="auto"/>
              </w:rPr>
            </w:pP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4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120" w:type="dxa"/>
            <w:vAlign w:val="bottom"/>
          </w:tcPr>
          <w:p>
            <w:pPr>
              <w:spacing w:after="0"/>
              <w:rPr>
                <w:sz w:val="13"/>
                <w:szCs w:val="13"/>
                <w:color w:val="auto"/>
              </w:rPr>
            </w:pP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w w:val="92"/>
              </w:rPr>
              <w:t>Amount</w:t>
            </w:r>
          </w:p>
        </w:tc>
        <w:tc>
          <w:tcPr>
            <w:tcW w:w="7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5"/>
              </w:rPr>
              <w:t>capital</w:t>
            </w:r>
          </w:p>
        </w:tc>
        <w:tc>
          <w:tcPr>
            <w:tcW w:w="66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6"/>
              </w:rPr>
              <w:t>earnings</w:t>
            </w:r>
          </w:p>
        </w:tc>
        <w:tc>
          <w:tcPr>
            <w:tcW w:w="12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income (loss)</w:t>
            </w: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3"/>
              </w:rPr>
              <w:t>interests</w:t>
            </w: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2"/>
              </w:rPr>
              <w:t>equity</w:t>
            </w:r>
          </w:p>
        </w:tc>
        <w:tc>
          <w:tcPr>
            <w:tcW w:w="0" w:type="dxa"/>
            <w:vAlign w:val="bottom"/>
          </w:tcPr>
          <w:p>
            <w:pPr>
              <w:spacing w:after="0"/>
              <w:rPr>
                <w:sz w:val="1"/>
                <w:szCs w:val="1"/>
                <w:color w:val="auto"/>
              </w:rPr>
            </w:pPr>
          </w:p>
        </w:tc>
      </w:tr>
      <w:tr>
        <w:trPr>
          <w:trHeight w:val="142"/>
        </w:trPr>
        <w:tc>
          <w:tcPr>
            <w:tcW w:w="360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Borders>
              <w:top w:val="single" w:sz="8" w:color="auto"/>
            </w:tcBorders>
          </w:tcPr>
          <w:p>
            <w:pPr>
              <w:ind w:left="80"/>
              <w:spacing w:after="0" w:line="142" w:lineRule="exact"/>
              <w:rPr>
                <w:sz w:val="20"/>
                <w:szCs w:val="20"/>
                <w:color w:val="auto"/>
              </w:rPr>
            </w:pPr>
            <w:r>
              <w:rPr>
                <w:rFonts w:ascii="Times New Roman" w:cs="Times New Roman" w:eastAsia="Times New Roman" w:hAnsi="Times New Roman"/>
                <w:sz w:val="13"/>
                <w:szCs w:val="13"/>
                <w:b w:val="1"/>
                <w:bCs w:val="1"/>
                <w:color w:val="auto"/>
              </w:rPr>
              <w:t>RMB</w:t>
            </w:r>
          </w:p>
        </w:tc>
        <w:tc>
          <w:tcPr>
            <w:tcW w:w="12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RMB</w:t>
            </w:r>
          </w:p>
        </w:tc>
        <w:tc>
          <w:tcPr>
            <w:tcW w:w="160" w:type="dxa"/>
            <w:vAlign w:val="bottom"/>
          </w:tcPr>
          <w:p>
            <w:pPr>
              <w:spacing w:after="0"/>
              <w:rPr>
                <w:sz w:val="12"/>
                <w:szCs w:val="12"/>
                <w:color w:val="auto"/>
              </w:rPr>
            </w:pPr>
          </w:p>
        </w:tc>
        <w:tc>
          <w:tcPr>
            <w:tcW w:w="5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rPr>
              <w:t>RMB</w:t>
            </w:r>
          </w:p>
        </w:tc>
        <w:tc>
          <w:tcPr>
            <w:tcW w:w="160" w:type="dxa"/>
            <w:vAlign w:val="bottom"/>
          </w:tcPr>
          <w:p>
            <w:pPr>
              <w:spacing w:after="0"/>
              <w:rPr>
                <w:sz w:val="12"/>
                <w:szCs w:val="12"/>
                <w:color w:val="auto"/>
              </w:rPr>
            </w:pPr>
          </w:p>
        </w:tc>
        <w:tc>
          <w:tcPr>
            <w:tcW w:w="5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160" w:type="dxa"/>
            <w:vAlign w:val="bottom"/>
          </w:tcPr>
          <w:p>
            <w:pPr>
              <w:spacing w:after="0"/>
              <w:rPr>
                <w:sz w:val="12"/>
                <w:szCs w:val="12"/>
                <w:color w:val="auto"/>
              </w:rPr>
            </w:pPr>
          </w:p>
        </w:tc>
        <w:tc>
          <w:tcPr>
            <w:tcW w:w="10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rPr>
              <w:t>RMB</w:t>
            </w:r>
          </w:p>
        </w:tc>
        <w:tc>
          <w:tcPr>
            <w:tcW w:w="160" w:type="dxa"/>
            <w:vAlign w:val="bottom"/>
          </w:tcPr>
          <w:p>
            <w:pPr>
              <w:spacing w:after="0"/>
              <w:rPr>
                <w:sz w:val="12"/>
                <w:szCs w:val="12"/>
                <w:color w:val="auto"/>
              </w:rPr>
            </w:pPr>
          </w:p>
        </w:tc>
        <w:tc>
          <w:tcPr>
            <w:tcW w:w="8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rPr>
              <w:t>RMB</w:t>
            </w:r>
          </w:p>
        </w:tc>
        <w:tc>
          <w:tcPr>
            <w:tcW w:w="160" w:type="dxa"/>
            <w:vAlign w:val="bottom"/>
          </w:tcPr>
          <w:p>
            <w:pPr>
              <w:spacing w:after="0"/>
              <w:rPr>
                <w:sz w:val="12"/>
                <w:szCs w:val="12"/>
                <w:color w:val="auto"/>
              </w:rPr>
            </w:pPr>
          </w:p>
        </w:tc>
        <w:tc>
          <w:tcPr>
            <w:tcW w:w="7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rPr>
              <w:t>RMB</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Balances at December 31, 2022</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2,796,585,392</w:t>
            </w:r>
          </w:p>
        </w:tc>
        <w:tc>
          <w:tcPr>
            <w:tcW w:w="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b w:val="1"/>
                <w:bCs w:val="1"/>
                <w:color w:val="auto"/>
              </w:rPr>
              <w:t>— </w:t>
            </w:r>
          </w:p>
        </w:tc>
        <w:tc>
          <w:tcPr>
            <w:tcW w:w="9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49,408,840</w:t>
            </w: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(5,264)</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79,855</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148,341</w:t>
            </w:r>
          </w:p>
        </w:tc>
        <w:tc>
          <w:tcPr>
            <w:tcW w:w="104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3"/>
                <w:szCs w:val="13"/>
                <w:b w:val="1"/>
                <w:bCs w:val="1"/>
                <w:color w:val="auto"/>
                <w:w w:val="92"/>
              </w:rPr>
              <w:t>546</w:t>
            </w: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5,934</w:t>
            </w: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229,412</w:t>
            </w:r>
          </w:p>
        </w:tc>
        <w:tc>
          <w:tcPr>
            <w:tcW w:w="0" w:type="dxa"/>
            <w:vAlign w:val="bottom"/>
          </w:tcPr>
          <w:p>
            <w:pPr>
              <w:spacing w:after="0"/>
              <w:rPr>
                <w:sz w:val="1"/>
                <w:szCs w:val="1"/>
                <w:color w:val="auto"/>
              </w:rPr>
            </w:pPr>
          </w:p>
        </w:tc>
      </w:tr>
      <w:tr>
        <w:trPr>
          <w:trHeight w:val="148"/>
        </w:trPr>
        <w:tc>
          <w:tcPr>
            <w:tcW w:w="3600" w:type="dxa"/>
            <w:vAlign w:val="bottom"/>
          </w:tcPr>
          <w:p>
            <w:pPr>
              <w:spacing w:after="0"/>
              <w:rPr>
                <w:sz w:val="20"/>
                <w:szCs w:val="20"/>
                <w:color w:val="auto"/>
              </w:rPr>
            </w:pPr>
            <w:r>
              <w:rPr>
                <w:rFonts w:ascii="Times New Roman" w:cs="Times New Roman" w:eastAsia="Times New Roman" w:hAnsi="Times New Roman"/>
                <w:sz w:val="13"/>
                <w:szCs w:val="13"/>
                <w:color w:val="auto"/>
              </w:rPr>
              <w:t>Net income</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— </w:t>
            </w:r>
          </w:p>
        </w:tc>
        <w:tc>
          <w:tcPr>
            <w:tcW w:w="46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— </w:t>
            </w:r>
          </w:p>
        </w:tc>
        <w:tc>
          <w:tcPr>
            <w:tcW w:w="120" w:type="dxa"/>
            <w:vAlign w:val="bottom"/>
          </w:tcPr>
          <w:p>
            <w:pPr>
              <w:spacing w:after="0"/>
              <w:rPr>
                <w:sz w:val="12"/>
                <w:szCs w:val="12"/>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— </w:t>
            </w: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— </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— </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20,315</w:t>
            </w: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3"/>
                <w:szCs w:val="13"/>
                <w:color w:val="auto"/>
              </w:rPr>
              <w:t>— </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1,234</w:t>
            </w:r>
          </w:p>
        </w:tc>
        <w:tc>
          <w:tcPr>
            <w:tcW w:w="160" w:type="dxa"/>
            <w:vAlign w:val="bottom"/>
          </w:tcPr>
          <w:p>
            <w:pPr>
              <w:spacing w:after="0"/>
              <w:rPr>
                <w:sz w:val="12"/>
                <w:szCs w:val="12"/>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21,549</w:t>
            </w:r>
          </w:p>
        </w:tc>
        <w:tc>
          <w:tcPr>
            <w:tcW w:w="0" w:type="dxa"/>
            <w:vAlign w:val="bottom"/>
          </w:tcPr>
          <w:p>
            <w:pPr>
              <w:spacing w:after="0"/>
              <w:rPr>
                <w:sz w:val="1"/>
                <w:szCs w:val="1"/>
                <w:color w:val="auto"/>
              </w:rPr>
            </w:pPr>
          </w:p>
        </w:tc>
      </w:tr>
      <w:tr>
        <w:trPr>
          <w:trHeight w:val="148"/>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comprehensive loss</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— </w:t>
            </w:r>
          </w:p>
        </w:tc>
        <w:tc>
          <w:tcPr>
            <w:tcW w:w="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— </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— </w:t>
            </w: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— </w:t>
            </w: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— </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— </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(1,441)</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(95)</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(1,536)</w:t>
            </w:r>
          </w:p>
        </w:tc>
        <w:tc>
          <w:tcPr>
            <w:tcW w:w="0" w:type="dxa"/>
            <w:vAlign w:val="bottom"/>
          </w:tcPr>
          <w:p>
            <w:pPr>
              <w:spacing w:after="0"/>
              <w:rPr>
                <w:sz w:val="1"/>
                <w:szCs w:val="1"/>
                <w:color w:val="auto"/>
              </w:rPr>
            </w:pPr>
          </w:p>
        </w:tc>
      </w:tr>
      <w:tr>
        <w:trPr>
          <w:trHeight w:val="136"/>
        </w:trPr>
        <w:tc>
          <w:tcPr>
            <w:tcW w:w="3600" w:type="dxa"/>
            <w:vAlign w:val="bottom"/>
          </w:tcPr>
          <w:p>
            <w:pPr>
              <w:spacing w:after="0" w:line="136" w:lineRule="exact"/>
              <w:rPr>
                <w:sz w:val="20"/>
                <w:szCs w:val="20"/>
                <w:color w:val="auto"/>
              </w:rPr>
            </w:pPr>
            <w:r>
              <w:rPr>
                <w:rFonts w:ascii="Times New Roman" w:cs="Times New Roman" w:eastAsia="Times New Roman" w:hAnsi="Times New Roman"/>
                <w:sz w:val="13"/>
                <w:szCs w:val="13"/>
                <w:color w:val="auto"/>
              </w:rPr>
              <w:t>Issuance of shares by the Company’s subsidiaries to</w:t>
            </w: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6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noncontrolling interests</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— </w:t>
            </w:r>
          </w:p>
        </w:tc>
        <w:tc>
          <w:tcPr>
            <w:tcW w:w="46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— </w:t>
            </w:r>
          </w:p>
        </w:tc>
        <w:tc>
          <w:tcPr>
            <w:tcW w:w="120" w:type="dxa"/>
            <w:vAlign w:val="bottom"/>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— </w:t>
            </w: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— </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1,274</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— </w:t>
            </w: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3"/>
                <w:szCs w:val="13"/>
                <w:color w:val="auto"/>
              </w:rPr>
              <w:t>— </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2,175</w:t>
            </w:r>
          </w:p>
        </w:tc>
        <w:tc>
          <w:tcPr>
            <w:tcW w:w="160" w:type="dxa"/>
            <w:vAlign w:val="bottom"/>
          </w:tcPr>
          <w:p>
            <w:pPr>
              <w:spacing w:after="0"/>
              <w:rPr>
                <w:sz w:val="14"/>
                <w:szCs w:val="14"/>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3,449</w:t>
            </w:r>
          </w:p>
        </w:tc>
        <w:tc>
          <w:tcPr>
            <w:tcW w:w="0" w:type="dxa"/>
            <w:vAlign w:val="bottom"/>
          </w:tcPr>
          <w:p>
            <w:pPr>
              <w:spacing w:after="0"/>
              <w:rPr>
                <w:sz w:val="1"/>
                <w:szCs w:val="1"/>
                <w:color w:val="auto"/>
              </w:rPr>
            </w:pPr>
          </w:p>
        </w:tc>
      </w:tr>
      <w:tr>
        <w:trPr>
          <w:trHeight w:val="149"/>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Exercise of share-based awards</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51,267,008</w:t>
            </w:r>
          </w:p>
        </w:tc>
        <w:tc>
          <w:tcPr>
            <w:tcW w:w="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— </w:t>
            </w:r>
          </w:p>
        </w:tc>
        <w:tc>
          <w:tcPr>
            <w:tcW w:w="9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(50,887,168)</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6,210</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— </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(6,102)</w:t>
            </w:r>
          </w:p>
        </w:tc>
        <w:tc>
          <w:tcPr>
            <w:tcW w:w="12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3"/>
                <w:szCs w:val="13"/>
                <w:color w:val="auto"/>
              </w:rPr>
              <w:t>— </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— </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108</w:t>
            </w:r>
          </w:p>
        </w:tc>
        <w:tc>
          <w:tcPr>
            <w:tcW w:w="0" w:type="dxa"/>
            <w:vAlign w:val="bottom"/>
          </w:tcPr>
          <w:p>
            <w:pPr>
              <w:spacing w:after="0"/>
              <w:rPr>
                <w:sz w:val="1"/>
                <w:szCs w:val="1"/>
                <w:color w:val="auto"/>
              </w:rPr>
            </w:pPr>
          </w:p>
        </w:tc>
      </w:tr>
      <w:tr>
        <w:trPr>
          <w:trHeight w:val="148"/>
        </w:trPr>
        <w:tc>
          <w:tcPr>
            <w:tcW w:w="3600" w:type="dxa"/>
            <w:vAlign w:val="bottom"/>
          </w:tcPr>
          <w:p>
            <w:pPr>
              <w:spacing w:after="0"/>
              <w:rPr>
                <w:sz w:val="20"/>
                <w:szCs w:val="20"/>
                <w:color w:val="auto"/>
              </w:rPr>
            </w:pPr>
            <w:r>
              <w:rPr>
                <w:rFonts w:ascii="Times New Roman" w:cs="Times New Roman" w:eastAsia="Times New Roman" w:hAnsi="Times New Roman"/>
                <w:sz w:val="13"/>
                <w:szCs w:val="13"/>
                <w:color w:val="auto"/>
              </w:rPr>
              <w:t>Share-based compensation</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— </w:t>
            </w:r>
          </w:p>
        </w:tc>
        <w:tc>
          <w:tcPr>
            <w:tcW w:w="46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— </w:t>
            </w:r>
          </w:p>
        </w:tc>
        <w:tc>
          <w:tcPr>
            <w:tcW w:w="120" w:type="dxa"/>
            <w:vAlign w:val="bottom"/>
          </w:tcPr>
          <w:p>
            <w:pPr>
              <w:spacing w:after="0"/>
              <w:rPr>
                <w:sz w:val="12"/>
                <w:szCs w:val="12"/>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— </w:t>
            </w: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— </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5,965</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— </w:t>
            </w: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3"/>
                <w:szCs w:val="13"/>
                <w:color w:val="auto"/>
              </w:rPr>
              <w:t>— </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351</w:t>
            </w:r>
          </w:p>
        </w:tc>
        <w:tc>
          <w:tcPr>
            <w:tcW w:w="160" w:type="dxa"/>
            <w:vAlign w:val="bottom"/>
          </w:tcPr>
          <w:p>
            <w:pPr>
              <w:spacing w:after="0"/>
              <w:rPr>
                <w:sz w:val="12"/>
                <w:szCs w:val="12"/>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6,316</w:t>
            </w:r>
          </w:p>
        </w:tc>
        <w:tc>
          <w:tcPr>
            <w:tcW w:w="0" w:type="dxa"/>
            <w:vAlign w:val="bottom"/>
          </w:tcPr>
          <w:p>
            <w:pPr>
              <w:spacing w:after="0"/>
              <w:rPr>
                <w:sz w:val="1"/>
                <w:szCs w:val="1"/>
                <w:color w:val="auto"/>
              </w:rPr>
            </w:pPr>
          </w:p>
        </w:tc>
      </w:tr>
      <w:tr>
        <w:trPr>
          <w:trHeight w:val="148"/>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Dividends paid and payable by the Company’s subsidiaries</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— </w:t>
            </w:r>
          </w:p>
        </w:tc>
        <w:tc>
          <w:tcPr>
            <w:tcW w:w="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— </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— </w:t>
            </w: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— </w:t>
            </w: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— </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— </w:t>
            </w:r>
          </w:p>
        </w:tc>
        <w:tc>
          <w:tcPr>
            <w:tcW w:w="12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3"/>
                <w:szCs w:val="13"/>
                <w:color w:val="auto"/>
              </w:rPr>
              <w:t>— </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(78)</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(78)</w:t>
            </w:r>
          </w:p>
        </w:tc>
        <w:tc>
          <w:tcPr>
            <w:tcW w:w="0" w:type="dxa"/>
            <w:vAlign w:val="bottom"/>
          </w:tcPr>
          <w:p>
            <w:pPr>
              <w:spacing w:after="0"/>
              <w:rPr>
                <w:sz w:val="1"/>
                <w:szCs w:val="1"/>
                <w:color w:val="auto"/>
              </w:rPr>
            </w:pPr>
          </w:p>
        </w:tc>
      </w:tr>
      <w:tr>
        <w:trPr>
          <w:trHeight w:val="148"/>
        </w:trPr>
        <w:tc>
          <w:tcPr>
            <w:tcW w:w="3600" w:type="dxa"/>
            <w:vAlign w:val="bottom"/>
          </w:tcPr>
          <w:p>
            <w:pPr>
              <w:spacing w:after="0"/>
              <w:rPr>
                <w:sz w:val="20"/>
                <w:szCs w:val="20"/>
                <w:color w:val="auto"/>
              </w:rPr>
            </w:pPr>
            <w:r>
              <w:rPr>
                <w:rFonts w:ascii="Times New Roman" w:cs="Times New Roman" w:eastAsia="Times New Roman" w:hAnsi="Times New Roman"/>
                <w:sz w:val="13"/>
                <w:szCs w:val="13"/>
                <w:color w:val="auto"/>
              </w:rPr>
              <w:t>Accretion of redeemable noncontrolling interests</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— </w:t>
            </w:r>
          </w:p>
        </w:tc>
        <w:tc>
          <w:tcPr>
            <w:tcW w:w="46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— </w:t>
            </w:r>
          </w:p>
        </w:tc>
        <w:tc>
          <w:tcPr>
            <w:tcW w:w="120" w:type="dxa"/>
            <w:vAlign w:val="bottom"/>
          </w:tcPr>
          <w:p>
            <w:pPr>
              <w:spacing w:after="0"/>
              <w:rPr>
                <w:sz w:val="12"/>
                <w:szCs w:val="12"/>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— </w:t>
            </w: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— </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— </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(717)</w:t>
            </w: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3"/>
                <w:szCs w:val="13"/>
                <w:color w:val="auto"/>
              </w:rPr>
              <w:t>— </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(721)</w:t>
            </w:r>
          </w:p>
        </w:tc>
        <w:tc>
          <w:tcPr>
            <w:tcW w:w="0" w:type="dxa"/>
            <w:vAlign w:val="bottom"/>
          </w:tcPr>
          <w:p>
            <w:pPr>
              <w:spacing w:after="0"/>
              <w:rPr>
                <w:sz w:val="1"/>
                <w:szCs w:val="1"/>
                <w:color w:val="auto"/>
              </w:rPr>
            </w:pPr>
          </w:p>
        </w:tc>
      </w:tr>
      <w:tr>
        <w:trPr>
          <w:trHeight w:val="148"/>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Repurchase of ordinary shares</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(42,661,000)</w:t>
            </w:r>
          </w:p>
        </w:tc>
        <w:tc>
          <w:tcPr>
            <w:tcW w:w="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— </w:t>
            </w:r>
          </w:p>
        </w:tc>
        <w:tc>
          <w:tcPr>
            <w:tcW w:w="9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42,661,000</w:t>
            </w: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(4,764)</w:t>
            </w: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— </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— </w:t>
            </w:r>
          </w:p>
        </w:tc>
        <w:tc>
          <w:tcPr>
            <w:tcW w:w="12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3"/>
                <w:szCs w:val="13"/>
                <w:color w:val="auto"/>
              </w:rPr>
              <w:t>— </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— </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(4,764)</w:t>
            </w:r>
          </w:p>
        </w:tc>
        <w:tc>
          <w:tcPr>
            <w:tcW w:w="0" w:type="dxa"/>
            <w:vAlign w:val="bottom"/>
          </w:tcPr>
          <w:p>
            <w:pPr>
              <w:spacing w:after="0"/>
              <w:rPr>
                <w:sz w:val="1"/>
                <w:szCs w:val="1"/>
                <w:color w:val="auto"/>
              </w:rPr>
            </w:pPr>
          </w:p>
        </w:tc>
      </w:tr>
      <w:tr>
        <w:trPr>
          <w:trHeight w:val="156"/>
        </w:trPr>
        <w:tc>
          <w:tcPr>
            <w:tcW w:w="3600" w:type="dxa"/>
            <w:vAlign w:val="bottom"/>
          </w:tcPr>
          <w:p>
            <w:pPr>
              <w:spacing w:after="0"/>
              <w:rPr>
                <w:sz w:val="20"/>
                <w:szCs w:val="20"/>
                <w:color w:val="auto"/>
              </w:rPr>
            </w:pPr>
            <w:r>
              <w:rPr>
                <w:rFonts w:ascii="Times New Roman" w:cs="Times New Roman" w:eastAsia="Times New Roman" w:hAnsi="Times New Roman"/>
                <w:sz w:val="13"/>
                <w:szCs w:val="13"/>
                <w:color w:val="auto"/>
              </w:rPr>
              <w:t>Others</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— </w:t>
            </w:r>
          </w:p>
        </w:tc>
        <w:tc>
          <w:tcPr>
            <w:tcW w:w="46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— </w:t>
            </w:r>
          </w:p>
        </w:tc>
        <w:tc>
          <w:tcPr>
            <w:tcW w:w="120" w:type="dxa"/>
            <w:vAlign w:val="bottom"/>
          </w:tcPr>
          <w:p>
            <w:pPr>
              <w:spacing w:after="0"/>
              <w:rPr>
                <w:sz w:val="13"/>
                <w:szCs w:val="13"/>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— </w:t>
            </w: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— </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5</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(597)</w:t>
            </w: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3"/>
                <w:szCs w:val="13"/>
                <w:color w:val="auto"/>
              </w:rPr>
              <w:t>— </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— </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(592)</w:t>
            </w:r>
          </w:p>
        </w:tc>
        <w:tc>
          <w:tcPr>
            <w:tcW w:w="0" w:type="dxa"/>
            <w:vAlign w:val="bottom"/>
          </w:tcPr>
          <w:p>
            <w:pPr>
              <w:spacing w:after="0"/>
              <w:rPr>
                <w:sz w:val="1"/>
                <w:szCs w:val="1"/>
                <w:color w:val="auto"/>
              </w:rPr>
            </w:pPr>
          </w:p>
        </w:tc>
      </w:tr>
      <w:tr>
        <w:trPr>
          <w:trHeight w:val="148"/>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Balances at December 31, 2023</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2,805,191,400</w:t>
            </w:r>
          </w:p>
        </w:tc>
        <w:tc>
          <w:tcPr>
            <w:tcW w:w="160" w:type="dxa"/>
            <w:vAlign w:val="bottom"/>
            <w:shd w:val="clear" w:color="auto" w:fill="CCEEFF"/>
          </w:tcPr>
          <w:p>
            <w:pPr>
              <w:spacing w:after="0"/>
              <w:rPr>
                <w:sz w:val="12"/>
                <w:szCs w:val="12"/>
                <w:color w:val="auto"/>
              </w:rPr>
            </w:pPr>
          </w:p>
        </w:tc>
        <w:tc>
          <w:tcPr>
            <w:tcW w:w="460" w:type="dxa"/>
            <w:vAlign w:val="bottom"/>
            <w:tcBorders>
              <w:top w:val="single" w:sz="8" w:color="auto"/>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3"/>
                <w:szCs w:val="13"/>
                <w:b w:val="1"/>
                <w:bCs w:val="1"/>
                <w:color w:val="auto"/>
              </w:rPr>
              <w:t>— </w:t>
            </w:r>
          </w:p>
        </w:tc>
        <w:tc>
          <w:tcPr>
            <w:tcW w:w="120" w:type="dxa"/>
            <w:vAlign w:val="bottom"/>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41,182,672</w:t>
            </w:r>
          </w:p>
        </w:tc>
        <w:tc>
          <w:tcPr>
            <w:tcW w:w="160" w:type="dxa"/>
            <w:vAlign w:val="bottom"/>
            <w:shd w:val="clear" w:color="auto" w:fill="CCEEFF"/>
          </w:tcPr>
          <w:p>
            <w:pPr>
              <w:spacing w:after="0"/>
              <w:rPr>
                <w:sz w:val="12"/>
                <w:szCs w:val="12"/>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(3,818)</w:t>
            </w:r>
          </w:p>
        </w:tc>
        <w:tc>
          <w:tcPr>
            <w:tcW w:w="160" w:type="dxa"/>
            <w:vAlign w:val="bottom"/>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87,099</w:t>
            </w:r>
          </w:p>
        </w:tc>
        <w:tc>
          <w:tcPr>
            <w:tcW w:w="160" w:type="dxa"/>
            <w:vAlign w:val="bottom"/>
            <w:shd w:val="clear" w:color="auto" w:fill="CCEEFF"/>
          </w:tcPr>
          <w:p>
            <w:pPr>
              <w:spacing w:after="0"/>
              <w:rPr>
                <w:sz w:val="12"/>
                <w:szCs w:val="12"/>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161,240</w:t>
            </w:r>
          </w:p>
        </w:tc>
        <w:tc>
          <w:tcPr>
            <w:tcW w:w="160" w:type="dxa"/>
            <w:vAlign w:val="bottom"/>
            <w:shd w:val="clear" w:color="auto" w:fill="CCEEFF"/>
          </w:tcPr>
          <w:p>
            <w:pPr>
              <w:spacing w:after="0"/>
              <w:rPr>
                <w:sz w:val="12"/>
                <w:szCs w:val="12"/>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(895)</w:t>
            </w:r>
          </w:p>
        </w:tc>
        <w:tc>
          <w:tcPr>
            <w:tcW w:w="160" w:type="dxa"/>
            <w:vAlign w:val="bottom"/>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9,517</w:t>
            </w:r>
          </w:p>
        </w:tc>
        <w:tc>
          <w:tcPr>
            <w:tcW w:w="160" w:type="dxa"/>
            <w:vAlign w:val="bottom"/>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253,143</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600" w:type="dxa"/>
            <w:vAlign w:val="bottom"/>
          </w:tcPr>
          <w:p>
            <w:pPr>
              <w:spacing w:after="0"/>
              <w:rPr>
                <w:sz w:val="20"/>
                <w:szCs w:val="20"/>
                <w:color w:val="auto"/>
              </w:rPr>
            </w:pPr>
            <w:r>
              <w:rPr>
                <w:rFonts w:ascii="Times New Roman" w:cs="Times New Roman" w:eastAsia="Times New Roman" w:hAnsi="Times New Roman"/>
                <w:sz w:val="13"/>
                <w:szCs w:val="13"/>
                <w:color w:val="auto"/>
              </w:rPr>
              <w:t>Net income</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— </w:t>
            </w:r>
          </w:p>
        </w:tc>
        <w:tc>
          <w:tcPr>
            <w:tcW w:w="46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— </w:t>
            </w:r>
          </w:p>
        </w:tc>
        <w:tc>
          <w:tcPr>
            <w:tcW w:w="120" w:type="dxa"/>
            <w:vAlign w:val="bottom"/>
          </w:tcPr>
          <w:p>
            <w:pPr>
              <w:spacing w:after="0"/>
              <w:rPr>
                <w:sz w:val="13"/>
                <w:szCs w:val="13"/>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— </w:t>
            </w: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— </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— </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23,760</w:t>
            </w: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3"/>
                <w:szCs w:val="13"/>
                <w:color w:val="auto"/>
              </w:rPr>
              <w:t>— </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415</w:t>
            </w:r>
          </w:p>
        </w:tc>
        <w:tc>
          <w:tcPr>
            <w:tcW w:w="160" w:type="dxa"/>
            <w:vAlign w:val="bottom"/>
          </w:tcPr>
          <w:p>
            <w:pPr>
              <w:spacing w:after="0"/>
              <w:rPr>
                <w:sz w:val="13"/>
                <w:szCs w:val="13"/>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24,175</w:t>
            </w:r>
          </w:p>
        </w:tc>
        <w:tc>
          <w:tcPr>
            <w:tcW w:w="0" w:type="dxa"/>
            <w:vAlign w:val="bottom"/>
          </w:tcPr>
          <w:p>
            <w:pPr>
              <w:spacing w:after="0"/>
              <w:rPr>
                <w:sz w:val="1"/>
                <w:szCs w:val="1"/>
                <w:color w:val="auto"/>
              </w:rPr>
            </w:pPr>
          </w:p>
        </w:tc>
      </w:tr>
      <w:tr>
        <w:trPr>
          <w:trHeight w:val="148"/>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comprehensive loss</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— </w:t>
            </w:r>
          </w:p>
        </w:tc>
        <w:tc>
          <w:tcPr>
            <w:tcW w:w="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— </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— </w:t>
            </w: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— </w:t>
            </w: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— </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— </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(908)</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(71)</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(979)</w:t>
            </w:r>
          </w:p>
        </w:tc>
        <w:tc>
          <w:tcPr>
            <w:tcW w:w="0" w:type="dxa"/>
            <w:vAlign w:val="bottom"/>
          </w:tcPr>
          <w:p>
            <w:pPr>
              <w:spacing w:after="0"/>
              <w:rPr>
                <w:sz w:val="1"/>
                <w:szCs w:val="1"/>
                <w:color w:val="auto"/>
              </w:rPr>
            </w:pPr>
          </w:p>
        </w:tc>
      </w:tr>
      <w:tr>
        <w:trPr>
          <w:trHeight w:val="148"/>
        </w:trPr>
        <w:tc>
          <w:tcPr>
            <w:tcW w:w="3600" w:type="dxa"/>
            <w:vAlign w:val="bottom"/>
          </w:tcPr>
          <w:p>
            <w:pPr>
              <w:spacing w:after="0"/>
              <w:rPr>
                <w:sz w:val="20"/>
                <w:szCs w:val="20"/>
                <w:color w:val="auto"/>
              </w:rPr>
            </w:pPr>
            <w:r>
              <w:rPr>
                <w:rFonts w:ascii="Times New Roman" w:cs="Times New Roman" w:eastAsia="Times New Roman" w:hAnsi="Times New Roman"/>
                <w:sz w:val="13"/>
                <w:szCs w:val="13"/>
                <w:color w:val="auto"/>
              </w:rPr>
              <w:t>Acquisition of noncontrolling interests</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— </w:t>
            </w:r>
          </w:p>
        </w:tc>
        <w:tc>
          <w:tcPr>
            <w:tcW w:w="46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— </w:t>
            </w:r>
          </w:p>
        </w:tc>
        <w:tc>
          <w:tcPr>
            <w:tcW w:w="120" w:type="dxa"/>
            <w:vAlign w:val="bottom"/>
          </w:tcPr>
          <w:p>
            <w:pPr>
              <w:spacing w:after="0"/>
              <w:rPr>
                <w:sz w:val="12"/>
                <w:szCs w:val="12"/>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— </w:t>
            </w: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— </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4</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— </w:t>
            </w: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3"/>
                <w:szCs w:val="13"/>
                <w:color w:val="auto"/>
              </w:rPr>
              <w:t>— </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(31)</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(27)</w:t>
            </w:r>
          </w:p>
        </w:tc>
        <w:tc>
          <w:tcPr>
            <w:tcW w:w="0" w:type="dxa"/>
            <w:vAlign w:val="bottom"/>
          </w:tcPr>
          <w:p>
            <w:pPr>
              <w:spacing w:after="0"/>
              <w:rPr>
                <w:sz w:val="1"/>
                <w:szCs w:val="1"/>
                <w:color w:val="auto"/>
              </w:rPr>
            </w:pPr>
          </w:p>
        </w:tc>
      </w:tr>
      <w:tr>
        <w:trPr>
          <w:trHeight w:val="136"/>
        </w:trPr>
        <w:tc>
          <w:tcPr>
            <w:tcW w:w="360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3"/>
                <w:szCs w:val="13"/>
                <w:color w:val="auto"/>
              </w:rPr>
              <w:t>Issuance of shares by the Company’s subsidiaries to</w:t>
            </w: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noncontrolling interests</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— </w:t>
            </w:r>
          </w:p>
        </w:tc>
        <w:tc>
          <w:tcPr>
            <w:tcW w:w="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— </w:t>
            </w: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— </w:t>
            </w: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— </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27</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— </w:t>
            </w:r>
          </w:p>
        </w:tc>
        <w:tc>
          <w:tcPr>
            <w:tcW w:w="12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3"/>
                <w:szCs w:val="13"/>
                <w:color w:val="auto"/>
              </w:rPr>
              <w:t>— </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39</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20"/>
                <w:szCs w:val="20"/>
                <w:color w:val="auto"/>
              </w:rPr>
            </w:pPr>
            <w:r>
              <w:rPr>
                <w:rFonts w:ascii="Times New Roman" w:cs="Times New Roman" w:eastAsia="Times New Roman" w:hAnsi="Times New Roman"/>
                <w:sz w:val="13"/>
                <w:szCs w:val="13"/>
                <w:color w:val="auto"/>
              </w:rPr>
              <w:t>Exercise of share-based awards</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35,317,136</w:t>
            </w:r>
          </w:p>
        </w:tc>
        <w:tc>
          <w:tcPr>
            <w:tcW w:w="46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— </w:t>
            </w: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(34,659,840)</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3,974</w:t>
            </w:r>
          </w:p>
        </w:tc>
        <w:tc>
          <w:tcPr>
            <w:tcW w:w="160" w:type="dxa"/>
            <w:vAlign w:val="bottom"/>
          </w:tcPr>
          <w:p>
            <w:pPr>
              <w:spacing w:after="0"/>
              <w:rPr>
                <w:sz w:val="12"/>
                <w:szCs w:val="12"/>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— </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(3,931)</w:t>
            </w: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3"/>
                <w:szCs w:val="13"/>
                <w:color w:val="auto"/>
              </w:rPr>
              <w:t>— </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— </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43</w:t>
            </w:r>
          </w:p>
        </w:tc>
        <w:tc>
          <w:tcPr>
            <w:tcW w:w="0" w:type="dxa"/>
            <w:vAlign w:val="bottom"/>
          </w:tcPr>
          <w:p>
            <w:pPr>
              <w:spacing w:after="0"/>
              <w:rPr>
                <w:sz w:val="1"/>
                <w:szCs w:val="1"/>
                <w:color w:val="auto"/>
              </w:rPr>
            </w:pPr>
          </w:p>
        </w:tc>
      </w:tr>
      <w:tr>
        <w:trPr>
          <w:trHeight w:val="148"/>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Share-based compensation</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— </w:t>
            </w:r>
          </w:p>
        </w:tc>
        <w:tc>
          <w:tcPr>
            <w:tcW w:w="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— </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— </w:t>
            </w: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— </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4,458</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— </w:t>
            </w:r>
          </w:p>
        </w:tc>
        <w:tc>
          <w:tcPr>
            <w:tcW w:w="12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3"/>
                <w:szCs w:val="13"/>
                <w:color w:val="auto"/>
              </w:rPr>
              <w:t>— </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303</w:t>
            </w: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4,761</w:t>
            </w:r>
          </w:p>
        </w:tc>
        <w:tc>
          <w:tcPr>
            <w:tcW w:w="0" w:type="dxa"/>
            <w:vAlign w:val="bottom"/>
          </w:tcPr>
          <w:p>
            <w:pPr>
              <w:spacing w:after="0"/>
              <w:rPr>
                <w:sz w:val="1"/>
                <w:szCs w:val="1"/>
                <w:color w:val="auto"/>
              </w:rPr>
            </w:pPr>
          </w:p>
        </w:tc>
      </w:tr>
      <w:tr>
        <w:trPr>
          <w:trHeight w:val="148"/>
        </w:trPr>
        <w:tc>
          <w:tcPr>
            <w:tcW w:w="3600" w:type="dxa"/>
            <w:vAlign w:val="bottom"/>
          </w:tcPr>
          <w:p>
            <w:pPr>
              <w:spacing w:after="0"/>
              <w:rPr>
                <w:sz w:val="20"/>
                <w:szCs w:val="20"/>
                <w:color w:val="auto"/>
              </w:rPr>
            </w:pPr>
            <w:r>
              <w:rPr>
                <w:rFonts w:ascii="Times New Roman" w:cs="Times New Roman" w:eastAsia="Times New Roman" w:hAnsi="Times New Roman"/>
                <w:sz w:val="13"/>
                <w:szCs w:val="13"/>
                <w:color w:val="auto"/>
              </w:rPr>
              <w:t>Dividends paid and payable by the Company’s subsidiaries</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— </w:t>
            </w:r>
          </w:p>
        </w:tc>
        <w:tc>
          <w:tcPr>
            <w:tcW w:w="46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— </w:t>
            </w:r>
          </w:p>
        </w:tc>
        <w:tc>
          <w:tcPr>
            <w:tcW w:w="120" w:type="dxa"/>
            <w:vAlign w:val="bottom"/>
          </w:tcPr>
          <w:p>
            <w:pPr>
              <w:spacing w:after="0"/>
              <w:rPr>
                <w:sz w:val="12"/>
                <w:szCs w:val="12"/>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— </w:t>
            </w: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— </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— </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— </w:t>
            </w: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3"/>
                <w:szCs w:val="13"/>
                <w:color w:val="auto"/>
              </w:rPr>
              <w:t>— </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(23)</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(23)</w:t>
            </w:r>
          </w:p>
        </w:tc>
        <w:tc>
          <w:tcPr>
            <w:tcW w:w="0" w:type="dxa"/>
            <w:vAlign w:val="bottom"/>
          </w:tcPr>
          <w:p>
            <w:pPr>
              <w:spacing w:after="0"/>
              <w:rPr>
                <w:sz w:val="1"/>
                <w:szCs w:val="1"/>
                <w:color w:val="auto"/>
              </w:rPr>
            </w:pPr>
          </w:p>
        </w:tc>
      </w:tr>
      <w:tr>
        <w:trPr>
          <w:trHeight w:val="148"/>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Accretion of redeemable noncontrolling interests</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— </w:t>
            </w:r>
          </w:p>
        </w:tc>
        <w:tc>
          <w:tcPr>
            <w:tcW w:w="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— </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— </w:t>
            </w: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— </w:t>
            </w: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— </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(588)</w:t>
            </w:r>
          </w:p>
        </w:tc>
        <w:tc>
          <w:tcPr>
            <w:tcW w:w="12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3"/>
                <w:szCs w:val="13"/>
                <w:color w:val="auto"/>
              </w:rPr>
              <w:t>— </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— </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(588)</w:t>
            </w:r>
          </w:p>
        </w:tc>
        <w:tc>
          <w:tcPr>
            <w:tcW w:w="0" w:type="dxa"/>
            <w:vAlign w:val="bottom"/>
          </w:tcPr>
          <w:p>
            <w:pPr>
              <w:spacing w:after="0"/>
              <w:rPr>
                <w:sz w:val="1"/>
                <w:szCs w:val="1"/>
                <w:color w:val="auto"/>
              </w:rPr>
            </w:pPr>
          </w:p>
        </w:tc>
      </w:tr>
      <w:tr>
        <w:trPr>
          <w:trHeight w:val="148"/>
        </w:trPr>
        <w:tc>
          <w:tcPr>
            <w:tcW w:w="3600" w:type="dxa"/>
            <w:vAlign w:val="bottom"/>
          </w:tcPr>
          <w:p>
            <w:pPr>
              <w:spacing w:after="0"/>
              <w:rPr>
                <w:sz w:val="20"/>
                <w:szCs w:val="20"/>
                <w:color w:val="auto"/>
              </w:rPr>
            </w:pPr>
            <w:r>
              <w:rPr>
                <w:rFonts w:ascii="Times New Roman" w:cs="Times New Roman" w:eastAsia="Times New Roman" w:hAnsi="Times New Roman"/>
                <w:sz w:val="13"/>
                <w:szCs w:val="13"/>
                <w:color w:val="auto"/>
              </w:rPr>
              <w:t>Repurchase of ordinary shares</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(76,933,844)</w:t>
            </w:r>
          </w:p>
        </w:tc>
        <w:tc>
          <w:tcPr>
            <w:tcW w:w="46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— </w:t>
            </w: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76,933,844</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(6,392)</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— </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— </w:t>
            </w: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3"/>
                <w:szCs w:val="13"/>
                <w:color w:val="auto"/>
              </w:rPr>
              <w:t>— </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— </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(6,392)</w:t>
            </w:r>
          </w:p>
        </w:tc>
        <w:tc>
          <w:tcPr>
            <w:tcW w:w="0" w:type="dxa"/>
            <w:vAlign w:val="bottom"/>
          </w:tcPr>
          <w:p>
            <w:pPr>
              <w:spacing w:after="0"/>
              <w:rPr>
                <w:sz w:val="1"/>
                <w:szCs w:val="1"/>
                <w:color w:val="auto"/>
              </w:rPr>
            </w:pPr>
          </w:p>
        </w:tc>
      </w:tr>
      <w:tr>
        <w:trPr>
          <w:trHeight w:val="149"/>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Others</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— </w:t>
            </w:r>
          </w:p>
        </w:tc>
        <w:tc>
          <w:tcPr>
            <w:tcW w:w="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— </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— </w:t>
            </w: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— </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(408)</w:t>
            </w:r>
          </w:p>
        </w:tc>
        <w:tc>
          <w:tcPr>
            <w:tcW w:w="12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3"/>
                <w:szCs w:val="13"/>
                <w:color w:val="auto"/>
              </w:rPr>
              <w:t>— </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— </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(410)</w:t>
            </w:r>
          </w:p>
        </w:tc>
        <w:tc>
          <w:tcPr>
            <w:tcW w:w="0" w:type="dxa"/>
            <w:vAlign w:val="bottom"/>
          </w:tcPr>
          <w:p>
            <w:pPr>
              <w:spacing w:after="0"/>
              <w:rPr>
                <w:sz w:val="1"/>
                <w:szCs w:val="1"/>
                <w:color w:val="auto"/>
              </w:rPr>
            </w:pPr>
          </w:p>
        </w:tc>
      </w:tr>
      <w:tr>
        <w:trPr>
          <w:trHeight w:val="163"/>
        </w:trPr>
        <w:tc>
          <w:tcPr>
            <w:tcW w:w="36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Balances at December 31, 2024</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2,763,574,692</w:t>
            </w:r>
          </w:p>
        </w:tc>
        <w:tc>
          <w:tcPr>
            <w:tcW w:w="160" w:type="dxa"/>
            <w:vAlign w:val="bottom"/>
            <w:tcBorders>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3"/>
                <w:szCs w:val="13"/>
                <w:b w:val="1"/>
                <w:bCs w:val="1"/>
                <w:color w:val="auto"/>
              </w:rPr>
              <w:t>— </w:t>
            </w:r>
          </w:p>
        </w:tc>
        <w:tc>
          <w:tcPr>
            <w:tcW w:w="120" w:type="dxa"/>
            <w:vAlign w:val="bottom"/>
          </w:tcPr>
          <w:p>
            <w:pPr>
              <w:spacing w:after="0"/>
              <w:rPr>
                <w:sz w:val="14"/>
                <w:szCs w:val="1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83,456,676</w:t>
            </w:r>
          </w:p>
        </w:tc>
        <w:tc>
          <w:tcPr>
            <w:tcW w:w="160" w:type="dxa"/>
            <w:vAlign w:val="bottom"/>
            <w:tcBorders>
              <w:bottom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(6,236)</w:t>
            </w:r>
          </w:p>
        </w:tc>
        <w:tc>
          <w:tcPr>
            <w:tcW w:w="160" w:type="dxa"/>
            <w:vAlign w:val="bottom"/>
            <w:tcBorders>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91,586</w:t>
            </w:r>
          </w:p>
        </w:tc>
        <w:tc>
          <w:tcPr>
            <w:tcW w:w="160" w:type="dxa"/>
            <w:vAlign w:val="bottom"/>
            <w:tcBorders>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180,073</w:t>
            </w:r>
          </w:p>
        </w:tc>
        <w:tc>
          <w:tcPr>
            <w:tcW w:w="160" w:type="dxa"/>
            <w:vAlign w:val="bottom"/>
            <w:tcBorders>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(1,803)</w:t>
            </w:r>
          </w:p>
        </w:tc>
        <w:tc>
          <w:tcPr>
            <w:tcW w:w="160" w:type="dxa"/>
            <w:vAlign w:val="bottom"/>
            <w:tcBorders>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10,122</w:t>
            </w:r>
          </w:p>
        </w:tc>
        <w:tc>
          <w:tcPr>
            <w:tcW w:w="160" w:type="dxa"/>
            <w:vAlign w:val="bottom"/>
            <w:tcBorders>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273,742</w:t>
            </w:r>
          </w:p>
        </w:tc>
        <w:tc>
          <w:tcPr>
            <w:tcW w:w="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income (loss)</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— </w:t>
            </w:r>
          </w:p>
        </w:tc>
        <w:tc>
          <w:tcPr>
            <w:tcW w:w="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— </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— </w:t>
            </w: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— </w:t>
            </w: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— </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5,589</w:t>
            </w:r>
          </w:p>
        </w:tc>
        <w:tc>
          <w:tcPr>
            <w:tcW w:w="12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3"/>
                <w:szCs w:val="13"/>
                <w:color w:val="auto"/>
              </w:rPr>
              <w:t>— </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(132)</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5,457</w:t>
            </w:r>
          </w:p>
        </w:tc>
        <w:tc>
          <w:tcPr>
            <w:tcW w:w="0" w:type="dxa"/>
            <w:vAlign w:val="bottom"/>
          </w:tcPr>
          <w:p>
            <w:pPr>
              <w:spacing w:after="0"/>
              <w:rPr>
                <w:sz w:val="1"/>
                <w:szCs w:val="1"/>
                <w:color w:val="auto"/>
              </w:rPr>
            </w:pPr>
          </w:p>
        </w:tc>
      </w:tr>
      <w:tr>
        <w:trPr>
          <w:trHeight w:val="148"/>
        </w:trPr>
        <w:tc>
          <w:tcPr>
            <w:tcW w:w="3600" w:type="dxa"/>
            <w:vAlign w:val="bottom"/>
          </w:tcPr>
          <w:p>
            <w:pPr>
              <w:spacing w:after="0"/>
              <w:rPr>
                <w:sz w:val="20"/>
                <w:szCs w:val="20"/>
                <w:color w:val="auto"/>
              </w:rPr>
            </w:pPr>
            <w:r>
              <w:rPr>
                <w:rFonts w:ascii="Times New Roman" w:cs="Times New Roman" w:eastAsia="Times New Roman" w:hAnsi="Times New Roman"/>
                <w:sz w:val="13"/>
                <w:szCs w:val="13"/>
                <w:color w:val="auto"/>
              </w:rPr>
              <w:t>Other comprehensive income (loss)</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— </w:t>
            </w:r>
          </w:p>
        </w:tc>
        <w:tc>
          <w:tcPr>
            <w:tcW w:w="46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— </w:t>
            </w:r>
          </w:p>
        </w:tc>
        <w:tc>
          <w:tcPr>
            <w:tcW w:w="120" w:type="dxa"/>
            <w:vAlign w:val="bottom"/>
          </w:tcPr>
          <w:p>
            <w:pPr>
              <w:spacing w:after="0"/>
              <w:rPr>
                <w:sz w:val="12"/>
                <w:szCs w:val="12"/>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— </w:t>
            </w: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— </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— </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— </w:t>
            </w:r>
          </w:p>
        </w:tc>
        <w:tc>
          <w:tcPr>
            <w:tcW w:w="1040" w:type="dxa"/>
            <w:vAlign w:val="bottom"/>
          </w:tcPr>
          <w:p>
            <w:pPr>
              <w:ind w:left="840"/>
              <w:spacing w:after="0"/>
              <w:rPr>
                <w:sz w:val="20"/>
                <w:szCs w:val="20"/>
                <w:color w:val="auto"/>
              </w:rPr>
            </w:pPr>
            <w:r>
              <w:rPr>
                <w:rFonts w:ascii="Times New Roman" w:cs="Times New Roman" w:eastAsia="Times New Roman" w:hAnsi="Times New Roman"/>
                <w:sz w:val="13"/>
                <w:szCs w:val="13"/>
                <w:color w:val="auto"/>
                <w:w w:val="92"/>
              </w:rPr>
              <w:t>153</w:t>
            </w:r>
          </w:p>
        </w:tc>
        <w:tc>
          <w:tcPr>
            <w:tcW w:w="160" w:type="dxa"/>
            <w:vAlign w:val="bottom"/>
          </w:tcPr>
          <w:p>
            <w:pPr>
              <w:spacing w:after="0"/>
              <w:rPr>
                <w:sz w:val="12"/>
                <w:szCs w:val="12"/>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(136)</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17</w:t>
            </w:r>
          </w:p>
        </w:tc>
        <w:tc>
          <w:tcPr>
            <w:tcW w:w="0" w:type="dxa"/>
            <w:vAlign w:val="bottom"/>
          </w:tcPr>
          <w:p>
            <w:pPr>
              <w:spacing w:after="0"/>
              <w:rPr>
                <w:sz w:val="1"/>
                <w:szCs w:val="1"/>
                <w:color w:val="auto"/>
              </w:rPr>
            </w:pPr>
          </w:p>
        </w:tc>
      </w:tr>
      <w:tr>
        <w:trPr>
          <w:trHeight w:val="148"/>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Exercise of share-based awards</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30,864,432</w:t>
            </w:r>
          </w:p>
        </w:tc>
        <w:tc>
          <w:tcPr>
            <w:tcW w:w="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— </w:t>
            </w:r>
          </w:p>
        </w:tc>
        <w:tc>
          <w:tcPr>
            <w:tcW w:w="9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(29,633,816)</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2,403</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25</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(2,308)</w:t>
            </w:r>
          </w:p>
        </w:tc>
        <w:tc>
          <w:tcPr>
            <w:tcW w:w="12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3"/>
                <w:szCs w:val="13"/>
                <w:color w:val="auto"/>
              </w:rPr>
              <w:t>— </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— </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120</w:t>
            </w:r>
          </w:p>
        </w:tc>
        <w:tc>
          <w:tcPr>
            <w:tcW w:w="0" w:type="dxa"/>
            <w:vAlign w:val="bottom"/>
          </w:tcPr>
          <w:p>
            <w:pPr>
              <w:spacing w:after="0"/>
              <w:rPr>
                <w:sz w:val="1"/>
                <w:szCs w:val="1"/>
                <w:color w:val="auto"/>
              </w:rPr>
            </w:pPr>
          </w:p>
        </w:tc>
      </w:tr>
      <w:tr>
        <w:trPr>
          <w:trHeight w:val="162"/>
        </w:trPr>
        <w:tc>
          <w:tcPr>
            <w:tcW w:w="3600" w:type="dxa"/>
            <w:vAlign w:val="bottom"/>
          </w:tcPr>
          <w:p>
            <w:pPr>
              <w:spacing w:after="0"/>
              <w:rPr>
                <w:sz w:val="20"/>
                <w:szCs w:val="20"/>
                <w:color w:val="auto"/>
              </w:rPr>
            </w:pPr>
            <w:r>
              <w:rPr>
                <w:rFonts w:ascii="Times New Roman" w:cs="Times New Roman" w:eastAsia="Times New Roman" w:hAnsi="Times New Roman"/>
                <w:sz w:val="13"/>
                <w:szCs w:val="13"/>
                <w:color w:val="auto"/>
              </w:rPr>
              <w:t>Share-based compensation</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— </w:t>
            </w:r>
          </w:p>
        </w:tc>
        <w:tc>
          <w:tcPr>
            <w:tcW w:w="46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— </w:t>
            </w:r>
          </w:p>
        </w:tc>
        <w:tc>
          <w:tcPr>
            <w:tcW w:w="120" w:type="dxa"/>
            <w:vAlign w:val="bottom"/>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— </w:t>
            </w: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— </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3,578</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— </w:t>
            </w: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3"/>
                <w:szCs w:val="13"/>
                <w:color w:val="auto"/>
              </w:rPr>
              <w:t>— </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226</w:t>
            </w:r>
          </w:p>
        </w:tc>
        <w:tc>
          <w:tcPr>
            <w:tcW w:w="160" w:type="dxa"/>
            <w:vAlign w:val="bottom"/>
          </w:tcPr>
          <w:p>
            <w:pPr>
              <w:spacing w:after="0"/>
              <w:rPr>
                <w:sz w:val="14"/>
                <w:szCs w:val="14"/>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3,804</w:t>
            </w:r>
          </w:p>
        </w:tc>
        <w:tc>
          <w:tcPr>
            <w:tcW w:w="0" w:type="dxa"/>
            <w:vAlign w:val="bottom"/>
          </w:tcPr>
          <w:p>
            <w:pPr>
              <w:spacing w:after="0"/>
              <w:rPr>
                <w:sz w:val="1"/>
                <w:szCs w:val="1"/>
                <w:color w:val="auto"/>
              </w:rPr>
            </w:pPr>
          </w:p>
        </w:tc>
      </w:tr>
      <w:tr>
        <w:trPr>
          <w:trHeight w:val="148"/>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Dividends paid and payable by the Company’s subsidiaries</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— </w:t>
            </w:r>
          </w:p>
        </w:tc>
        <w:tc>
          <w:tcPr>
            <w:tcW w:w="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— </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— </w:t>
            </w: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— </w:t>
            </w: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— </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— </w:t>
            </w:r>
          </w:p>
        </w:tc>
        <w:tc>
          <w:tcPr>
            <w:tcW w:w="12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3"/>
                <w:szCs w:val="13"/>
                <w:color w:val="auto"/>
              </w:rPr>
              <w:t>— </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(22)</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(22)</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20"/>
                <w:szCs w:val="20"/>
                <w:color w:val="auto"/>
              </w:rPr>
            </w:pPr>
            <w:r>
              <w:rPr>
                <w:rFonts w:ascii="Times New Roman" w:cs="Times New Roman" w:eastAsia="Times New Roman" w:hAnsi="Times New Roman"/>
                <w:sz w:val="13"/>
                <w:szCs w:val="13"/>
                <w:color w:val="auto"/>
              </w:rPr>
              <w:t>Accretion of redeemable noncontrolling interests</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— </w:t>
            </w:r>
          </w:p>
        </w:tc>
        <w:tc>
          <w:tcPr>
            <w:tcW w:w="46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— </w:t>
            </w:r>
          </w:p>
        </w:tc>
        <w:tc>
          <w:tcPr>
            <w:tcW w:w="120" w:type="dxa"/>
            <w:vAlign w:val="bottom"/>
          </w:tcPr>
          <w:p>
            <w:pPr>
              <w:spacing w:after="0"/>
              <w:rPr>
                <w:sz w:val="12"/>
                <w:szCs w:val="12"/>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— </w:t>
            </w: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— </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— </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(926)</w:t>
            </w: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3"/>
                <w:szCs w:val="13"/>
                <w:color w:val="auto"/>
              </w:rPr>
              <w:t>— </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— </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(926)</w:t>
            </w:r>
          </w:p>
        </w:tc>
        <w:tc>
          <w:tcPr>
            <w:tcW w:w="0" w:type="dxa"/>
            <w:vAlign w:val="bottom"/>
          </w:tcPr>
          <w:p>
            <w:pPr>
              <w:spacing w:after="0"/>
              <w:rPr>
                <w:sz w:val="1"/>
                <w:szCs w:val="1"/>
                <w:color w:val="auto"/>
              </w:rPr>
            </w:pPr>
          </w:p>
        </w:tc>
      </w:tr>
      <w:tr>
        <w:trPr>
          <w:trHeight w:val="148"/>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Repurchase and retirement of ordinary shares</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(72,425,044)</w:t>
            </w:r>
          </w:p>
        </w:tc>
        <w:tc>
          <w:tcPr>
            <w:tcW w:w="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— </w:t>
            </w:r>
          </w:p>
        </w:tc>
        <w:tc>
          <w:tcPr>
            <w:tcW w:w="9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17,486,884</w:t>
            </w: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(860)</w:t>
            </w: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— </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(4,734)</w:t>
            </w:r>
          </w:p>
        </w:tc>
        <w:tc>
          <w:tcPr>
            <w:tcW w:w="12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3"/>
                <w:szCs w:val="13"/>
                <w:color w:val="auto"/>
              </w:rPr>
              <w:t>— </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— </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(5,594)</w:t>
            </w:r>
          </w:p>
        </w:tc>
        <w:tc>
          <w:tcPr>
            <w:tcW w:w="0" w:type="dxa"/>
            <w:vAlign w:val="bottom"/>
          </w:tcPr>
          <w:p>
            <w:pPr>
              <w:spacing w:after="0"/>
              <w:rPr>
                <w:sz w:val="1"/>
                <w:szCs w:val="1"/>
                <w:color w:val="auto"/>
              </w:rPr>
            </w:pPr>
          </w:p>
        </w:tc>
      </w:tr>
      <w:tr>
        <w:trPr>
          <w:trHeight w:val="155"/>
        </w:trPr>
        <w:tc>
          <w:tcPr>
            <w:tcW w:w="3600" w:type="dxa"/>
            <w:vAlign w:val="bottom"/>
          </w:tcPr>
          <w:p>
            <w:pPr>
              <w:spacing w:after="0"/>
              <w:rPr>
                <w:sz w:val="20"/>
                <w:szCs w:val="20"/>
                <w:color w:val="auto"/>
              </w:rPr>
            </w:pPr>
            <w:r>
              <w:rPr>
                <w:rFonts w:ascii="Times New Roman" w:cs="Times New Roman" w:eastAsia="Times New Roman" w:hAnsi="Times New Roman"/>
                <w:sz w:val="13"/>
                <w:szCs w:val="13"/>
                <w:color w:val="auto"/>
              </w:rPr>
              <w:t>Others</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— </w:t>
            </w:r>
          </w:p>
        </w:tc>
        <w:tc>
          <w:tcPr>
            <w:tcW w:w="46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— </w:t>
            </w:r>
          </w:p>
        </w:tc>
        <w:tc>
          <w:tcPr>
            <w:tcW w:w="120" w:type="dxa"/>
            <w:vAlign w:val="bottom"/>
          </w:tcPr>
          <w:p>
            <w:pPr>
              <w:spacing w:after="0"/>
              <w:rPr>
                <w:sz w:val="13"/>
                <w:szCs w:val="13"/>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— </w:t>
            </w: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— </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(210)</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— </w:t>
            </w: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3"/>
                <w:szCs w:val="13"/>
                <w:color w:val="auto"/>
              </w:rPr>
              <w:t>— </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172</w:t>
            </w:r>
          </w:p>
        </w:tc>
        <w:tc>
          <w:tcPr>
            <w:tcW w:w="160" w:type="dxa"/>
            <w:vAlign w:val="bottom"/>
          </w:tcPr>
          <w:p>
            <w:pPr>
              <w:spacing w:after="0"/>
              <w:rPr>
                <w:sz w:val="13"/>
                <w:szCs w:val="13"/>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(38)</w:t>
            </w:r>
          </w:p>
        </w:tc>
        <w:tc>
          <w:tcPr>
            <w:tcW w:w="0" w:type="dxa"/>
            <w:vAlign w:val="bottom"/>
          </w:tcPr>
          <w:p>
            <w:pPr>
              <w:spacing w:after="0"/>
              <w:rPr>
                <w:sz w:val="1"/>
                <w:szCs w:val="1"/>
                <w:color w:val="auto"/>
              </w:rPr>
            </w:pPr>
          </w:p>
        </w:tc>
      </w:tr>
      <w:tr>
        <w:trPr>
          <w:trHeight w:val="149"/>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Balances at December 31, 2025</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2,722,014,080</w:t>
            </w:r>
          </w:p>
        </w:tc>
        <w:tc>
          <w:tcPr>
            <w:tcW w:w="160" w:type="dxa"/>
            <w:vAlign w:val="bottom"/>
            <w:shd w:val="clear" w:color="auto" w:fill="CCEEFF"/>
          </w:tcPr>
          <w:p>
            <w:pPr>
              <w:spacing w:after="0"/>
              <w:rPr>
                <w:sz w:val="12"/>
                <w:szCs w:val="12"/>
                <w:color w:val="auto"/>
              </w:rPr>
            </w:pPr>
          </w:p>
        </w:tc>
        <w:tc>
          <w:tcPr>
            <w:tcW w:w="460" w:type="dxa"/>
            <w:vAlign w:val="bottom"/>
            <w:tcBorders>
              <w:top w:val="single" w:sz="8" w:color="auto"/>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3"/>
                <w:szCs w:val="13"/>
                <w:b w:val="1"/>
                <w:bCs w:val="1"/>
                <w:color w:val="auto"/>
              </w:rPr>
              <w:t>— </w:t>
            </w:r>
          </w:p>
        </w:tc>
        <w:tc>
          <w:tcPr>
            <w:tcW w:w="120" w:type="dxa"/>
            <w:vAlign w:val="bottom"/>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71,309,744</w:t>
            </w:r>
          </w:p>
        </w:tc>
        <w:tc>
          <w:tcPr>
            <w:tcW w:w="160" w:type="dxa"/>
            <w:vAlign w:val="bottom"/>
            <w:shd w:val="clear" w:color="auto" w:fill="CCEEFF"/>
          </w:tcPr>
          <w:p>
            <w:pPr>
              <w:spacing w:after="0"/>
              <w:rPr>
                <w:sz w:val="12"/>
                <w:szCs w:val="12"/>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(4,693)</w:t>
            </w:r>
          </w:p>
        </w:tc>
        <w:tc>
          <w:tcPr>
            <w:tcW w:w="160" w:type="dxa"/>
            <w:vAlign w:val="bottom"/>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94,979</w:t>
            </w:r>
          </w:p>
        </w:tc>
        <w:tc>
          <w:tcPr>
            <w:tcW w:w="160" w:type="dxa"/>
            <w:vAlign w:val="bottom"/>
            <w:shd w:val="clear" w:color="auto" w:fill="CCEEFF"/>
          </w:tcPr>
          <w:p>
            <w:pPr>
              <w:spacing w:after="0"/>
              <w:rPr>
                <w:sz w:val="12"/>
                <w:szCs w:val="12"/>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177,694</w:t>
            </w:r>
          </w:p>
        </w:tc>
        <w:tc>
          <w:tcPr>
            <w:tcW w:w="160" w:type="dxa"/>
            <w:vAlign w:val="bottom"/>
            <w:shd w:val="clear" w:color="auto" w:fill="CCEEFF"/>
          </w:tcPr>
          <w:p>
            <w:pPr>
              <w:spacing w:after="0"/>
              <w:rPr>
                <w:sz w:val="12"/>
                <w:szCs w:val="12"/>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(1,650)</w:t>
            </w:r>
          </w:p>
        </w:tc>
        <w:tc>
          <w:tcPr>
            <w:tcW w:w="160" w:type="dxa"/>
            <w:vAlign w:val="bottom"/>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10,230</w:t>
            </w:r>
          </w:p>
        </w:tc>
        <w:tc>
          <w:tcPr>
            <w:tcW w:w="160" w:type="dxa"/>
            <w:vAlign w:val="bottom"/>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276,560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60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Balances at December 31, 2025, in US$</w:t>
            </w: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600" w:type="dxa"/>
            <w:vAlign w:val="bottom"/>
            <w:vMerge w:val="continue"/>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Borders>
              <w:top w:val="single" w:sz="8" w:color="auto"/>
              <w:bottom w:val="single" w:sz="8" w:color="auto"/>
            </w:tcBorders>
          </w:tcPr>
          <w:p>
            <w:pPr>
              <w:ind w:left="240"/>
              <w:spacing w:after="0" w:line="143" w:lineRule="exact"/>
              <w:rPr>
                <w:sz w:val="20"/>
                <w:szCs w:val="20"/>
                <w:color w:val="auto"/>
              </w:rPr>
            </w:pPr>
            <w:r>
              <w:rPr>
                <w:rFonts w:ascii="Times New Roman" w:cs="Times New Roman" w:eastAsia="Times New Roman" w:hAnsi="Times New Roman"/>
                <w:sz w:val="13"/>
                <w:szCs w:val="13"/>
                <w:b w:val="1"/>
                <w:bCs w:val="1"/>
                <w:color w:val="auto"/>
              </w:rPr>
              <w:t>— </w:t>
            </w:r>
          </w:p>
        </w:tc>
        <w:tc>
          <w:tcPr>
            <w:tcW w:w="12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(671)</w:t>
            </w:r>
          </w:p>
        </w:tc>
        <w:tc>
          <w:tcPr>
            <w:tcW w:w="16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13,582</w:t>
            </w:r>
          </w:p>
        </w:tc>
        <w:tc>
          <w:tcPr>
            <w:tcW w:w="16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25,410</w:t>
            </w:r>
          </w:p>
        </w:tc>
        <w:tc>
          <w:tcPr>
            <w:tcW w:w="160" w:type="dxa"/>
            <w:vAlign w:val="bottom"/>
          </w:tcPr>
          <w:p>
            <w:pPr>
              <w:spacing w:after="0"/>
              <w:rPr>
                <w:sz w:val="12"/>
                <w:szCs w:val="12"/>
                <w:color w:val="auto"/>
              </w:rPr>
            </w:pPr>
          </w:p>
        </w:tc>
        <w:tc>
          <w:tcPr>
            <w:tcW w:w="104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(236)</w:t>
            </w:r>
          </w:p>
        </w:tc>
        <w:tc>
          <w:tcPr>
            <w:tcW w:w="16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1,463</w:t>
            </w:r>
          </w:p>
        </w:tc>
        <w:tc>
          <w:tcPr>
            <w:tcW w:w="16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39,548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140"/>
          </w:cols>
          <w:pgMar w:left="320" w:top="482" w:right="439"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40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BAIDU, INC.</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THE YEARS ENDED DECEMBER 31, 2023, 2024 AND 2025</w:t>
      </w:r>
    </w:p>
    <w:p>
      <w:pPr>
        <w:spacing w:after="0" w:line="230" w:lineRule="exact"/>
        <w:rPr>
          <w:sz w:val="20"/>
          <w:szCs w:val="20"/>
          <w:color w:val="auto"/>
        </w:rPr>
      </w:pPr>
    </w:p>
    <w:p>
      <w:pPr>
        <w:ind w:left="540" w:hanging="424"/>
        <w:spacing w:after="0"/>
        <w:tabs>
          <w:tab w:leader="none" w:pos="540"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BASIS OF PRESENTATION</w:t>
      </w:r>
    </w:p>
    <w:p>
      <w:pPr>
        <w:spacing w:after="0" w:line="121"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Baidu, Inc. (“Baidu” or the “Company”) was incorporated under the laws of the Cayman Islands on January 18, 2000. The Company, its subsidiaries, variable interest entities (“VIEs”) and subsidiaries of the VIEs are hereinafter collectively referred to as the “Group”.</w:t>
      </w:r>
    </w:p>
    <w:p>
      <w:pPr>
        <w:spacing w:after="0" w:line="162"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As of December 31, 2025, the Company has major subsidiaries incorporated in countries and jurisdictions including Chinese mainland, Hong Kong, Cayman Islands and British Virgin Islands (“BVI”). As of December 31, 2025, the Company also effectively controls a number of VIEs through the Primary Beneficiaries, as defined below, which include:</w:t>
      </w:r>
    </w:p>
    <w:p>
      <w:pPr>
        <w:spacing w:after="0" w:line="81" w:lineRule="exact"/>
        <w:rPr>
          <w:sz w:val="20"/>
          <w:szCs w:val="20"/>
          <w:color w:val="auto"/>
        </w:rPr>
      </w:pPr>
    </w:p>
    <w:p>
      <w:pPr>
        <w:ind w:left="540" w:hanging="424"/>
        <w:spacing w:after="0"/>
        <w:tabs>
          <w:tab w:leader="none" w:pos="54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Beijing Baidu Netcom Science Technology Co., Ltd. (“Baidu Netcom”), controlled by the Company;</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Beijing Perusal Technology Co., Ltd. (“Beijing Perusal”), controlled by the Company;</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Beijing iQIYI Science &amp; Technology Co., Ltd. (“Beijing iQIYI”), and other VIEs controlled by iQIYI, Inc. (“iQIYI VIEs”); and</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VIEs controlled by the Company or the Company’s subsidiaries.</w:t>
      </w:r>
    </w:p>
    <w:p>
      <w:pPr>
        <w:spacing w:after="0" w:line="225"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The Group’s operations consist of Baidu General Business (formerly known as Baidu Core, and was redefined as Baidu General Business) and iQIYI. The Group’s principal geographic market is in Chinese mainland. The Company does not conduct any substantive operations of its own, but conducts its primary business operations through its subsidiaries incorporated in Chinese mainland and contractual arrangements with the VIEs based in Chinese mainland.</w:t>
      </w:r>
    </w:p>
    <w:p>
      <w:pPr>
        <w:spacing w:after="0" w:line="180" w:lineRule="exact"/>
        <w:rPr>
          <w:sz w:val="20"/>
          <w:szCs w:val="20"/>
          <w:color w:val="auto"/>
        </w:rPr>
      </w:pPr>
    </w:p>
    <w:p>
      <w:pPr>
        <w:jc w:val="both"/>
        <w:ind w:left="120"/>
        <w:spacing w:after="0" w:line="252" w:lineRule="auto"/>
        <w:rPr>
          <w:sz w:val="20"/>
          <w:szCs w:val="20"/>
          <w:color w:val="auto"/>
        </w:rPr>
      </w:pPr>
      <w:r>
        <w:rPr>
          <w:rFonts w:ascii="Times New Roman" w:cs="Times New Roman" w:eastAsia="Times New Roman" w:hAnsi="Times New Roman"/>
          <w:sz w:val="18"/>
          <w:szCs w:val="18"/>
          <w:color w:val="auto"/>
        </w:rPr>
        <w:t>The Group’s internet content services, value-added telecommunication-based services, internet map services, online audio and video services, and mobile application distribution businesses in Chinese mainland have been conducted through the applicable VIEs in order to comply with the laws and regulations of Chinese mainland, which restrict and impose conditions on foreign direct investment in companies involved in the provision of such businesses. To comply with these foreign ownership restrictions, the Group operates its websites and primarily provides services subject to such restriction in Chinese mainland through the VIEs, the Chinese mainland legal entities that were established or whose equity shares were held by the individuals authorized by the Group. The paid-in capital of the VIEs was mainly funded by the Company or its subsidiaries through loans extended to the authorized individuals who were the shareholders of the VIEs. The Company or its subsidiaries has entered into proxy agreements/shareholder voting rights trust agreements/powers of attorney and exclusive equity purchase and transfer option agreement or exclusive purchase option agreement with the VIEs and nominee shareholders of the VIEs, which give the Primary Beneficiaries the power to direct the activities that most significantly affect the economic performance of the VIEs and to acquire the equity interests in the VIEs when permitted by the laws of Chinese mainland, respectively. Certain exclusive agreements have been entered into with the VIEs through the Primary Beneficiaries or their wholly-owned subsidiaries in Chinese mainland, which obligate the Primary Beneficiaries to absorb losses of the VIEs’ that could potentially be significant to the VIEs or entitle the Primary Beneficiaries to receive economic benefits from the VIEs that could potentially be significant to the VIEs. In addition, the Group has entered into certain agreements with the shareholders of the VIEs through the Primary Beneficiaries or their wholly-owned subsidiaries, including loan agreements for the paid-in capital of the VIEs and equity pledge agreements for the equity interests in the VIEs held by the shareholders of the VIEs.</w:t>
      </w:r>
    </w:p>
    <w:p>
      <w:pPr>
        <w:spacing w:after="0" w:line="196" w:lineRule="exact"/>
        <w:rPr>
          <w:sz w:val="20"/>
          <w:szCs w:val="20"/>
          <w:color w:val="auto"/>
        </w:rPr>
      </w:pPr>
    </w:p>
    <w:p>
      <w:pPr>
        <w:jc w:val="both"/>
        <w:ind w:left="120"/>
        <w:spacing w:after="0" w:line="255" w:lineRule="auto"/>
        <w:rPr>
          <w:sz w:val="20"/>
          <w:szCs w:val="20"/>
          <w:color w:val="auto"/>
        </w:rPr>
      </w:pPr>
      <w:r>
        <w:rPr>
          <w:rFonts w:ascii="Times New Roman" w:cs="Times New Roman" w:eastAsia="Times New Roman" w:hAnsi="Times New Roman"/>
          <w:sz w:val="18"/>
          <w:szCs w:val="18"/>
          <w:color w:val="auto"/>
        </w:rPr>
        <w:t xml:space="preserve">The shareholders of the VIEs effectively assigned all of their voting rights underlying their equity interests in the VIEs to the Primary Beneficiaries. In addition, through the other exclusive agreements, which consist of exclusive equity purchase and transfer option agreements/exclusive purchase option agreements, commitment letters, operating agreements/business operation agreements, exclusive technology consulting and services agreements and license agreements, the Primary Beneficiaries, by themselves or their wholly-owned subsidiaries in Chinese mainland, demonstrate their ability and intention to continue to exercise the ability to absorb losses or receive economic benefits that could potentially be significant to the VIEs. The VIEs are subject to operating risks, which determine the variability of the Company’s interest in those entities. Based on these contractual arrangements, the Company consolidates the VIEs as required by Accounting Standards Codification (“ASC”) Topic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xml:space="preserve"> (“ASC 810”).</w:t>
      </w:r>
    </w:p>
    <w:p>
      <w:pPr>
        <w:spacing w:after="0" w:line="189" w:lineRule="exact"/>
        <w:rPr>
          <w:sz w:val="20"/>
          <w:szCs w:val="20"/>
          <w:color w:val="auto"/>
        </w:rPr>
      </w:pPr>
    </w:p>
    <w:p>
      <w:pPr>
        <w:jc w:val="both"/>
        <w:ind w:left="120" w:right="20"/>
        <w:spacing w:after="0" w:line="261" w:lineRule="auto"/>
        <w:rPr>
          <w:sz w:val="20"/>
          <w:szCs w:val="20"/>
          <w:color w:val="auto"/>
        </w:rPr>
      </w:pPr>
      <w:r>
        <w:rPr>
          <w:rFonts w:ascii="Times New Roman" w:cs="Times New Roman" w:eastAsia="Times New Roman" w:hAnsi="Times New Roman"/>
          <w:sz w:val="18"/>
          <w:szCs w:val="18"/>
          <w:color w:val="auto"/>
        </w:rPr>
        <w:t>Unrecognized revenue-producing assets held by the VIEs include certain internet content provisions and other licenses, domain names and trademarks. The internet content provisions and other licenses, which are held by the VIEs that provide the relevant services, are required under the relevant laws of Chinese mainland, rules and regulations for the operation of Internet businesses in Chinese mainland, and therefore are integral to the Company’s operations.</w:t>
      </w:r>
    </w:p>
    <w:p>
      <w:pPr>
        <w:spacing w:after="0" w:line="180"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The principal terms of the arrangements entered into amongst the VIEs, their respective shareholders and the Primary Beneficiaries are further described below.</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140"/>
          </w:cols>
          <w:pgMar w:left="320" w:top="482" w:right="439"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40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BAIDU, INC.</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THE YEARS ENDED DECEMBER 31, 2023, 2024 AND 2025</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Proxy Agreements/Shareholder Voting Rights Trust Agreements/Powers of Attorney</w:t>
      </w:r>
    </w:p>
    <w:p>
      <w:pPr>
        <w:spacing w:after="0" w:line="121" w:lineRule="exact"/>
        <w:rPr>
          <w:sz w:val="20"/>
          <w:szCs w:val="20"/>
          <w:color w:val="auto"/>
        </w:rPr>
      </w:pPr>
    </w:p>
    <w:p>
      <w:pPr>
        <w:jc w:val="both"/>
        <w:ind w:left="120" w:right="20"/>
        <w:spacing w:after="0" w:line="255" w:lineRule="auto"/>
        <w:rPr>
          <w:sz w:val="20"/>
          <w:szCs w:val="20"/>
          <w:color w:val="auto"/>
        </w:rPr>
      </w:pPr>
      <w:r>
        <w:rPr>
          <w:rFonts w:ascii="Times New Roman" w:cs="Times New Roman" w:eastAsia="Times New Roman" w:hAnsi="Times New Roman"/>
          <w:sz w:val="18"/>
          <w:szCs w:val="18"/>
          <w:color w:val="auto"/>
        </w:rPr>
        <w:t>Pursuant to the proxy agreement between the Company and the shareholders of Baidu Netcom, the shareholders of Baidu Netcom agreed to entrust all the rights to exercise their voting power and any other rights as shareholders of Baidu Netcom to the person(s) designated by the Company. The shareholders of Baidu Netcom have each executed an irrevocable power of attorney to appoint the person(s) designated by the Company as their attorney-in-fact to vote on their behalf on all matters requiring shareholder approval. Any action taken by such attorney-in-fact in relation to the entrusted rights shall be directed and approved by the Company. The proxy agreement would be in effect for an unlimited term unless terminated in writing by the Company. The power of attorney would be in effect for as long as the shareholders of Baidu Netcom hold any equity interests in Baidu Netcom.</w:t>
      </w:r>
    </w:p>
    <w:p>
      <w:pPr>
        <w:spacing w:after="0" w:line="189" w:lineRule="exact"/>
        <w:rPr>
          <w:sz w:val="20"/>
          <w:szCs w:val="20"/>
          <w:color w:val="auto"/>
        </w:rPr>
      </w:pPr>
    </w:p>
    <w:p>
      <w:pPr>
        <w:jc w:val="both"/>
        <w:ind w:left="120" w:right="20"/>
        <w:spacing w:after="0" w:line="258" w:lineRule="auto"/>
        <w:rPr>
          <w:sz w:val="20"/>
          <w:szCs w:val="20"/>
          <w:color w:val="auto"/>
        </w:rPr>
      </w:pPr>
      <w:r>
        <w:rPr>
          <w:rFonts w:ascii="Times New Roman" w:cs="Times New Roman" w:eastAsia="Times New Roman" w:hAnsi="Times New Roman"/>
          <w:sz w:val="18"/>
          <w:szCs w:val="18"/>
          <w:color w:val="auto"/>
        </w:rPr>
        <w:t>Each of the proxy agreements or shareholder voting rights trust agreements amongst the Company and the shareholders of Beijing Perusal and between Beijing QIYI Century Science &amp; Technology Co., Ltd (“Beijing QIYI Century”) and the individual shareholder of Beijing iQIYI contains substantially the same terms as those described above. Each of the proxy agreements or shareholder voting rights trust agreements will be in effect for an unlimited term unless terminated in writing by the Company or other subsidiaries. Each of the powers of attorney will be in effect for as long as the shareholder of Beijing Perusal or Beijing iQIYI, holds any equity interests in Beijing Perusal or Beijing iQIYI, as the case may be.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Exclusive Equity Purchase and Transfer Option Agreements/ Exclusive Purchase Option Agreements</w:t>
      </w:r>
    </w:p>
    <w:p>
      <w:pPr>
        <w:spacing w:after="0" w:line="121" w:lineRule="exact"/>
        <w:rPr>
          <w:sz w:val="20"/>
          <w:szCs w:val="20"/>
          <w:color w:val="auto"/>
        </w:rPr>
      </w:pPr>
    </w:p>
    <w:p>
      <w:pPr>
        <w:jc w:val="both"/>
        <w:ind w:left="120" w:right="20"/>
        <w:spacing w:after="0" w:line="252" w:lineRule="auto"/>
        <w:rPr>
          <w:sz w:val="20"/>
          <w:szCs w:val="20"/>
          <w:color w:val="auto"/>
        </w:rPr>
      </w:pPr>
      <w:r>
        <w:rPr>
          <w:rFonts w:ascii="Times New Roman" w:cs="Times New Roman" w:eastAsia="Times New Roman" w:hAnsi="Times New Roman"/>
          <w:sz w:val="18"/>
          <w:szCs w:val="18"/>
          <w:color w:val="auto"/>
        </w:rPr>
        <w:t>Pursuant to the exclusive equity purchase and transfer option agreement amongst the shareholders of Baidu Netcom, the Company and Baidu Online Network Technology (Beijing) Co., Ltd.(“Baidu Online”), the shareholders of Baidu Netcom irrevocably granted the Company or its designated person(s) (including Baidu Online) an exclusive option to purchase, to the extent permitted under the laws of Chinese mainland, all or part of the equity interests in Baidu Netcom for the cost of the initial contributions to the registered capital or the minimum amount of consideration permitted by applicable laws of Chinese mainland. The shareholders of Baidu Netcom must remit to Baidu Online any amount that is paid by Baidu Online in connection with the purchased equity interests as requested by the Company or its designated person(s) (including Baidu Online) to the extent permitted by the applicable laws. The Company or its designated person(s) have sole discretion to decide when to exercise the option, whether in part or in full. Any and all dividends and other capital distributions made by Baidu Netcom to its shareholders must be repaid to the Company in full. The Company or its designated person(s) (including Baidu Online) also have the exclusive right to cause the shareholders of Baidu Netcom to transfer their equity interests in Baidu Netcom to the Company or any designated third party. The Company would provide unlimited financial support to Baidu Netcom if, in the normal operation of business, Baidu Netcom would become in need of any form of reasonable financial support. If Baidu Netcom were to incur any loss and as a result cannot repay any loans from the Company (through Baidu Online), the Company will unconditionally forgive any such loans to Baidu Netcom provided that Baidu Netcom provides sufficient proof for its loss and incapacity to repay. In addition, the shareholders of Baidu Netcom must appoint the candidates recommended by Baidu Online as their representatives on Baidu Netcom’s board of directors. The agreement will terminate when the shareholders of Baidu Netcom have transferred all their equity interests in Baidu Netcom to the Company or its designated person(s) or upon expiration of the term of business of the Company or Baidu Netcom.</w:t>
      </w:r>
    </w:p>
    <w:p>
      <w:pPr>
        <w:spacing w:after="0" w:line="195"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Each of the exclusive equity purchase and transfer option agreement/exclusive purchase option agreement amongst the Company, Baidu Online, Beijing Perusal and its shareholders and iQIYI, Beijing QIYI Century, Beijing iQIYI and its shareholders contains substantially the same terms as those described above, except that the initial term of the amended and restated exclusive purchase option agreement amongst iQIYI, Beijing QIYI Century, Beijing iQIYI and its shareholder is ten years, which has been extended to November 22, 2032, and can be further renewed at iQIYI’s discretion.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Exclusive Technology Consulting and Services Agreements</w:t>
      </w:r>
    </w:p>
    <w:p>
      <w:pPr>
        <w:spacing w:after="0" w:line="121" w:lineRule="exact"/>
        <w:rPr>
          <w:sz w:val="20"/>
          <w:szCs w:val="20"/>
          <w:color w:val="auto"/>
        </w:rPr>
      </w:pPr>
    </w:p>
    <w:p>
      <w:pPr>
        <w:jc w:val="both"/>
        <w:ind w:left="120"/>
        <w:spacing w:after="0" w:line="256" w:lineRule="auto"/>
        <w:rPr>
          <w:sz w:val="20"/>
          <w:szCs w:val="20"/>
          <w:color w:val="auto"/>
        </w:rPr>
      </w:pPr>
      <w:r>
        <w:rPr>
          <w:rFonts w:ascii="Times New Roman" w:cs="Times New Roman" w:eastAsia="Times New Roman" w:hAnsi="Times New Roman"/>
          <w:sz w:val="18"/>
          <w:szCs w:val="18"/>
          <w:color w:val="auto"/>
        </w:rPr>
        <w:t>Pursuant to the exclusive technology consulting and services agreement between Baidu Online and Baidu Netcom, Baidu Online has the exclusive right to provide technology consulting and services related to, among other things, the maintenance of servers, software development, design of advertisements, and e-commerce technical services to Baidu Netcom. Baidu Online owns the intellectual property rights resulting from the performance of this agreement. Baidu Netcom agrees to pay service fees to Baidu Online and Baidu Online has the right to adjust the service fees at its sole discretion without the consent of Baidu Netcom. The agreement will be in effect for an unlimited term, until the term of business of one party expires and extension is denied by the relevant approval authorities.</w:t>
      </w:r>
    </w:p>
    <w:p>
      <w:pPr>
        <w:spacing w:after="0" w:line="187"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Each of the exclusive technology consulting and services agreements between Baidu Online and Beijing Perusal and Beijing QIYI Century and Beijing iQIYI contains substantially the same terms as those described above, except the terms regarding the determinant the service fees may differ and that the initial term of the exclusive technology consulting and services agreement between Beijing QIYI Century and Beijing iQIYI dated November 23, 2011 is ten years, and has been extended to November 23, 2031, and can be further renewed at the discretion of Beijing QIYI Century.</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140"/>
          </w:cols>
          <w:pgMar w:left="320" w:top="482" w:right="439"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40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BAIDU, INC.</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THE YEARS ENDED DECEMBER 31, 2023, 2024 AND 2025</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Operating Agreements/Business Operation Agreements</w:t>
      </w:r>
    </w:p>
    <w:p>
      <w:pPr>
        <w:spacing w:after="0" w:line="121" w:lineRule="exact"/>
        <w:rPr>
          <w:sz w:val="20"/>
          <w:szCs w:val="20"/>
          <w:color w:val="auto"/>
        </w:rPr>
      </w:pPr>
    </w:p>
    <w:p>
      <w:pPr>
        <w:jc w:val="both"/>
        <w:ind w:left="120"/>
        <w:spacing w:after="0" w:line="254" w:lineRule="auto"/>
        <w:rPr>
          <w:sz w:val="20"/>
          <w:szCs w:val="20"/>
          <w:color w:val="auto"/>
        </w:rPr>
      </w:pPr>
      <w:r>
        <w:rPr>
          <w:rFonts w:ascii="Times New Roman" w:cs="Times New Roman" w:eastAsia="Times New Roman" w:hAnsi="Times New Roman"/>
          <w:sz w:val="18"/>
          <w:szCs w:val="18"/>
          <w:color w:val="auto"/>
        </w:rPr>
        <w:t>Pursuant to the operating agreement amongst Baidu Online, Baidu Netcom and the shareholders of Baidu Netcom, Baidu Online provides guidance and instructions on Baidu Netcom’s daily operations, financial affairs and employment and dismissal of staff. In addition, Baidu Online agrees to guarantee Baidu Netcom’s performance under any agreements or arrangements relating to Baidu Netcom’s business arrangements with any third party. In return, Baidu Netcom agrees that without the prior consent of Baidu Online, Baidu Netcom will not engage in any transactions that could materially affect the assets, liabilities, rights or operations of Baidu Netcom, including, without limitation, incurrence or assumption of any indebtedness, sale or purchase of any assets or rights, incurrence of any encumbrance on any of its assets or intellectual property rights in favor of a third party or transfer of any agreements relating to its business operation to any third party. The agreement will be in effect for an unlimited term, until the term of business of Baidu Online or Baidu Netcom expires and extension is denied by the relevant approval authorities.</w:t>
      </w:r>
    </w:p>
    <w:p>
      <w:pPr>
        <w:spacing w:after="0" w:line="1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operating agreement amongst Baidu Online, Beijing Perusal and its shareholders contains substantially the same terms as those described above.</w:t>
      </w:r>
    </w:p>
    <w:p>
      <w:pPr>
        <w:spacing w:after="0" w:line="225" w:lineRule="exact"/>
        <w:rPr>
          <w:sz w:val="20"/>
          <w:szCs w:val="20"/>
          <w:color w:val="auto"/>
        </w:rPr>
      </w:pPr>
    </w:p>
    <w:p>
      <w:pPr>
        <w:jc w:val="both"/>
        <w:ind w:left="120"/>
        <w:spacing w:after="0" w:line="258" w:lineRule="auto"/>
        <w:rPr>
          <w:sz w:val="20"/>
          <w:szCs w:val="20"/>
          <w:color w:val="auto"/>
        </w:rPr>
      </w:pPr>
      <w:r>
        <w:rPr>
          <w:rFonts w:ascii="Times New Roman" w:cs="Times New Roman" w:eastAsia="Times New Roman" w:hAnsi="Times New Roman"/>
          <w:sz w:val="18"/>
          <w:szCs w:val="18"/>
          <w:color w:val="auto"/>
        </w:rPr>
        <w:t>Pursuant to the amended and restated business operation agreement amongst Beijing QIYI Century, Beijing iQIYI and its shareholder, Beijing QIYI Century provides guidance and instructions on Beijing iQIYI’s daily operations and financial affairs. In addition, Beijing QIYI Century agrees to guarantee Beijing iQIYI’s performance under any agreements or arrangements relating to Beijing iQIYI’s business arrangements with any third party. The agreement can only be unilaterally revoked by Beijing QIYI Century. The initial term of the agreement dated January 30, 2013 is ten years, which has been extended for another ten years to January 30, 2033, and can be further renewed at Beijing QIYI Century’s discretion.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Loan Agreements</w:t>
      </w:r>
    </w:p>
    <w:p>
      <w:pPr>
        <w:spacing w:after="0" w:line="121" w:lineRule="exact"/>
        <w:rPr>
          <w:sz w:val="20"/>
          <w:szCs w:val="20"/>
          <w:color w:val="auto"/>
        </w:rPr>
      </w:pPr>
    </w:p>
    <w:p>
      <w:pPr>
        <w:jc w:val="both"/>
        <w:ind w:left="120"/>
        <w:spacing w:after="0" w:line="258" w:lineRule="auto"/>
        <w:rPr>
          <w:sz w:val="20"/>
          <w:szCs w:val="20"/>
          <w:color w:val="auto"/>
        </w:rPr>
      </w:pPr>
      <w:r>
        <w:rPr>
          <w:rFonts w:ascii="Times New Roman" w:cs="Times New Roman" w:eastAsia="Times New Roman" w:hAnsi="Times New Roman"/>
          <w:sz w:val="18"/>
          <w:szCs w:val="18"/>
          <w:color w:val="auto"/>
        </w:rPr>
        <w:t>Pursuant to loan agreements amongst the shareholders of Baidu Netcom and Baidu Online, one of the Company’s subsidiaries, Baidu Online provided interest-free loans in an aggregate amount of RMB13.4 billion (US$1.9 billion) to the shareholders of Baidu Netcom solely for the latter to fund the capitalization of Baidu Netcom. The loans can be repaid only with the proceeds from the sale of the shareholders’ equity interests in Baidu Netcom to Baidu Online or its designated person. The term of the loan agreements will expire on July 9, 2029 and August 19, 2029, and can be extended with the written consent of both parties before its expiration.</w:t>
      </w:r>
    </w:p>
    <w:p>
      <w:pPr>
        <w:spacing w:after="0" w:line="183" w:lineRule="exact"/>
        <w:rPr>
          <w:sz w:val="20"/>
          <w:szCs w:val="20"/>
          <w:color w:val="auto"/>
        </w:rPr>
      </w:pPr>
    </w:p>
    <w:p>
      <w:pPr>
        <w:jc w:val="both"/>
        <w:ind w:left="120"/>
        <w:spacing w:after="0" w:line="255" w:lineRule="auto"/>
        <w:rPr>
          <w:sz w:val="20"/>
          <w:szCs w:val="20"/>
          <w:color w:val="auto"/>
        </w:rPr>
      </w:pPr>
      <w:r>
        <w:rPr>
          <w:rFonts w:ascii="Times New Roman" w:cs="Times New Roman" w:eastAsia="Times New Roman" w:hAnsi="Times New Roman"/>
          <w:sz w:val="18"/>
          <w:szCs w:val="18"/>
          <w:color w:val="auto"/>
        </w:rPr>
        <w:t>Pursuant to loan agreements amongst the shareholders of Baidu Perusal and Baidu Online, the amount of loans extended to the respective shareholders of Beijing Perusal is RMB3.2 billion (US$457 million). The term of the loan agreements will expire on March 30, 2028 and October 29, 2029, and can be extended with the written consent of both parties before its expiration. Each of the loan agreements amongst Baidu Online or other subsidiaries and the respective shareholders of Beijing Perusal or other VIEs, including iQIYI VIEs, contains substantially the same terms as those described above, except that the amount of the loans and the contract expiration date varies. The term of the loan agreement amongst Beijing QIYI Century and the individual shareholder of Beijing iQIYI expired on June 23, 2021 originally, which was extended in December 2020 for another ten years to June 23, 2031 and can be further extended upon the written notification from Beijing QIYI Century.</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Equity Pledge Agreements</w:t>
      </w:r>
    </w:p>
    <w:p>
      <w:pPr>
        <w:spacing w:after="0" w:line="121" w:lineRule="exact"/>
        <w:rPr>
          <w:sz w:val="20"/>
          <w:szCs w:val="20"/>
          <w:color w:val="auto"/>
        </w:rPr>
      </w:pPr>
    </w:p>
    <w:p>
      <w:pPr>
        <w:jc w:val="both"/>
        <w:ind w:left="120" w:right="20"/>
        <w:spacing w:after="0" w:line="254" w:lineRule="auto"/>
        <w:rPr>
          <w:sz w:val="20"/>
          <w:szCs w:val="20"/>
          <w:color w:val="auto"/>
        </w:rPr>
      </w:pPr>
      <w:r>
        <w:rPr>
          <w:rFonts w:ascii="Times New Roman" w:cs="Times New Roman" w:eastAsia="Times New Roman" w:hAnsi="Times New Roman"/>
          <w:sz w:val="18"/>
          <w:szCs w:val="18"/>
          <w:color w:val="auto"/>
        </w:rPr>
        <w:t>Pursuant to the equity pledge agreement between Baidu Online and the shareholders of Baidu Netcom, the shareholders of Baidu Netcom pledged all of their equity interests in Baidu Netcom to Baidu Online to guarantee their obligations under the loan agreement and Baidu Netcom’s performance of its obligations under the exclusive technology consulting and services agreement. If Baidu Netcom or its shareholders breach their respective contractual obligations, Baidu Online, as the pledgee, will be entitled to certain rights, including the right to sell the pledged equity interests. The shareholders of Baidu Netcom agreed not to dispose of the pledged equity interests or take any actions that would prejudice Baidu Online’s interest. The equity pledge agreement will terminate on the date when Baidu Netcom and its shareholders have completed all their respective obligations under the exclusive technology consulting and services agreement and the loan agreement, but such agreement will expire two years after expiration of the term of the obligations of Baidu Netcom and its shareholders under the exclusive technology consulting and service agreement and the loan agreements if they fail to fulfill such obligations thereunder.</w:t>
      </w:r>
    </w:p>
    <w:p>
      <w:pPr>
        <w:spacing w:after="0" w:line="188"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Each of the equity pledge agreements amongst Baidu Online and the shareholders of Beijing Perusal and Beijing QIYI Century and the individual shareholder of Beijing iQIYI contains substantially the same terms, including its term to expiration, as those described above.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140"/>
          </w:cols>
          <w:pgMar w:left="320" w:top="482" w:right="439" w:bottom="1440" w:gutter="0" w:footer="0" w:header="0"/>
        </w:sectPr>
      </w:pPr>
    </w:p>
    <w:bookmarkStart w:id="237" w:name="page238"/>
    <w:bookmarkEnd w:id="2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40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BAIDU, INC.</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THE YEARS ENDED DECEMBER 31, 2023, 2024 AND 2025</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Business Cooperation Agreement</w:t>
      </w:r>
    </w:p>
    <w:p>
      <w:pPr>
        <w:spacing w:after="0" w:line="121" w:lineRule="exact"/>
        <w:rPr>
          <w:sz w:val="20"/>
          <w:szCs w:val="20"/>
          <w:color w:val="auto"/>
        </w:rPr>
      </w:pPr>
    </w:p>
    <w:p>
      <w:pPr>
        <w:jc w:val="both"/>
        <w:ind w:left="120"/>
        <w:spacing w:after="0" w:line="255" w:lineRule="auto"/>
        <w:rPr>
          <w:sz w:val="20"/>
          <w:szCs w:val="20"/>
          <w:color w:val="auto"/>
        </w:rPr>
      </w:pPr>
      <w:r>
        <w:rPr>
          <w:rFonts w:ascii="Times New Roman" w:cs="Times New Roman" w:eastAsia="Times New Roman" w:hAnsi="Times New Roman"/>
          <w:sz w:val="18"/>
          <w:szCs w:val="18"/>
          <w:color w:val="auto"/>
        </w:rPr>
        <w:t>Pursuant to the business cooperation agreement amongst Beijing QIYI Century and Beijing iQIYI effective November 23, 2011, Beijing iQIYI agrees to provide Beijing QIYI Century with services, including internet information services, online advertising and other services reasonably necessary within the scope of Beijing QIYI Century’s business. Beijing iQIYI agrees to use technology services provided by Beijing QIYI Century on its platform, including but not limited to, P2P download and video on-demand systems. Beijing QIYI Century agrees to pay specified service fees to Beijing iQIYI as consideration for the internet information services and other services provided by Beijing iQIYI. Beijing iQIYI has the right to waive the service fees at its discretion. The original term of this agreement is ten years, which has been extended for another ten years to November 23, 2031, and can be further renewed at Beijing QIYI Century’s discretion.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Agreements</w:t>
      </w:r>
    </w:p>
    <w:p>
      <w:pPr>
        <w:spacing w:after="0" w:line="121" w:lineRule="exact"/>
        <w:rPr>
          <w:sz w:val="20"/>
          <w:szCs w:val="20"/>
          <w:color w:val="auto"/>
        </w:rPr>
      </w:pPr>
    </w:p>
    <w:p>
      <w:pPr>
        <w:jc w:val="both"/>
        <w:ind w:left="120" w:right="20"/>
        <w:spacing w:after="0" w:line="256" w:lineRule="auto"/>
        <w:rPr>
          <w:sz w:val="20"/>
          <w:szCs w:val="20"/>
          <w:color w:val="auto"/>
        </w:rPr>
      </w:pPr>
      <w:r>
        <w:rPr>
          <w:rFonts w:ascii="Times New Roman" w:cs="Times New Roman" w:eastAsia="Times New Roman" w:hAnsi="Times New Roman"/>
          <w:sz w:val="18"/>
          <w:szCs w:val="18"/>
          <w:color w:val="auto"/>
        </w:rPr>
        <w:t>Baidu Online and Baidu Netcom entered into a software license agreement and a web layout copyright license agreement (collectively, the “License Agreements”). Pursuant to the License Agreements between Baidu Online and Baidu Netcom, Baidu Online has granted to Baidu Netcom the right to use (including but not limited to) a software license and a web layout copyright license. Baidu Netcom may only use the licenses in its own business operations. Baidu Online has the right to adjust the service fees at its sole discretion. The software license agreement and web layout copyright license agreement were renewed since their original expiration and would be in effect for an unlimited term, until the term of business of one party expires and extension is denied by the approval authorities.</w:t>
      </w:r>
    </w:p>
    <w:p>
      <w:pPr>
        <w:spacing w:after="0" w:line="187"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The web layout copyright license agreements that Baidu Online has entered into with Beijing Perusal contain substantially the same terms as those between Baidu Online and Baidu Netcom described above. The agreement is in effect for an unlimited term, until the term of business of one party expires and extension is denied by the approval authorities.</w:t>
      </w:r>
    </w:p>
    <w:p>
      <w:pPr>
        <w:spacing w:after="0" w:line="176" w:lineRule="exact"/>
        <w:rPr>
          <w:sz w:val="20"/>
          <w:szCs w:val="20"/>
          <w:color w:val="auto"/>
        </w:rPr>
      </w:pPr>
    </w:p>
    <w:p>
      <w:pPr>
        <w:jc w:val="both"/>
        <w:ind w:left="120"/>
        <w:spacing w:after="0" w:line="254" w:lineRule="auto"/>
        <w:rPr>
          <w:sz w:val="20"/>
          <w:szCs w:val="20"/>
          <w:color w:val="auto"/>
        </w:rPr>
      </w:pPr>
      <w:r>
        <w:rPr>
          <w:rFonts w:ascii="Times New Roman" w:cs="Times New Roman" w:eastAsia="Times New Roman" w:hAnsi="Times New Roman"/>
          <w:sz w:val="18"/>
          <w:szCs w:val="18"/>
          <w:color w:val="auto"/>
        </w:rPr>
        <w:t>Pursuant to the trademark license agreement and the software usage license agreement amongst Beijing QIYI Century and Beijing iQIYI effective November 23, 2011, Beijing QIYI Century granted a non-exclusive and non-transferable license, without sublicensing rights, to Beijing iQIYI to use its trademarks and software. Beijing iQIYI may only use the licenses in its own business operations. Beijing QIYI Century has the right to adjust the service fees at its sole discretion. The initial term of the two agreements is five years and the software usage license agreement may be extended upon the written consent of Beijing QIYI Century. The trademark license agreement is automatically extended for successive one-year periods after its expiration unless Beijing QIYI Century early terminates the agreement in accordance with the provisions of the agreement. The software usage license agreement was extended for another five years after its initial term, and was extended for another ten years to December 1, 2031, and is further renewable at the discretion of Beijing QIYI Century.</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Commitment Letters</w:t>
      </w:r>
    </w:p>
    <w:p>
      <w:pPr>
        <w:spacing w:after="0" w:line="121" w:lineRule="exact"/>
        <w:rPr>
          <w:sz w:val="20"/>
          <w:szCs w:val="20"/>
          <w:color w:val="auto"/>
        </w:rPr>
      </w:pPr>
    </w:p>
    <w:p>
      <w:pPr>
        <w:jc w:val="both"/>
        <w:ind w:left="120"/>
        <w:spacing w:after="0" w:line="256" w:lineRule="auto"/>
        <w:rPr>
          <w:sz w:val="20"/>
          <w:szCs w:val="20"/>
          <w:color w:val="auto"/>
        </w:rPr>
      </w:pPr>
      <w:r>
        <w:rPr>
          <w:rFonts w:ascii="Times New Roman" w:cs="Times New Roman" w:eastAsia="Times New Roman" w:hAnsi="Times New Roman"/>
          <w:sz w:val="18"/>
          <w:szCs w:val="18"/>
          <w:color w:val="auto"/>
        </w:rPr>
        <w:t>Pursuant to the commitment letter dated January 30, 2013, under the condition that Beijing iQIYI remains as a consolidated variable interest entity of iQIYI under United States generally accepted accounting principles and the relevant contractual arrangements remain in effect, iQIYI commits to provide unlimited financial support to Beijing iQIYI, if Beijing iQIYI requires any form of reasonable financial support for its normal business operations. If Beijing iQIYI incurs any losses and as a result cannot repay its loans from iQIYI and Beijing QIYI Century, one of iQIYI’s subsidiaries, iQIYI and Beijing QIYI Century would unconditionally forgive their loans to Beijing iQIYI, if Beijing iQIYI provides sufficient proof for its loss and incapacity to repay.</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commitment letters executed by other iQIYI VIEs contain terms similar to the terms described above.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Minority Investment in Beijing iQIYI</w:t>
      </w:r>
    </w:p>
    <w:p>
      <w:pPr>
        <w:spacing w:after="0" w:line="121"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In October 2024, a third-party enterprise made an investment of RMB0.3 million in Beijing iQIYI for 1% of Beijing iQIYI’s enlarged registered capital. Such third-party minority stake holder is entitled to customary economic rights in proportion to its equity ownership, the right to appoint a director to Beijing iQIYI’s three-member board of directors, and certain protective rights.</w:t>
      </w:r>
    </w:p>
    <w:p>
      <w:pPr>
        <w:spacing w:after="0" w:line="176" w:lineRule="exact"/>
        <w:rPr>
          <w:sz w:val="20"/>
          <w:szCs w:val="20"/>
          <w:color w:val="auto"/>
        </w:rPr>
      </w:pPr>
    </w:p>
    <w:p>
      <w:pPr>
        <w:jc w:val="both"/>
        <w:ind w:left="120" w:right="20"/>
        <w:spacing w:after="0" w:line="256" w:lineRule="auto"/>
        <w:rPr>
          <w:sz w:val="20"/>
          <w:szCs w:val="20"/>
          <w:color w:val="auto"/>
        </w:rPr>
      </w:pPr>
      <w:r>
        <w:rPr>
          <w:rFonts w:ascii="Times New Roman" w:cs="Times New Roman" w:eastAsia="Times New Roman" w:hAnsi="Times New Roman"/>
          <w:sz w:val="18"/>
          <w:szCs w:val="18"/>
          <w:color w:val="auto"/>
        </w:rPr>
        <w:t>The third-party minority stake holder is not a party to the contractual arrangements mentioned above that are currently in effect among Beijing iQIYI, iQIYI, Inc., Beijing QIYI Century and Beijing iQIYI’s other shareholders. As such, iQIYI, Inc. is not able to purchase or have the third-party minority stake holder pledge its 1% equity interests in Beijing iQIYI in the same manner as agreed under existing contractual arrangements, nor is it granted the authorization of voting rights over these 1% equity interests. iQIYI, Inc. believes through the wholly-owned PRC subsidiary, iQIYI, Inc. still controls and is the primary beneficiary of Beijing iQIYI as it continues to have a controlling financial interest in Beijing iQIYI pursuant to ASC 810-10-25-38A after the issuance of such 1% equity interests.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140"/>
          </w:cols>
          <w:pgMar w:left="320" w:top="482" w:right="439"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41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BAIDU, INC.</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THE YEARS ENDED DECEMBER 31, 2023, 2024 AND 2025</w:t>
      </w:r>
    </w:p>
    <w:p>
      <w:pPr>
        <w:spacing w:after="0" w:line="234" w:lineRule="exact"/>
        <w:rPr>
          <w:sz w:val="20"/>
          <w:szCs w:val="20"/>
          <w:color w:val="auto"/>
        </w:rPr>
      </w:pPr>
    </w:p>
    <w:p>
      <w:pPr>
        <w:jc w:val="both"/>
        <w:ind w:left="120"/>
        <w:spacing w:after="0" w:line="273" w:lineRule="auto"/>
        <w:rPr>
          <w:sz w:val="20"/>
          <w:szCs w:val="20"/>
          <w:color w:val="auto"/>
        </w:rPr>
      </w:pPr>
      <w:r>
        <w:rPr>
          <w:rFonts w:ascii="Times New Roman" w:cs="Times New Roman" w:eastAsia="Times New Roman" w:hAnsi="Times New Roman"/>
          <w:sz w:val="17"/>
          <w:szCs w:val="17"/>
          <w:color w:val="auto"/>
        </w:rPr>
        <w:t>Through the contractual arrangements, the shareholders of the VIEs effectively assigned their full voting rights to the Company or its subsidiaries, which gives the Company or its subsidiaries the power to direct the activities that most significantly impact the VIEs’ economic performance. The Company or its subsidiaries obtain the ability to approve decisions made by the VIEs and the ability to acquire the equity interests in the VIEs when permitted by the laws of Chinese mainland. The Company or its subsidiaries are obligated to absorb losses or receive economic benefits of the VIEs that could potentially be significant to the VIEs through providing unlimited financial support to the VIEs or are entitled to receive economic benefits from the VIEs that could potentially be significant to the VIEs through the exclusive technology consulting and service fees. As a result of these contractual agreements, the Company or its subsidiaries are determined to be the primary beneficiary of the VIEs and consolidates the VIEs as required by ASC 810.</w:t>
      </w:r>
    </w:p>
    <w:p>
      <w:pPr>
        <w:spacing w:after="0" w:line="171" w:lineRule="exact"/>
        <w:rPr>
          <w:sz w:val="20"/>
          <w:szCs w:val="20"/>
          <w:color w:val="auto"/>
        </w:rPr>
      </w:pPr>
    </w:p>
    <w:p>
      <w:pPr>
        <w:jc w:val="both"/>
        <w:ind w:left="120"/>
        <w:spacing w:after="0" w:line="256" w:lineRule="auto"/>
        <w:rPr>
          <w:sz w:val="20"/>
          <w:szCs w:val="20"/>
          <w:color w:val="auto"/>
        </w:rPr>
      </w:pPr>
      <w:r>
        <w:rPr>
          <w:rFonts w:ascii="Times New Roman" w:cs="Times New Roman" w:eastAsia="Times New Roman" w:hAnsi="Times New Roman"/>
          <w:sz w:val="18"/>
          <w:szCs w:val="18"/>
          <w:color w:val="auto"/>
        </w:rPr>
        <w:t>Through the contractual arrangements, the shareholders of the iQIYI VIEs effectively assigned all of their voting rights underlying their equity interests in iQIYI VIEs to iQIYI. In addition, through the other exclusive agreements, which consist of the operation agreements, business cooperating agreements, exclusive technology consulting and services agreements and trademark and software usage license agreements, iQIYI, through its wholly-owned subsidiaries in Chinese mainland, have the right to receive economic benefits from iQIYI VIEs that potentially could be significant to iQIYI VIEs. Lastly, through the commitment letters, iQIYI has the obligation to absorb losses of iQIYI VIEs that could potentially be significant to iQIYI VIEs. Therefore, iQIYI is considered the primary beneficiary of iQIYI VIEs and consolidates iQIYI VIEs and their subsidiaries</w:t>
      </w:r>
      <w:r>
        <w:rPr>
          <w:rFonts w:ascii="Times New Roman" w:cs="Times New Roman" w:eastAsia="Times New Roman" w:hAnsi="Times New Roman"/>
          <w:sz w:val="18"/>
          <w:szCs w:val="18"/>
          <w:i w:val="1"/>
          <w:iCs w:val="1"/>
          <w:color w:val="auto"/>
        </w:rPr>
        <w:t>.</w:t>
      </w:r>
    </w:p>
    <w:p>
      <w:pPr>
        <w:spacing w:after="0" w:line="187" w:lineRule="exact"/>
        <w:rPr>
          <w:sz w:val="20"/>
          <w:szCs w:val="20"/>
          <w:color w:val="auto"/>
        </w:rPr>
      </w:pPr>
    </w:p>
    <w:p>
      <w:pPr>
        <w:jc w:val="both"/>
        <w:ind w:left="120" w:right="20"/>
        <w:spacing w:after="0" w:line="261" w:lineRule="auto"/>
        <w:rPr>
          <w:sz w:val="20"/>
          <w:szCs w:val="20"/>
          <w:color w:val="auto"/>
        </w:rPr>
      </w:pPr>
      <w:r>
        <w:rPr>
          <w:rFonts w:ascii="Times New Roman" w:cs="Times New Roman" w:eastAsia="Times New Roman" w:hAnsi="Times New Roman"/>
          <w:sz w:val="18"/>
          <w:szCs w:val="18"/>
          <w:color w:val="auto"/>
        </w:rPr>
        <w:t>The Group has also entered into contractual arrangements with several other VIEs and their respective nominee shareholders, including iQIYI’s other VIEs and their respective nominee shareholders, through some of our subsidiaries other than Baidu Online and Beijing QIYI Century, which result in the Company/iQIYI or relevant subsidiaries, as the case may be, being the primary beneficiaries of the relevant VIEs. As a result of these contractual arrangements, the Company consolidate these other VIEs through the subsidiaries as required by ASC 810.</w:t>
      </w:r>
    </w:p>
    <w:p>
      <w:pPr>
        <w:spacing w:after="0" w:line="180" w:lineRule="exact"/>
        <w:rPr>
          <w:sz w:val="20"/>
          <w:szCs w:val="20"/>
          <w:color w:val="auto"/>
        </w:rPr>
      </w:pPr>
    </w:p>
    <w:p>
      <w:pPr>
        <w:jc w:val="both"/>
        <w:ind w:left="120" w:right="20"/>
        <w:spacing w:after="0" w:line="258" w:lineRule="auto"/>
        <w:rPr>
          <w:sz w:val="20"/>
          <w:szCs w:val="20"/>
          <w:color w:val="auto"/>
        </w:rPr>
      </w:pPr>
      <w:r>
        <w:rPr>
          <w:rFonts w:ascii="Times New Roman" w:cs="Times New Roman" w:eastAsia="Times New Roman" w:hAnsi="Times New Roman"/>
          <w:sz w:val="18"/>
          <w:szCs w:val="18"/>
          <w:color w:val="auto"/>
        </w:rPr>
        <w:t>In the opinion of the Company’s legal counsel, (i) the ownership structure relating to the VIEs of the Company is in compliance with the laws and regulations of Chinese mainland; (ii) the contractual arrangements with the VIEs and their shareholders constituted legal, valid and binding obligations of such party, and are enforceable against such party in accordance with their respective terms; and (iii) the execution, delivery and performance by the VIEs and their shareholders, and the contractual arrangements as a whole, do not result in any violation of the provisions of the articles of association and business licenses of the VIEs, and any violation of any current laws and regulations of Chinese mainland.</w:t>
      </w:r>
    </w:p>
    <w:p>
      <w:pPr>
        <w:spacing w:after="0" w:line="183" w:lineRule="exact"/>
        <w:rPr>
          <w:sz w:val="20"/>
          <w:szCs w:val="20"/>
          <w:color w:val="auto"/>
        </w:rPr>
      </w:pPr>
    </w:p>
    <w:p>
      <w:pPr>
        <w:jc w:val="both"/>
        <w:ind w:left="120" w:right="20"/>
        <w:spacing w:after="0" w:line="261" w:lineRule="auto"/>
        <w:rPr>
          <w:sz w:val="20"/>
          <w:szCs w:val="20"/>
          <w:color w:val="auto"/>
        </w:rPr>
      </w:pPr>
      <w:r>
        <w:rPr>
          <w:rFonts w:ascii="Times New Roman" w:cs="Times New Roman" w:eastAsia="Times New Roman" w:hAnsi="Times New Roman"/>
          <w:sz w:val="18"/>
          <w:szCs w:val="18"/>
          <w:color w:val="auto"/>
        </w:rPr>
        <w:t>However, uncertainties in the PRC legal system could cause the Company’s current ownership structure to be found in violation of any existing and/or future laws or regulations of Chinese mainland and could limit the Company’s ability, through the Primary Beneficiaries, to enforce its rights under these contractual arrangements. Furthermore, shareholders of the VIEs may have interests that are different with those of the Company, which could potentially increase the risk that they would seek to breach the existing terms of the aforementioned arrangements.</w:t>
      </w:r>
    </w:p>
    <w:p>
      <w:pPr>
        <w:spacing w:after="0" w:line="180" w:lineRule="exact"/>
        <w:rPr>
          <w:sz w:val="20"/>
          <w:szCs w:val="20"/>
          <w:color w:val="auto"/>
        </w:rPr>
      </w:pPr>
    </w:p>
    <w:p>
      <w:pPr>
        <w:jc w:val="both"/>
        <w:ind w:left="120"/>
        <w:spacing w:after="0" w:line="253" w:lineRule="auto"/>
        <w:rPr>
          <w:sz w:val="20"/>
          <w:szCs w:val="20"/>
          <w:color w:val="auto"/>
        </w:rPr>
      </w:pPr>
      <w:r>
        <w:rPr>
          <w:rFonts w:ascii="Times New Roman" w:cs="Times New Roman" w:eastAsia="Times New Roman" w:hAnsi="Times New Roman"/>
          <w:sz w:val="18"/>
          <w:szCs w:val="18"/>
          <w:color w:val="auto"/>
        </w:rPr>
        <w:t>On January 1, 2020, the Foreign Investment Law came into effect and became the principal laws and regulations governing foreign investment in Chinese mainland. The Foreign Investment Law does not explicitly classify contractual arrangements as a form of foreign investment, but it contains a catch-all provision which includes investments made by foreign investors through means stipulated in laws or administrative regulations or other methods prescribed by the State Council. There are uncertainties regarding the interpretation of the Foreign Investment Law with respect to the contractual arrangements as a form of foreign investment. Since the VIEs’ internet content services, value-added telecommunication-based services, internet map services, online audio and video services and mobile application distribution businesses in Chinese mainland are included in the negative list or subject to the restrictions on foreign investment, if any of the VIEs would be deemed as a foreign invested enterprise, the Company’s current organizational structure could be in violation of existing and/or future laws or regulations of Chinese mainland and could limit the Company’s ability, through the Primary Beneficiaries, to enforce its rights under these contractual arrangements with the VIEs and the Company’s ability to conduct business through the VIEs could be severely limited.</w:t>
      </w:r>
    </w:p>
    <w:p>
      <w:pPr>
        <w:spacing w:after="0" w:line="194" w:lineRule="exact"/>
        <w:rPr>
          <w:sz w:val="20"/>
          <w:szCs w:val="20"/>
          <w:color w:val="auto"/>
        </w:rPr>
      </w:pPr>
    </w:p>
    <w:p>
      <w:pPr>
        <w:jc w:val="both"/>
        <w:ind w:left="120" w:right="20"/>
        <w:spacing w:after="0" w:line="256" w:lineRule="auto"/>
        <w:rPr>
          <w:sz w:val="20"/>
          <w:szCs w:val="20"/>
          <w:color w:val="auto"/>
        </w:rPr>
      </w:pPr>
      <w:r>
        <w:rPr>
          <w:rFonts w:ascii="Times New Roman" w:cs="Times New Roman" w:eastAsia="Times New Roman" w:hAnsi="Times New Roman"/>
          <w:sz w:val="18"/>
          <w:szCs w:val="18"/>
          <w:color w:val="auto"/>
        </w:rPr>
        <w:t>In addition, if the current organizational structure or any of the contractual arrangements were found to be in violation of any existing and/or future laws or regulations of Chinese mainland, the Company may be subject to penalties, which may include but not be limited to, the cancellation or revocation of the Company’s business and operating licenses, being required to restructure the Company’s operations or discontinue the Company’s operating activities. The imposition of any of these or other penalties may cause the Company to lose its right to direct the activities that most significantly impact the VIEs and/or the right to receive economic benefits that could potentially be significant to the VIEs based on the contractual arrangements, which may result in the Company no longer being able to consolidate the financial results of the VIEs in the consolidated financial statements.</w:t>
      </w:r>
    </w:p>
    <w:p>
      <w:pPr>
        <w:spacing w:after="0" w:line="187"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Furthermore, shareholders of the VIEs may have interests that are different with those of the Company, which could potentially increase the risk that they would seek to breach the existing terms of the aforementioned agreements.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140"/>
          </w:cols>
          <w:pgMar w:left="320" w:top="482" w:right="439" w:bottom="1440" w:gutter="0" w:footer="0" w:header="0"/>
        </w:sectPr>
      </w:pPr>
    </w:p>
    <w:bookmarkStart w:id="239" w:name="page240"/>
    <w:bookmarkEnd w:id="2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41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BAIDU, INC.</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THE YEARS ENDED DECEMBER 31, 2023, 2024 AND 2025</w:t>
      </w:r>
    </w:p>
    <w:p>
      <w:pPr>
        <w:spacing w:after="0" w:line="234"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financial statement balances and amounts of the VIEs and their subsidiaries included in the consolidating financial statements after the elimination of intercompany balances and transactions among VIEs and their subsidiaries within the Group.</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800" w:type="dxa"/>
            <w:vAlign w:val="bottom"/>
          </w:tcPr>
          <w:p>
            <w:pPr>
              <w:spacing w:after="0"/>
              <w:rPr>
                <w:sz w:val="15"/>
                <w:szCs w:val="15"/>
                <w:color w:val="auto"/>
              </w:rPr>
            </w:pPr>
          </w:p>
        </w:tc>
        <w:tc>
          <w:tcPr>
            <w:tcW w:w="2220" w:type="dxa"/>
            <w:vAlign w:val="bottom"/>
            <w:gridSpan w:val="8"/>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42"/>
        </w:trPr>
        <w:tc>
          <w:tcPr>
            <w:tcW w:w="8800" w:type="dxa"/>
            <w:vAlign w:val="bottom"/>
          </w:tcPr>
          <w:p>
            <w:pPr>
              <w:spacing w:after="0"/>
              <w:rPr>
                <w:sz w:val="12"/>
                <w:szCs w:val="12"/>
                <w:color w:val="auto"/>
              </w:rPr>
            </w:pPr>
          </w:p>
        </w:tc>
        <w:tc>
          <w:tcPr>
            <w:tcW w:w="600" w:type="dxa"/>
            <w:vAlign w:val="bottom"/>
            <w:tcBorders>
              <w:top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jc w:val="center"/>
              <w:ind w:left="5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2"/>
          </w:tcPr>
          <w:p>
            <w:pPr>
              <w:jc w:val="right"/>
              <w:ind w:right="5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r>
      <w:tr>
        <w:trPr>
          <w:trHeight w:val="117"/>
        </w:trPr>
        <w:tc>
          <w:tcPr>
            <w:tcW w:w="8800" w:type="dxa"/>
            <w:vAlign w:val="bottom"/>
          </w:tcPr>
          <w:p>
            <w:pPr>
              <w:spacing w:after="0"/>
              <w:rPr>
                <w:sz w:val="10"/>
                <w:szCs w:val="10"/>
                <w:color w:val="auto"/>
              </w:rPr>
            </w:pPr>
          </w:p>
        </w:tc>
        <w:tc>
          <w:tcPr>
            <w:tcW w:w="600" w:type="dxa"/>
            <w:vAlign w:val="bottom"/>
            <w:tcBorders>
              <w:top w:val="single" w:sz="8" w:color="auto"/>
            </w:tcBorders>
          </w:tcPr>
          <w:p>
            <w:pPr>
              <w:jc w:val="right"/>
              <w:ind w:right="53"/>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Borders>
              <w:top w:val="single" w:sz="8" w:color="auto"/>
            </w:tcBorders>
          </w:tcPr>
          <w:p>
            <w:pPr>
              <w:jc w:val="right"/>
              <w:ind w:right="73"/>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c>
          <w:tcPr>
            <w:tcW w:w="80" w:type="dxa"/>
            <w:vAlign w:val="bottom"/>
          </w:tcPr>
          <w:p>
            <w:pPr>
              <w:spacing w:after="0"/>
              <w:rPr>
                <w:sz w:val="10"/>
                <w:szCs w:val="10"/>
                <w:color w:val="auto"/>
              </w:rPr>
            </w:pPr>
          </w:p>
        </w:tc>
      </w:tr>
      <w:tr>
        <w:trPr>
          <w:trHeight w:val="173"/>
        </w:trPr>
        <w:tc>
          <w:tcPr>
            <w:tcW w:w="88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 xml:space="preserve">        </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 xml:space="preserve">       </w:t>
            </w:r>
          </w:p>
        </w:tc>
        <w:tc>
          <w:tcPr>
            <w:tcW w:w="7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 xml:space="preserve">        </w:t>
            </w:r>
          </w:p>
        </w:tc>
      </w:tr>
      <w:tr>
        <w:trPr>
          <w:trHeight w:val="216"/>
        </w:trPr>
        <w:tc>
          <w:tcPr>
            <w:tcW w:w="88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1,991</w:t>
            </w:r>
          </w:p>
        </w:tc>
        <w:tc>
          <w:tcPr>
            <w:tcW w:w="20" w:type="dxa"/>
            <w:vAlign w:val="bottom"/>
          </w:tcPr>
          <w:p>
            <w:pPr>
              <w:spacing w:after="0"/>
              <w:rPr>
                <w:sz w:val="18"/>
                <w:szCs w:val="18"/>
                <w:color w:val="auto"/>
              </w:rPr>
            </w:pP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2,803</w:t>
            </w:r>
          </w:p>
        </w:tc>
        <w:tc>
          <w:tcPr>
            <w:tcW w:w="7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401</w:t>
            </w:r>
          </w:p>
        </w:tc>
      </w:tr>
      <w:tr>
        <w:trPr>
          <w:trHeight w:val="216"/>
        </w:trPr>
        <w:tc>
          <w:tcPr>
            <w:tcW w:w="88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Short-term investments, net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5,473</w:t>
            </w:r>
          </w:p>
        </w:tc>
        <w:tc>
          <w:tcPr>
            <w:tcW w:w="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4,748</w:t>
            </w:r>
          </w:p>
        </w:tc>
        <w:tc>
          <w:tcPr>
            <w:tcW w:w="7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679</w:t>
            </w:r>
          </w:p>
        </w:tc>
      </w:tr>
      <w:tr>
        <w:trPr>
          <w:trHeight w:val="223"/>
        </w:trPr>
        <w:tc>
          <w:tcPr>
            <w:tcW w:w="88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Others</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18,331</w:t>
            </w: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21,875</w:t>
            </w:r>
          </w:p>
        </w:tc>
        <w:tc>
          <w:tcPr>
            <w:tcW w:w="7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3,128</w:t>
            </w:r>
          </w:p>
        </w:tc>
      </w:tr>
      <w:tr>
        <w:trPr>
          <w:trHeight w:val="216"/>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25,795</w:t>
            </w: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29,426</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4,208</w:t>
            </w:r>
          </w:p>
        </w:tc>
        <w:tc>
          <w:tcPr>
            <w:tcW w:w="80" w:type="dxa"/>
            <w:vAlign w:val="bottom"/>
            <w:shd w:val="clear" w:color="auto" w:fill="CCEEFF"/>
          </w:tcPr>
          <w:p>
            <w:pPr>
              <w:spacing w:after="0"/>
              <w:rPr>
                <w:sz w:val="18"/>
                <w:szCs w:val="18"/>
                <w:color w:val="auto"/>
              </w:rPr>
            </w:pPr>
          </w:p>
        </w:tc>
      </w:tr>
      <w:tr>
        <w:trPr>
          <w:trHeight w:val="223"/>
        </w:trPr>
        <w:tc>
          <w:tcPr>
            <w:tcW w:w="88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gridSpan w:val="3"/>
          </w:tcPr>
          <w:p>
            <w:pPr>
              <w:spacing w:after="0"/>
              <w:rPr>
                <w:sz w:val="19"/>
                <w:szCs w:val="19"/>
                <w:color w:val="auto"/>
              </w:rPr>
            </w:pPr>
          </w:p>
        </w:tc>
        <w:tc>
          <w:tcPr>
            <w:tcW w:w="720" w:type="dxa"/>
            <w:vAlign w:val="bottom"/>
            <w:gridSpan w:val="3"/>
          </w:tcPr>
          <w:p>
            <w:pPr>
              <w:spacing w:after="0"/>
              <w:rPr>
                <w:sz w:val="19"/>
                <w:szCs w:val="19"/>
                <w:color w:val="auto"/>
              </w:rPr>
            </w:pPr>
          </w:p>
        </w:tc>
      </w:tr>
      <w:tr>
        <w:trPr>
          <w:trHeight w:val="216"/>
        </w:trPr>
        <w:tc>
          <w:tcPr>
            <w:tcW w:w="88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Fixed assets, net</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12,583</w:t>
            </w:r>
          </w:p>
        </w:tc>
        <w:tc>
          <w:tcPr>
            <w:tcW w:w="8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9,086</w:t>
            </w:r>
          </w:p>
        </w:tc>
        <w:tc>
          <w:tcPr>
            <w:tcW w:w="7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1,299</w:t>
            </w:r>
          </w:p>
        </w:tc>
      </w:tr>
      <w:tr>
        <w:trPr>
          <w:trHeight w:val="216"/>
        </w:trPr>
        <w:tc>
          <w:tcPr>
            <w:tcW w:w="88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Long-term investments, net</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16,410</w:t>
            </w: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17,652</w:t>
            </w:r>
          </w:p>
        </w:tc>
        <w:tc>
          <w:tcPr>
            <w:tcW w:w="7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2,524</w:t>
            </w:r>
          </w:p>
        </w:tc>
      </w:tr>
      <w:tr>
        <w:trPr>
          <w:trHeight w:val="216"/>
        </w:trPr>
        <w:tc>
          <w:tcPr>
            <w:tcW w:w="88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Long-term time deposits and held-to-maturity investments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3,384</w:t>
            </w:r>
          </w:p>
        </w:tc>
        <w:tc>
          <w:tcPr>
            <w:tcW w:w="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3,715</w:t>
            </w:r>
          </w:p>
        </w:tc>
        <w:tc>
          <w:tcPr>
            <w:tcW w:w="7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531</w:t>
            </w:r>
          </w:p>
        </w:tc>
      </w:tr>
      <w:tr>
        <w:trPr>
          <w:trHeight w:val="223"/>
        </w:trPr>
        <w:tc>
          <w:tcPr>
            <w:tcW w:w="88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Others</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41,806</w:t>
            </w: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50,905</w:t>
            </w:r>
          </w:p>
        </w:tc>
        <w:tc>
          <w:tcPr>
            <w:tcW w:w="7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7,280</w:t>
            </w:r>
          </w:p>
        </w:tc>
      </w:tr>
      <w:tr>
        <w:trPr>
          <w:trHeight w:val="216"/>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non-current assets</w:t>
            </w:r>
          </w:p>
        </w:tc>
        <w:tc>
          <w:tcPr>
            <w:tcW w:w="62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74,183</w:t>
            </w:r>
          </w:p>
        </w:tc>
        <w:tc>
          <w:tcPr>
            <w:tcW w:w="14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81,358</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11,634</w:t>
            </w:r>
          </w:p>
        </w:tc>
        <w:tc>
          <w:tcPr>
            <w:tcW w:w="80" w:type="dxa"/>
            <w:vAlign w:val="bottom"/>
            <w:shd w:val="clear" w:color="auto" w:fill="CCEEFF"/>
          </w:tcPr>
          <w:p>
            <w:pPr>
              <w:spacing w:after="0"/>
              <w:rPr>
                <w:sz w:val="18"/>
                <w:szCs w:val="18"/>
                <w:color w:val="auto"/>
              </w:rPr>
            </w:pPr>
          </w:p>
        </w:tc>
      </w:tr>
      <w:tr>
        <w:trPr>
          <w:trHeight w:val="223"/>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99,978</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110,784</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15,842</w:t>
            </w:r>
          </w:p>
        </w:tc>
        <w:tc>
          <w:tcPr>
            <w:tcW w:w="80" w:type="dxa"/>
            <w:vAlign w:val="bottom"/>
          </w:tcPr>
          <w:p>
            <w:pPr>
              <w:spacing w:after="0"/>
              <w:rPr>
                <w:sz w:val="19"/>
                <w:szCs w:val="19"/>
                <w:color w:val="auto"/>
              </w:rPr>
            </w:pPr>
          </w:p>
        </w:tc>
      </w:tr>
      <w:tr>
        <w:trPr>
          <w:trHeight w:val="20"/>
        </w:trPr>
        <w:tc>
          <w:tcPr>
            <w:tcW w:w="88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88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8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18,527</w:t>
            </w:r>
          </w:p>
        </w:tc>
        <w:tc>
          <w:tcPr>
            <w:tcW w:w="8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17,157</w:t>
            </w:r>
          </w:p>
        </w:tc>
        <w:tc>
          <w:tcPr>
            <w:tcW w:w="7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2,453</w:t>
            </w:r>
          </w:p>
        </w:tc>
      </w:tr>
      <w:tr>
        <w:trPr>
          <w:trHeight w:val="223"/>
        </w:trPr>
        <w:tc>
          <w:tcPr>
            <w:tcW w:w="88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Others</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21,184</w:t>
            </w: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20,008</w:t>
            </w:r>
          </w:p>
        </w:tc>
        <w:tc>
          <w:tcPr>
            <w:tcW w:w="7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2,862</w:t>
            </w:r>
          </w:p>
        </w:tc>
      </w:tr>
      <w:tr>
        <w:trPr>
          <w:trHeight w:val="216"/>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third-party liabilities</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39,711</w:t>
            </w: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37,165</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5,315</w:t>
            </w:r>
          </w:p>
        </w:tc>
        <w:tc>
          <w:tcPr>
            <w:tcW w:w="80" w:type="dxa"/>
            <w:vAlign w:val="bottom"/>
            <w:shd w:val="clear" w:color="auto" w:fill="CCEEFF"/>
          </w:tcPr>
          <w:p>
            <w:pPr>
              <w:spacing w:after="0"/>
              <w:rPr>
                <w:sz w:val="18"/>
                <w:szCs w:val="18"/>
                <w:color w:val="auto"/>
              </w:rPr>
            </w:pPr>
          </w:p>
        </w:tc>
      </w:tr>
      <w:tr>
        <w:trPr>
          <w:trHeight w:val="223"/>
        </w:trPr>
        <w:tc>
          <w:tcPr>
            <w:tcW w:w="88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gridSpan w:val="3"/>
          </w:tcPr>
          <w:p>
            <w:pPr>
              <w:spacing w:after="0"/>
              <w:rPr>
                <w:sz w:val="19"/>
                <w:szCs w:val="19"/>
                <w:color w:val="auto"/>
              </w:rPr>
            </w:pPr>
          </w:p>
        </w:tc>
        <w:tc>
          <w:tcPr>
            <w:tcW w:w="720" w:type="dxa"/>
            <w:vAlign w:val="bottom"/>
            <w:gridSpan w:val="3"/>
          </w:tcPr>
          <w:p>
            <w:pPr>
              <w:spacing w:after="0"/>
              <w:rPr>
                <w:sz w:val="19"/>
                <w:szCs w:val="19"/>
                <w:color w:val="auto"/>
              </w:rPr>
            </w:pPr>
          </w:p>
        </w:tc>
      </w:tr>
      <w:tr>
        <w:trPr>
          <w:trHeight w:val="216"/>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non-current third-party liabilities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7,352</w:t>
            </w:r>
          </w:p>
        </w:tc>
        <w:tc>
          <w:tcPr>
            <w:tcW w:w="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8,242</w:t>
            </w:r>
          </w:p>
        </w:tc>
        <w:tc>
          <w:tcPr>
            <w:tcW w:w="7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1,179</w:t>
            </w:r>
          </w:p>
        </w:tc>
      </w:tr>
      <w:tr>
        <w:trPr>
          <w:trHeight w:val="230"/>
        </w:trPr>
        <w:tc>
          <w:tcPr>
            <w:tcW w:w="8800" w:type="dxa"/>
            <w:vAlign w:val="bottom"/>
          </w:tcPr>
          <w:p>
            <w:pPr>
              <w:ind w:left="360"/>
              <w:spacing w:after="0" w:line="223" w:lineRule="exact"/>
              <w:rPr>
                <w:sz w:val="20"/>
                <w:szCs w:val="20"/>
                <w:color w:val="auto"/>
              </w:rPr>
            </w:pPr>
            <w:r>
              <w:rPr>
                <w:rFonts w:ascii="Times New Roman" w:cs="Times New Roman" w:eastAsia="Times New Roman" w:hAnsi="Times New Roman"/>
                <w:sz w:val="18"/>
                <w:szCs w:val="18"/>
                <w:color w:val="auto"/>
              </w:rPr>
              <w:t xml:space="preserve">Amounts due to the other entities within Baidu </w:t>
            </w:r>
            <w:r>
              <w:rPr>
                <w:rFonts w:ascii="Times New Roman" w:cs="Times New Roman" w:eastAsia="Times New Roman" w:hAnsi="Times New Roman"/>
                <w:sz w:val="22"/>
                <w:szCs w:val="22"/>
                <w:color w:val="auto"/>
                <w:vertAlign w:val="superscript"/>
              </w:rPr>
              <w:t>(i)</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26,929</w:t>
            </w:r>
          </w:p>
        </w:tc>
        <w:tc>
          <w:tcPr>
            <w:tcW w:w="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48,146</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6,884</w:t>
            </w:r>
          </w:p>
        </w:tc>
        <w:tc>
          <w:tcPr>
            <w:tcW w:w="80" w:type="dxa"/>
            <w:vAlign w:val="bottom"/>
          </w:tcPr>
          <w:p>
            <w:pPr>
              <w:spacing w:after="0"/>
              <w:rPr>
                <w:sz w:val="20"/>
                <w:szCs w:val="20"/>
                <w:color w:val="auto"/>
              </w:rPr>
            </w:pP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73,992</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93,553</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13,378</w:t>
            </w:r>
          </w:p>
        </w:tc>
        <w:tc>
          <w:tcPr>
            <w:tcW w:w="80" w:type="dxa"/>
            <w:vAlign w:val="bottom"/>
            <w:shd w:val="clear" w:color="auto" w:fill="CCEEFF"/>
          </w:tcPr>
          <w:p>
            <w:pPr>
              <w:spacing w:after="0"/>
              <w:rPr>
                <w:sz w:val="18"/>
                <w:szCs w:val="18"/>
                <w:color w:val="auto"/>
              </w:rPr>
            </w:pPr>
          </w:p>
        </w:tc>
      </w:tr>
      <w:tr>
        <w:trPr>
          <w:trHeight w:val="20"/>
        </w:trPr>
        <w:tc>
          <w:tcPr>
            <w:tcW w:w="88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w:t>
      </w:r>
    </w:p>
    <w:p>
      <w:pPr>
        <w:spacing w:after="0" w:line="27" w:lineRule="exact"/>
        <w:rPr>
          <w:sz w:val="20"/>
          <w:szCs w:val="20"/>
          <w:color w:val="auto"/>
        </w:rPr>
      </w:pPr>
    </w:p>
    <w:p>
      <w:pPr>
        <w:ind w:left="660" w:hanging="544"/>
        <w:spacing w:after="0" w:line="260" w:lineRule="auto"/>
        <w:tabs>
          <w:tab w:leader="none" w:pos="66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represents the elimination of intercompany balances among Baidu, Inc., primary beneficiaries of VIEs excluding Baidu, Inc., other subsidiaries and the VIEs and VIEs’ subsidiaries.</w:t>
      </w:r>
    </w:p>
    <w:p>
      <w:pPr>
        <w:spacing w:after="0" w:line="181"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The carrying amounts of the assets, liabilities and the results of operations of the VIEs and their subsidiaries are presented in aggregate due to the similarity of the purpose and design of the VIEs and their subsidiaries, the nature of the assets in these VIEs and their subsidiaries and the type of the involvement of the Company in these VIEs and their subsidiaries.</w:t>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980" w:type="dxa"/>
            <w:vAlign w:val="bottom"/>
          </w:tcPr>
          <w:p>
            <w:pPr>
              <w:spacing w:after="0"/>
              <w:rPr>
                <w:sz w:val="15"/>
                <w:szCs w:val="15"/>
                <w:color w:val="auto"/>
              </w:rPr>
            </w:pPr>
          </w:p>
        </w:tc>
        <w:tc>
          <w:tcPr>
            <w:tcW w:w="3040" w:type="dxa"/>
            <w:vAlign w:val="bottom"/>
            <w:gridSpan w:val="8"/>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r>
      <w:tr>
        <w:trPr>
          <w:trHeight w:val="142"/>
        </w:trPr>
        <w:tc>
          <w:tcPr>
            <w:tcW w:w="798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ind w:right="3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9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3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r>
      <w:tr>
        <w:trPr>
          <w:trHeight w:val="117"/>
        </w:trPr>
        <w:tc>
          <w:tcPr>
            <w:tcW w:w="7980" w:type="dxa"/>
            <w:vAlign w:val="bottom"/>
          </w:tcPr>
          <w:p>
            <w:pPr>
              <w:spacing w:after="0"/>
              <w:rPr>
                <w:sz w:val="10"/>
                <w:szCs w:val="10"/>
                <w:color w:val="auto"/>
              </w:rPr>
            </w:pPr>
          </w:p>
        </w:tc>
        <w:tc>
          <w:tcPr>
            <w:tcW w:w="5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220" w:type="dxa"/>
            <w:vAlign w:val="bottom"/>
          </w:tcPr>
          <w:p>
            <w:pPr>
              <w:spacing w:after="0"/>
              <w:rPr>
                <w:sz w:val="10"/>
                <w:szCs w:val="10"/>
                <w:color w:val="auto"/>
              </w:rPr>
            </w:pPr>
          </w:p>
        </w:tc>
        <w:tc>
          <w:tcPr>
            <w:tcW w:w="560" w:type="dxa"/>
            <w:vAlign w:val="bottom"/>
          </w:tcPr>
          <w:p>
            <w:pPr>
              <w:jc w:val="right"/>
              <w:ind w:right="37"/>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220" w:type="dxa"/>
            <w:vAlign w:val="bottom"/>
          </w:tcPr>
          <w:p>
            <w:pPr>
              <w:spacing w:after="0"/>
              <w:rPr>
                <w:sz w:val="10"/>
                <w:szCs w:val="10"/>
                <w:color w:val="auto"/>
              </w:rPr>
            </w:pPr>
          </w:p>
        </w:tc>
        <w:tc>
          <w:tcPr>
            <w:tcW w:w="620" w:type="dxa"/>
            <w:vAlign w:val="bottom"/>
          </w:tcPr>
          <w:p>
            <w:pPr>
              <w:jc w:val="right"/>
              <w:ind w:right="56"/>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220" w:type="dxa"/>
            <w:vAlign w:val="bottom"/>
          </w:tcPr>
          <w:p>
            <w:pPr>
              <w:spacing w:after="0"/>
              <w:rPr>
                <w:sz w:val="10"/>
                <w:szCs w:val="10"/>
                <w:color w:val="auto"/>
              </w:rPr>
            </w:pPr>
          </w:p>
        </w:tc>
        <w:tc>
          <w:tcPr>
            <w:tcW w:w="540" w:type="dxa"/>
            <w:vAlign w:val="bottom"/>
          </w:tcPr>
          <w:p>
            <w:pPr>
              <w:jc w:val="right"/>
              <w:ind w:right="56"/>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c>
          <w:tcPr>
            <w:tcW w:w="120" w:type="dxa"/>
            <w:vAlign w:val="bottom"/>
          </w:tcPr>
          <w:p>
            <w:pPr>
              <w:spacing w:after="0"/>
              <w:rPr>
                <w:sz w:val="10"/>
                <w:szCs w:val="10"/>
                <w:color w:val="auto"/>
              </w:rPr>
            </w:pPr>
          </w:p>
        </w:tc>
      </w:tr>
      <w:tr>
        <w:trPr>
          <w:trHeight w:val="173"/>
        </w:trPr>
        <w:tc>
          <w:tcPr>
            <w:tcW w:w="79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20" w:type="dxa"/>
            <w:vAlign w:val="bottom"/>
            <w:gridSpan w:val="4"/>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1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67,001</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66,755</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74,650</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10,675</w:t>
            </w:r>
          </w:p>
        </w:tc>
      </w:tr>
      <w:tr>
        <w:trPr>
          <w:trHeight w:val="230"/>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4,202</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2,625</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(10,149)</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(1,451)</w:t>
            </w:r>
          </w:p>
        </w:tc>
      </w:tr>
      <w:tr>
        <w:trPr>
          <w:trHeight w:val="21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by/(used in) operating activities</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5,328</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(7,363)</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(14,504)</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(2,074)</w:t>
            </w: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(2,381)</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(7,584)</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(4,985)</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(713)</w:t>
            </w:r>
          </w:p>
        </w:tc>
      </w:tr>
      <w:tr>
        <w:trPr>
          <w:trHeight w:val="21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by/(used in) financing activities</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(1,998)</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12,098</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20,398</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2,917</w:t>
            </w:r>
          </w:p>
        </w:tc>
      </w:tr>
    </w:tbl>
    <w:p>
      <w:pPr>
        <w:spacing w:after="0" w:line="198" w:lineRule="exact"/>
        <w:rPr>
          <w:sz w:val="20"/>
          <w:szCs w:val="20"/>
          <w:color w:val="auto"/>
        </w:rPr>
      </w:pPr>
    </w:p>
    <w:p>
      <w:pPr>
        <w:jc w:val="both"/>
        <w:ind w:left="120"/>
        <w:spacing w:after="0" w:line="258" w:lineRule="auto"/>
        <w:rPr>
          <w:sz w:val="20"/>
          <w:szCs w:val="20"/>
          <w:color w:val="auto"/>
        </w:rPr>
      </w:pPr>
      <w:r>
        <w:rPr>
          <w:rFonts w:ascii="Times New Roman" w:cs="Times New Roman" w:eastAsia="Times New Roman" w:hAnsi="Times New Roman"/>
          <w:sz w:val="18"/>
          <w:szCs w:val="18"/>
          <w:color w:val="auto"/>
        </w:rPr>
        <w:t>As of December 31, 2024 and 2025, there was no pledge or collateralization of the VIEs’ assets that can only be used to settle obligations of the VIEs and VIEs’ subsidiaries, other than the aforementioned in the equity pledge agreements and business operation agreements. The amount of the net assets of the VIEs was RMB17.2 billion (US$2.5 billion) as of December 31, 2025. The creditors of the VIEs’ third-party liabilities did not have recourse to the general credit of the Company in normal course of business. The Company did not provide financial or other supports not previously contractually required to the VIEs during the years presented.</w:t>
      </w:r>
    </w:p>
    <w:p>
      <w:pPr>
        <w:spacing w:after="0" w:line="1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140"/>
          </w:cols>
          <w:pgMar w:left="320" w:top="482" w:right="439" w:bottom="1440" w:gutter="0" w:footer="0" w:header="0"/>
        </w:sectPr>
      </w:pPr>
    </w:p>
    <w:bookmarkStart w:id="240" w:name="page241"/>
    <w:bookmarkEnd w:id="2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41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BAIDU, INC.</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THE YEARS ENDED DECEMBER 31, 2023, 2024 AND 2025</w:t>
      </w:r>
    </w:p>
    <w:p>
      <w:pPr>
        <w:spacing w:after="0" w:line="230" w:lineRule="exact"/>
        <w:rPr>
          <w:sz w:val="20"/>
          <w:szCs w:val="20"/>
          <w:color w:val="auto"/>
        </w:rPr>
      </w:pPr>
    </w:p>
    <w:p>
      <w:pPr>
        <w:ind w:left="540" w:hanging="424"/>
        <w:spacing w:after="0"/>
        <w:tabs>
          <w:tab w:leader="none" w:pos="540" w:val="left"/>
        </w:tabs>
        <w:numPr>
          <w:ilvl w:val="0"/>
          <w:numId w:val="1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consolidated financial statements are prepared in accordance with United States generally accepted accounting principles (“U.S. GAAP”).</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financial statements of the Company, its subsidiaries, VIEs and subsidiaries of the VIEs. All inter-company transactions and balances between the Company, its subsidiaries, VIEs and subsidiaries of the VIEs have been eliminated upon consolidation.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Adoption of ASU 2023-09</w:t>
      </w:r>
    </w:p>
    <w:p>
      <w:pPr>
        <w:spacing w:after="0" w:line="117" w:lineRule="exact"/>
        <w:rPr>
          <w:sz w:val="20"/>
          <w:szCs w:val="20"/>
          <w:color w:val="auto"/>
        </w:rPr>
      </w:pPr>
    </w:p>
    <w:p>
      <w:pPr>
        <w:jc w:val="both"/>
        <w:ind w:left="120"/>
        <w:spacing w:after="0" w:line="256" w:lineRule="auto"/>
        <w:rPr>
          <w:sz w:val="20"/>
          <w:szCs w:val="20"/>
          <w:color w:val="auto"/>
        </w:rPr>
      </w:pPr>
      <w:r>
        <w:rPr>
          <w:rFonts w:ascii="Times New Roman" w:cs="Times New Roman" w:eastAsia="Times New Roman" w:hAnsi="Times New Roman"/>
          <w:sz w:val="18"/>
          <w:szCs w:val="18"/>
          <w:color w:val="auto"/>
        </w:rPr>
        <w:t xml:space="preserve">In December 2023, the Financial Accounting Standards Board (“FASB”) issued ASU 2023-09, </w:t>
      </w:r>
      <w:r>
        <w:rPr>
          <w:rFonts w:ascii="Times New Roman" w:cs="Times New Roman" w:eastAsia="Times New Roman" w:hAnsi="Times New Roman"/>
          <w:sz w:val="18"/>
          <w:szCs w:val="18"/>
          <w:i w:val="1"/>
          <w:iCs w:val="1"/>
          <w:color w:val="auto"/>
        </w:rPr>
        <w:t>Income Taxes (Topic 740): Improvements to 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Disclosures </w:t>
      </w:r>
      <w:r>
        <w:rPr>
          <w:rFonts w:ascii="Times New Roman" w:cs="Times New Roman" w:eastAsia="Times New Roman" w:hAnsi="Times New Roman"/>
          <w:sz w:val="18"/>
          <w:szCs w:val="18"/>
          <w:color w:val="auto"/>
        </w:rPr>
        <w:t>(“ASU 2023-09”), which improves income tax disclosures. The amendments require the disclosure of specific categories in the 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reconciliation and additional information for reconciling items that meet a quantitative threshold. The amendments also require disaggregated information about the amount of income taxes paid (net of refunds received), Income (or loss) from continuing operations before income tax expense (or benefit) and Income tax expense (or benefit) from continuing operations. The new guidance is required to be applied either prospectively or retrospectively. This guidance is effective for the Group’s fiscal years beginning after December 15, 2024. Early adoption is permitted. Beginning January 1, 2025, the Group adopted ASU 2023-09 prospectively.</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Comparative Information</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Certain items in the consolidated financial statements have been reclassified to conform with current year’s presentation.</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ind w:left="120"/>
        <w:spacing w:after="0" w:line="253" w:lineRule="auto"/>
        <w:rPr>
          <w:sz w:val="20"/>
          <w:szCs w:val="20"/>
          <w:color w:val="auto"/>
        </w:rPr>
      </w:pPr>
      <w:r>
        <w:rPr>
          <w:rFonts w:ascii="Times New Roman" w:cs="Times New Roman" w:eastAsia="Times New Roman" w:hAnsi="Times New Roman"/>
          <w:sz w:val="18"/>
          <w:szCs w:val="18"/>
          <w:color w:val="auto"/>
        </w:rPr>
        <w:t>The preparation of the financial statements in conformity with U.S. GAAP requires management to make estimates and assumptions that affect the reported amounts of assets and liabilities, and disclosures of contingent assets and liabilities at the date of the financial statements and the reported amounts of revenue and expenses during the period. Management evaluates estimates, including those related to the standalone selling prices of performance obligations and amounts of variable considerations of revenue contracts, the allowance for credit losses, fair values of certain debt and equity investments, future viewership consumption patterns and useful lives of licensed copyrights and produced content, future revenue generated by the broadcasting and sublicensing rights of content assets (licensed and produced), ultimate revenue of produced content predominantly monetized on its own, fair values of licensed copyrights and produced contents monetized as a film group or individually, the useful lives and impairment of long-lived assets, impairment of long-term investments and goodwill, the purchase price allocation, deferred tax valuation allowance, the fair value of share-based awards and estimated forfeitures for share-based awards among others. Management bases the estimates on historical experience and on various other assumptions that are believed to be reasonable, the results of which form the basis for making judgments about the carrying values of assets and liabilities. Actual results could differ from these estimates.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Currency Translation for Financial Statements Presentation</w:t>
      </w:r>
    </w:p>
    <w:p>
      <w:pPr>
        <w:spacing w:after="0" w:line="121"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Translations of amounts from RMB into U.S. dollars (US$) for the convenience of the reader have been calculated at the exchange rate of RMB6.9931 per US$1.00 on December 31, 2025, the last business day in fiscal year 2025, as published on the website of the United States Federal Reserve Board. No representation is made that the RMB amounts could have been, or could be, converted into U.S. dollars at such rate.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121" w:lineRule="exact"/>
        <w:rPr>
          <w:sz w:val="20"/>
          <w:szCs w:val="20"/>
          <w:color w:val="auto"/>
        </w:rPr>
      </w:pPr>
    </w:p>
    <w:p>
      <w:pPr>
        <w:jc w:val="both"/>
        <w:ind w:left="120"/>
        <w:spacing w:after="0" w:line="255" w:lineRule="auto"/>
        <w:rPr>
          <w:sz w:val="20"/>
          <w:szCs w:val="20"/>
          <w:color w:val="auto"/>
        </w:rPr>
      </w:pPr>
      <w:r>
        <w:rPr>
          <w:rFonts w:ascii="Times New Roman" w:cs="Times New Roman" w:eastAsia="Times New Roman" w:hAnsi="Times New Roman"/>
          <w:sz w:val="18"/>
          <w:szCs w:val="18"/>
          <w:color w:val="auto"/>
        </w:rPr>
        <w:t xml:space="preserve">The Company’s functional currency is the US$. The Company’s subsidiaries, VIEs and subsidiaries of the VIEs determine their functional currencies based on the criteria of ASC Topic 830, </w:t>
      </w:r>
      <w:r>
        <w:rPr>
          <w:rFonts w:ascii="Times New Roman" w:cs="Times New Roman" w:eastAsia="Times New Roman" w:hAnsi="Times New Roman"/>
          <w:sz w:val="18"/>
          <w:szCs w:val="18"/>
          <w:i w:val="1"/>
          <w:iCs w:val="1"/>
          <w:color w:val="auto"/>
        </w:rPr>
        <w:t>Foreign Currency Matters</w:t>
      </w:r>
      <w:r>
        <w:rPr>
          <w:rFonts w:ascii="Times New Roman" w:cs="Times New Roman" w:eastAsia="Times New Roman" w:hAnsi="Times New Roman"/>
          <w:sz w:val="18"/>
          <w:szCs w:val="18"/>
          <w:color w:val="auto"/>
        </w:rPr>
        <w:t>. The Group uses the RMB as its reporting currency. The Group uses the exchange rate as of the balance sheet date to translate its assets and liabilities and the average daily exchange rate for each month to translate its income and expense items to reporting currency. Any translation gains (losses) are recorded in other comprehensive income (loss). Transactions denominated in foreign currencies are measured and recorded into the functional currency at the exchange rates prevailing on the transaction dates. Assets and liabilities denominated in foreign currencies other than functional currency are remeasured into the functional currency at the exchange rates prevailing at the balance sheet date. Exchange gains and losses are included in earnings as a component of “Other income”.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140"/>
          </w:cols>
          <w:pgMar w:left="320" w:top="482" w:right="439" w:bottom="1440" w:gutter="0" w:footer="0" w:header="0"/>
        </w:sectPr>
      </w:pPr>
    </w:p>
    <w:bookmarkStart w:id="241" w:name="page242"/>
    <w:bookmarkEnd w:id="2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41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BAIDU, INC.</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THE YEARS ENDED DECEMBER 31, 2023, 2024 AND 2025</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121"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As of December 31, 2024 and 2025, the Group had two reportable segments, Baidu General Business and iQIYI. Baidu General Business mainly provides online marketing services and others including cloud services. iQIYI produces, aggregates and distributes a wide variety of professionally produced content, as well as a broad spectrum of other video content, in a variety of formats.</w:t>
      </w:r>
    </w:p>
    <w:p>
      <w:pPr>
        <w:spacing w:after="0" w:line="176"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 xml:space="preserve">The Group’s chief executive officer, who has been identified as the chief operating decision maker (“CODM”), reviews the operating results of Baidu General Business and iQIYI, to allocate resources and assess the Group’s performance. Accordingly, the financial statements include segment information which reflects the current composition of the reportable segments in accordance with ASC Topic 280, </w:t>
      </w:r>
      <w:r>
        <w:rPr>
          <w:rFonts w:ascii="Times New Roman" w:cs="Times New Roman" w:eastAsia="Times New Roman" w:hAnsi="Times New Roman"/>
          <w:sz w:val="18"/>
          <w:szCs w:val="18"/>
          <w:i w:val="1"/>
          <w:iCs w:val="1"/>
          <w:color w:val="auto"/>
        </w:rPr>
        <w:t>Segment Reporting.</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119" w:lineRule="exact"/>
        <w:rPr>
          <w:sz w:val="20"/>
          <w:szCs w:val="20"/>
          <w:color w:val="auto"/>
        </w:rPr>
      </w:pPr>
    </w:p>
    <w:p>
      <w:pPr>
        <w:jc w:val="both"/>
        <w:ind w:left="120"/>
        <w:spacing w:after="0" w:line="254" w:lineRule="auto"/>
        <w:rPr>
          <w:sz w:val="20"/>
          <w:szCs w:val="20"/>
          <w:color w:val="auto"/>
        </w:rPr>
      </w:pPr>
      <w:r>
        <w:rPr>
          <w:rFonts w:ascii="Times New Roman" w:cs="Times New Roman" w:eastAsia="Times New Roman" w:hAnsi="Times New Roman"/>
          <w:sz w:val="18"/>
          <w:szCs w:val="18"/>
          <w:color w:val="auto"/>
        </w:rPr>
        <w:t xml:space="preserve">The Group accounts for its business combinations using the acquisition method in accordance with ASC Topic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The acquisition method requires that the consideration transferred to be allocated to the assets, including separately identifiable assets and liabilities the Group acquired, based on their estimated fair values. The consideration transferred in an acquisition is measured as the aggregate of the fair values at the date of exchange of the assets given, liabilities incurred, and equity instruments issued as well as the contingent considerations as of the acquisition date. The costs directly attributable to the acquisition are expensed as incurred. Identifiable assets, liabilities and contingent liabilities acquired or assumed are measured separately at their fair value as of the acquisition date, irrespective of the extent of any noncontrolling interests. The excess of (i) the total cost of acquisition, fair value of the noncontrolling interests and acquisition date fair value of any previously held equity interests in the acquiree over (ii) the fair value of the identifiable net assets of the acquiree, is recorded as goodwill. If the cost of acquisition is less than the fair value of the net assets of the subsidiary acquired, the difference is recognized directly in earnings.</w:t>
      </w:r>
    </w:p>
    <w:p>
      <w:pPr>
        <w:spacing w:after="0" w:line="190"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In a business combination achieved in stages, the Group remeasures its previously held equity interest in the acquiree immediately before obtaining control at its acquisition-date fair value and the re-measurement gain or loss, if any, is recognized in “Others, net” in the consolidated statements of comprehensive income.</w:t>
      </w:r>
    </w:p>
    <w:p>
      <w:pPr>
        <w:spacing w:after="0" w:line="176" w:lineRule="exact"/>
        <w:rPr>
          <w:sz w:val="20"/>
          <w:szCs w:val="20"/>
          <w:color w:val="auto"/>
        </w:rPr>
      </w:pPr>
    </w:p>
    <w:p>
      <w:pPr>
        <w:jc w:val="both"/>
        <w:ind w:left="120" w:right="20"/>
        <w:spacing w:after="0" w:line="258" w:lineRule="auto"/>
        <w:rPr>
          <w:sz w:val="20"/>
          <w:szCs w:val="20"/>
          <w:color w:val="auto"/>
        </w:rPr>
      </w:pPr>
      <w:r>
        <w:rPr>
          <w:rFonts w:ascii="Times New Roman" w:cs="Times New Roman" w:eastAsia="Times New Roman" w:hAnsi="Times New Roman"/>
          <w:sz w:val="18"/>
          <w:szCs w:val="18"/>
          <w:color w:val="auto"/>
        </w:rPr>
        <w:t>The determination and allocation of fair values to the identifiable assets acquired, liabilities assumed and noncontrolling interests are based on various assumptions and valuation methodologies requiring considerable judgment from management. The most significant variables in these valuations are discount rates, the number of years on which to base the cash flow projections, as well as the assumptions and estimates used to determine the cash inflows and outflows. The Group determines discount rates to be used based on the risk inherent in the related activity’s current business model and industry comparisons.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121"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Cash and cash equivalents primarily consist of cash, money market funds, investments in interest bearing demand deposit accounts, time deposits and highly liquid investments with original maturities of three months or less from the date of purchase and are stated at cost which approximates their fair value.</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Cash that is restricted as to withdrawal for use is reported as “Restricted cash” in the consolidated balance sheets.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and Contract Assets, net</w:t>
      </w:r>
    </w:p>
    <w:p>
      <w:pPr>
        <w:spacing w:after="0" w:line="121" w:lineRule="exact"/>
        <w:rPr>
          <w:sz w:val="20"/>
          <w:szCs w:val="20"/>
          <w:color w:val="auto"/>
        </w:rPr>
      </w:pPr>
    </w:p>
    <w:p>
      <w:pPr>
        <w:jc w:val="both"/>
        <w:ind w:left="120"/>
        <w:spacing w:after="0" w:line="254" w:lineRule="auto"/>
        <w:rPr>
          <w:sz w:val="20"/>
          <w:szCs w:val="20"/>
          <w:color w:val="auto"/>
        </w:rPr>
      </w:pPr>
      <w:r>
        <w:rPr>
          <w:rFonts w:ascii="Times New Roman" w:cs="Times New Roman" w:eastAsia="Times New Roman" w:hAnsi="Times New Roman"/>
          <w:sz w:val="18"/>
          <w:szCs w:val="18"/>
          <w:color w:val="auto"/>
        </w:rPr>
        <w:t xml:space="preserve">Accounts receivable are recognized and carried at the original invoiced amount less an allowance for credit losses. The Group maintains an allowance for credit losses in accordance with ASC Topic 326, </w:t>
      </w:r>
      <w:r>
        <w:rPr>
          <w:rFonts w:ascii="Times New Roman" w:cs="Times New Roman" w:eastAsia="Times New Roman" w:hAnsi="Times New Roman"/>
          <w:sz w:val="18"/>
          <w:szCs w:val="18"/>
          <w:i w:val="1"/>
          <w:iCs w:val="1"/>
          <w:color w:val="auto"/>
        </w:rPr>
        <w:t>Credit Losses</w:t>
      </w:r>
      <w:r>
        <w:rPr>
          <w:rFonts w:ascii="Times New Roman" w:cs="Times New Roman" w:eastAsia="Times New Roman" w:hAnsi="Times New Roman"/>
          <w:sz w:val="18"/>
          <w:szCs w:val="18"/>
          <w:color w:val="auto"/>
        </w:rPr>
        <w:t xml:space="preserve"> (“ASC 326”) and records the allowance for credit losses as an offset to accounts receivable and contract assets, and the estimated credit losses charged to the allowance is classified as “Selling, general and administrative” in the consolidated statements of comprehensive income. The Group assesses collectability by reviewing accounts receivable and contract assets on a collective basis where similar characteristics exist and on an individual basis when the Group identifies specific customers with known disputes or collectability issues. In determining the amount of the allowance for credit losses, the Group considers historical collectability based on past due status, the age of the accounts receivable balances and contract assets balances, current economic conditions, reasonable and supportable forecasts of future economic conditions, and other factors that may affect the Group’s ability to collect from customers.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Transfer of Financial Assets</w:t>
      </w:r>
    </w:p>
    <w:p>
      <w:pPr>
        <w:spacing w:after="0" w:line="119"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 xml:space="preserve">The Group accounts for transfers of financial assets in accordance with ASC Topic 860, </w:t>
      </w:r>
      <w:r>
        <w:rPr>
          <w:rFonts w:ascii="Times New Roman" w:cs="Times New Roman" w:eastAsia="Times New Roman" w:hAnsi="Times New Roman"/>
          <w:sz w:val="18"/>
          <w:szCs w:val="18"/>
          <w:i w:val="1"/>
          <w:iCs w:val="1"/>
          <w:color w:val="auto"/>
        </w:rPr>
        <w:t>Transfers and Servicing</w:t>
      </w:r>
      <w:r>
        <w:rPr>
          <w:rFonts w:ascii="Times New Roman" w:cs="Times New Roman" w:eastAsia="Times New Roman" w:hAnsi="Times New Roman"/>
          <w:sz w:val="18"/>
          <w:szCs w:val="18"/>
          <w:color w:val="auto"/>
        </w:rPr>
        <w:t xml:space="preserve"> (“ASC 860”). For a transfer of financial assets considered as a sale, the assets would be derecognized from the Group’s consolidated balance sheets. If the conditions for a sale required by ASC 860 are not met, the transfer is considered to be a secured borrowing and the assets remain on the consolidated balance sheets while the sale proceeds are recorded as a secured borrowing.</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F-17</w:t>
      </w:r>
    </w:p>
    <w:p>
      <w:pPr>
        <w:sectPr>
          <w:pgSz w:w="11900" w:h="16838" w:orient="portrait"/>
          <w:cols w:equalWidth="0" w:num="1">
            <w:col w:w="11140"/>
          </w:cols>
          <w:pgMar w:left="320" w:top="482" w:right="439" w:bottom="1440" w:gutter="0" w:footer="0" w:header="0"/>
        </w:sectPr>
      </w:pPr>
    </w:p>
    <w:bookmarkStart w:id="242" w:name="page243"/>
    <w:bookmarkEnd w:id="2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41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BAIDU, INC.</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THE YEARS ENDED DECEMBER 31, 2023, 2024 AND 2025</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Short-term investments</w:t>
      </w:r>
    </w:p>
    <w:p>
      <w:pPr>
        <w:spacing w:after="0" w:line="117"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All highly liquid investments with original maturities less than twelve months are classified as short-term investments. Investments that are expected to be realized in cash during the next twelve months are also included in short-term investments.</w:t>
      </w:r>
    </w:p>
    <w:p>
      <w:pPr>
        <w:spacing w:after="0" w:line="160" w:lineRule="exact"/>
        <w:rPr>
          <w:sz w:val="20"/>
          <w:szCs w:val="20"/>
          <w:color w:val="auto"/>
        </w:rPr>
      </w:pPr>
    </w:p>
    <w:p>
      <w:pPr>
        <w:jc w:val="both"/>
        <w:ind w:left="120"/>
        <w:spacing w:after="0" w:line="267" w:lineRule="auto"/>
        <w:rPr>
          <w:sz w:val="20"/>
          <w:szCs w:val="20"/>
          <w:color w:val="auto"/>
        </w:rPr>
      </w:pPr>
      <w:r>
        <w:rPr>
          <w:rFonts w:ascii="Times New Roman" w:cs="Times New Roman" w:eastAsia="Times New Roman" w:hAnsi="Times New Roman"/>
          <w:sz w:val="18"/>
          <w:szCs w:val="18"/>
          <w:color w:val="auto"/>
        </w:rPr>
        <w:t xml:space="preserve">The Group accounts for short-term debt investments in accordance with ASC Topic 320, </w:t>
      </w:r>
      <w:r>
        <w:rPr>
          <w:rFonts w:ascii="Times New Roman" w:cs="Times New Roman" w:eastAsia="Times New Roman" w:hAnsi="Times New Roman"/>
          <w:sz w:val="18"/>
          <w:szCs w:val="18"/>
          <w:i w:val="1"/>
          <w:iCs w:val="1"/>
          <w:color w:val="auto"/>
        </w:rPr>
        <w:t>Investments – Debt Securitie</w:t>
      </w:r>
      <w:r>
        <w:rPr>
          <w:rFonts w:ascii="Times New Roman" w:cs="Times New Roman" w:eastAsia="Times New Roman" w:hAnsi="Times New Roman"/>
          <w:sz w:val="18"/>
          <w:szCs w:val="18"/>
          <w:color w:val="auto"/>
        </w:rPr>
        <w:t>s (“ASC 320”)</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Group classifies the short-term investments in debt investments as held-to-maturity, trading or available-for-sale, whose classification determines the respective accounting methods stipulated by ASC 320. Interest income for all categories of investments described above are included in earnings.</w:t>
      </w:r>
    </w:p>
    <w:p>
      <w:pPr>
        <w:spacing w:after="0" w:line="175"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Investments that the Group has the positive intent and ability to hold to maturity are classified as held-to-maturity investments and stated at amortized cost less allowance for credit losses.</w:t>
      </w:r>
    </w:p>
    <w:p>
      <w:pPr>
        <w:spacing w:after="0" w:line="162"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Investments that are bought and held principally for the purpose of selling them in the near term are classified as trading investments, in accordance with ASC 320. Unrealized holding gains and losses for trading securities are included in earnings.</w:t>
      </w:r>
    </w:p>
    <w:p>
      <w:pPr>
        <w:spacing w:after="0" w:line="162"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Debt investments not classified as trading or as held-to-maturity are classified as available-for-sale debt investments, which are reported at fair value, with unrealized gains and losses recorded in “Accumulated other comprehensive loss” on the consolidated balance sheets.</w:t>
      </w:r>
    </w:p>
    <w:p>
      <w:pPr>
        <w:spacing w:after="0" w:line="162"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The allowance for credit losses of the held-to-maturity debt investments reflects the Group’s estimated expected losses over the contractual lives of the held-to-maturity debt investments and is charged to “Others, net” in the consolidated statements of comprehensive income.</w:t>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Long-term investments</w:t>
      </w:r>
    </w:p>
    <w:p>
      <w:pPr>
        <w:spacing w:after="0" w:line="117"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The Group’s long-term investments consist of equity method investments, equity investments with readily determinable fair value, equity investments without readily determinable fair value, equity investments in private equity funds, other investments accounted for at fair value and available-for-sale debt investments.</w:t>
      </w:r>
    </w:p>
    <w:p>
      <w:pPr>
        <w:spacing w:after="0" w:line="176" w:lineRule="exact"/>
        <w:rPr>
          <w:sz w:val="20"/>
          <w:szCs w:val="20"/>
          <w:color w:val="auto"/>
        </w:rPr>
      </w:pPr>
    </w:p>
    <w:p>
      <w:pPr>
        <w:jc w:val="both"/>
        <w:ind w:left="120"/>
        <w:spacing w:after="0" w:line="252" w:lineRule="auto"/>
        <w:rPr>
          <w:sz w:val="20"/>
          <w:szCs w:val="20"/>
          <w:color w:val="auto"/>
        </w:rPr>
      </w:pPr>
      <w:r>
        <w:rPr>
          <w:rFonts w:ascii="Times New Roman" w:cs="Times New Roman" w:eastAsia="Times New Roman" w:hAnsi="Times New Roman"/>
          <w:sz w:val="18"/>
          <w:szCs w:val="18"/>
          <w:color w:val="auto"/>
        </w:rPr>
        <w:t xml:space="preserve">Investments in entities in which the Group can exercise significant influence but does not own a majority equity interest or control are accounted for using the equity method of accounting in accordance with ASC Topic 323, </w:t>
      </w:r>
      <w:r>
        <w:rPr>
          <w:rFonts w:ascii="Times New Roman" w:cs="Times New Roman" w:eastAsia="Times New Roman" w:hAnsi="Times New Roman"/>
          <w:sz w:val="18"/>
          <w:szCs w:val="18"/>
          <w:i w:val="1"/>
          <w:iCs w:val="1"/>
          <w:color w:val="auto"/>
        </w:rPr>
        <w:t>Investments-Equity Method and Joint Ventures</w:t>
      </w:r>
      <w:r>
        <w:rPr>
          <w:rFonts w:ascii="Times New Roman" w:cs="Times New Roman" w:eastAsia="Times New Roman" w:hAnsi="Times New Roman"/>
          <w:sz w:val="18"/>
          <w:szCs w:val="18"/>
          <w:color w:val="auto"/>
        </w:rPr>
        <w:t xml:space="preserve"> (“ASC 323”). Under the equity method, the Group initially records its investment at cost and the difference between the cost of the equity investee and the amount of the underlying equity in the net assets of the equity investee is accounted for as if the investee was a consolidated subsidiary. The Group subsequently adjusts the carrying amount of its investment to recognize the Group’s proportionate share of each equity investee’s net income or loss into earnings after the date of investment and its share of each equity investee’s movement in accumulated other comprehensive income or loss is recognized in other comprehensive income (loss). When calculating its proportionate share of each equity investee’s net income or loss, the Group adjusts the net income or loss of equity investee to include accretion of preferred stock that is classified in temporary equity in the investee’s financial statements, into earnings. The Group will discontinue applying the equity method if an investment (plus additional financial support provided to the investee, if any) has been reduced to zero. When the Group has other investments in its equity-method investee and is not required to advance additional funds to that investee, the Group would continue to report its share of equity method losses in its consolidated statements of comprehensive income after its equity-method investment in ordinary shares has been reduced to zero, to the extent of and as an adjustment to the adjusted basis of the Group’s other investments in the investee. Such losses are first applied to those investments of a lower liquidation preference before being further applied to the investments of a higher liquidation preference. The Group adopted a one-quarter lag in reporting for its share of equity earnings (losses) to a majority of its equity method investees.</w:t>
      </w:r>
    </w:p>
    <w:p>
      <w:pPr>
        <w:spacing w:after="0" w:line="196" w:lineRule="exact"/>
        <w:rPr>
          <w:sz w:val="20"/>
          <w:szCs w:val="20"/>
          <w:color w:val="auto"/>
        </w:rPr>
      </w:pPr>
    </w:p>
    <w:p>
      <w:pPr>
        <w:jc w:val="both"/>
        <w:ind w:left="120" w:right="20"/>
        <w:spacing w:after="0" w:line="254" w:lineRule="auto"/>
        <w:rPr>
          <w:sz w:val="20"/>
          <w:szCs w:val="20"/>
          <w:color w:val="auto"/>
        </w:rPr>
      </w:pPr>
      <w:r>
        <w:rPr>
          <w:rFonts w:ascii="Times New Roman" w:cs="Times New Roman" w:eastAsia="Times New Roman" w:hAnsi="Times New Roman"/>
          <w:sz w:val="18"/>
          <w:szCs w:val="18"/>
          <w:color w:val="auto"/>
        </w:rPr>
        <w:t>The Group evaluates its equity method investments for impairment at each reporting date, or more frequently if events or changes in circumstances indicate that the carrying amount of the investment might not be recoverable. Factors considered by the Group when determining whether an investment has been other-than-temporarily-impaired, include, but are not limited to, the length of the time and the extent to which the market value has been less than cost, the financial condition and near-term prospects of the investee, and the Group’s intent and ability to retain the investment until the recovery of its cost. An impairment loss on the equity method investments is recognized in earnings when the decline in value is determined to be other-than-temporary and is allocated to the individual net assets underlying equity method investments in the following order: 1) reduce any equity method goodwill to zero; 2) reduce the individual basis differences related to the investee’s long-lived assets pro rata based on their amounts relative to the overall basis difference at the impairment date; and 3) reduce the individual basis difference of the investee’s remaining assets in a systematic and rational manner.</w:t>
      </w:r>
    </w:p>
    <w:p>
      <w:pPr>
        <w:spacing w:after="0" w:line="188"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 xml:space="preserve">Equity investments in private equity funds that the Group does not have the ability to exercise significant influence are measured using the net asset value per share based on the practical expedient in ASC Topic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xml:space="preserve"> (“ASC 820”) (“NAV practical expedient”).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1">
            <w:col w:w="11140"/>
          </w:cols>
          <w:pgMar w:left="320" w:top="482" w:right="439" w:bottom="1440" w:gutter="0" w:footer="0" w:header="0"/>
        </w:sectPr>
      </w:pPr>
    </w:p>
    <w:bookmarkStart w:id="243" w:name="page244"/>
    <w:bookmarkEnd w:id="2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41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BAIDU, INC.</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THE YEARS ENDED DECEMBER 31, 2023, 2024 AND 2025</w:t>
      </w:r>
    </w:p>
    <w:p>
      <w:pPr>
        <w:spacing w:after="0" w:line="234" w:lineRule="exact"/>
        <w:rPr>
          <w:sz w:val="20"/>
          <w:szCs w:val="20"/>
          <w:color w:val="auto"/>
        </w:rPr>
      </w:pPr>
    </w:p>
    <w:p>
      <w:pPr>
        <w:jc w:val="both"/>
        <w:ind w:left="120"/>
        <w:spacing w:after="0" w:line="256" w:lineRule="auto"/>
        <w:rPr>
          <w:sz w:val="20"/>
          <w:szCs w:val="20"/>
          <w:color w:val="auto"/>
        </w:rPr>
      </w:pPr>
      <w:r>
        <w:rPr>
          <w:rFonts w:ascii="Times New Roman" w:cs="Times New Roman" w:eastAsia="Times New Roman" w:hAnsi="Times New Roman"/>
          <w:sz w:val="18"/>
          <w:szCs w:val="18"/>
          <w:color w:val="auto"/>
        </w:rPr>
        <w:t>For equity investments without readily determinable fair value and do not qualify for the NAV practical expedient, the Group elects to use the measurement alternative to measure those investments at cost, less any impairment, plus or minus changes resulting from observable price changes in orderly transactions for identical or similar investments of the same issuer, if any. Significant judgments are required to determine (i) whether observable price changes are orderly transactions and identical or similar to an investment held by the Group; and (ii) the selection of appropriate valuation methodologies and underlying assumptions, including expected volatility and the probability of exit events as it relates to liquidation and redemption features used to measure the price adjustments for the difference in rights and obligations between instruments.</w:t>
      </w:r>
    </w:p>
    <w:p>
      <w:pPr>
        <w:spacing w:after="0" w:line="187"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Equity investments with readily determinable fair values represent investments in the equity securities of publicly listed companies, on which the Group does not have significant influence, and are measured at fair value, any changes in fair value are recognized in “Others, net” in the consolidated statements of comprehensive income.</w:t>
      </w:r>
    </w:p>
    <w:p>
      <w:pPr>
        <w:spacing w:after="0" w:line="176" w:lineRule="exact"/>
        <w:rPr>
          <w:sz w:val="20"/>
          <w:szCs w:val="20"/>
          <w:color w:val="auto"/>
        </w:rPr>
      </w:pPr>
    </w:p>
    <w:p>
      <w:pPr>
        <w:jc w:val="both"/>
        <w:ind w:left="120" w:right="20"/>
        <w:spacing w:after="0" w:line="254" w:lineRule="auto"/>
        <w:rPr>
          <w:sz w:val="20"/>
          <w:szCs w:val="20"/>
          <w:color w:val="auto"/>
        </w:rPr>
      </w:pPr>
      <w:r>
        <w:rPr>
          <w:rFonts w:ascii="Times New Roman" w:cs="Times New Roman" w:eastAsia="Times New Roman" w:hAnsi="Times New Roman"/>
          <w:sz w:val="18"/>
          <w:szCs w:val="18"/>
          <w:color w:val="auto"/>
        </w:rPr>
        <w:t>For equity investments measured at fair value with changes in fair value recorded in earnings, the Group does not assess whether those investments are impaired. For equity investments that the Group elects to use the measurement alternative, the Group performs impairment assessment considering impairment indicators to evaluate whether investments are impaired at each reporting date. Impairment indicators considered include, but are not limited to, a significant deterioration in the financial performance or business prospects of the investee, factors that raise significant concerns about the investee’s ability to continue as a going concern, a significant adverse change in the regulatory, economic, or technologic environment of the investee and a significant adverse change in the general market condition of either the geographical area or the industry in which the investee operates. If impairment assessment indicates that the investment is impaired, the entity has to estimate the investment’s fair value in accordance with the principles of ASC 820. If the fair value is less than the investment’s carrying value, the Group recognizes an impairment loss in earnings equal to the difference between the carrying value and fair value.</w:t>
      </w:r>
    </w:p>
    <w:p>
      <w:pPr>
        <w:spacing w:after="0" w:line="186" w:lineRule="exact"/>
        <w:rPr>
          <w:sz w:val="20"/>
          <w:szCs w:val="20"/>
          <w:color w:val="auto"/>
        </w:rPr>
      </w:pPr>
    </w:p>
    <w:p>
      <w:pPr>
        <w:jc w:val="both"/>
        <w:ind w:left="120" w:right="20"/>
        <w:spacing w:after="0" w:line="261" w:lineRule="auto"/>
        <w:rPr>
          <w:sz w:val="20"/>
          <w:szCs w:val="20"/>
          <w:color w:val="auto"/>
        </w:rPr>
      </w:pPr>
      <w:r>
        <w:rPr>
          <w:rFonts w:ascii="Times New Roman" w:cs="Times New Roman" w:eastAsia="Times New Roman" w:hAnsi="Times New Roman"/>
          <w:sz w:val="18"/>
          <w:szCs w:val="18"/>
          <w:color w:val="auto"/>
        </w:rPr>
        <w:t xml:space="preserve">In accordance with ASC Subtopic 946-320, </w:t>
      </w:r>
      <w:r>
        <w:rPr>
          <w:rFonts w:ascii="Times New Roman" w:cs="Times New Roman" w:eastAsia="Times New Roman" w:hAnsi="Times New Roman"/>
          <w:sz w:val="18"/>
          <w:szCs w:val="18"/>
          <w:i w:val="1"/>
          <w:iCs w:val="1"/>
          <w:color w:val="auto"/>
        </w:rPr>
        <w:t>Financial Services—Investment Companies, Investments—Debt and Equity Securities</w:t>
      </w:r>
      <w:r>
        <w:rPr>
          <w:rFonts w:ascii="Times New Roman" w:cs="Times New Roman" w:eastAsia="Times New Roman" w:hAnsi="Times New Roman"/>
          <w:sz w:val="18"/>
          <w:szCs w:val="18"/>
          <w:color w:val="auto"/>
        </w:rPr>
        <w:t xml:space="preserve"> (“ASC 946-320”)</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Group’s consolidated investment company accounts for long-term equity investments in unlisted companies at fair value. These investments were initially recorded at their transaction price net of transaction costs, if any. Fair values of these investments are remeasured at each reporting date in accordance with ASC 820, and any changes in fair value are recognized in “Others, net” in the consolidated statements of comprehensive income.</w:t>
      </w:r>
    </w:p>
    <w:p>
      <w:pPr>
        <w:spacing w:after="0" w:line="182"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Available-for-sale debt investments are convertible debt instruments and investments in preferred shares that are currently redeemable at the Group’s option, and are measured at fair value. Interest income is recognized in earnings. All other changes in the carrying amount of these debt investments are recognized in other comprehensive income (loss).</w:t>
      </w:r>
    </w:p>
    <w:p>
      <w:pPr>
        <w:spacing w:after="0" w:line="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Long-term time deposits and held-to-maturity investments</w:t>
      </w:r>
    </w:p>
    <w:p>
      <w:pPr>
        <w:spacing w:after="0" w:line="117"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Long-term time deposits and held-to-maturity investments are mainly deposits in commercial banks and wealth management products issued by commercial banks and other financial institutions with maturities of greater than one year.</w:t>
      </w:r>
    </w:p>
    <w:p>
      <w:pPr>
        <w:spacing w:after="0" w:line="162"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Investments in debt investments with maturities of greater than one year that the Group has positive intent and ability to hold to maturity are classified as long-term held-to-maturity investments and stated at amortized cost less allowance for credit losses.</w:t>
      </w:r>
    </w:p>
    <w:p>
      <w:pPr>
        <w:spacing w:after="0" w:line="162"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The allowance for credit losses of the held-to-maturity debt investments reflects the Group’s estimated expected losses over the contractual lives of the held-to-maturity debt investments and is charged to “Others, net” in the consolidated statements of comprehensive income.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 of Financial Instruments</w:t>
      </w:r>
    </w:p>
    <w:p>
      <w:pPr>
        <w:spacing w:after="0" w:line="121" w:lineRule="exact"/>
        <w:rPr>
          <w:sz w:val="20"/>
          <w:szCs w:val="20"/>
          <w:color w:val="auto"/>
        </w:rPr>
      </w:pPr>
    </w:p>
    <w:p>
      <w:pPr>
        <w:jc w:val="both"/>
        <w:ind w:left="120"/>
        <w:spacing w:after="0" w:line="256" w:lineRule="auto"/>
        <w:rPr>
          <w:sz w:val="20"/>
          <w:szCs w:val="20"/>
          <w:color w:val="auto"/>
        </w:rPr>
      </w:pPr>
      <w:r>
        <w:rPr>
          <w:rFonts w:ascii="Times New Roman" w:cs="Times New Roman" w:eastAsia="Times New Roman" w:hAnsi="Times New Roman"/>
          <w:sz w:val="18"/>
          <w:szCs w:val="18"/>
          <w:color w:val="auto"/>
        </w:rPr>
        <w:t>Financial instruments include cash and cash equivalents, restricted cash, short-term investments, amounts due from and due to related parties, other receivables, long-term investments, notes payable, convertible senior notes and long-term loans. The carrying values of the aforementioned financial instruments included in current assets and liabilities approximate their respective fair values because of their general short maturities. The carrying amounts of long-term loans approximate fair values as the related interest rates currently offered by financial institutions for similar debt instruments of comparable maturities. The fair value of long-term investments, notes payable and convertible senior notes that are not reported at fair value are disclosed in Note 26.</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F-19</w:t>
      </w:r>
    </w:p>
    <w:p>
      <w:pPr>
        <w:sectPr>
          <w:pgSz w:w="11900" w:h="16838" w:orient="portrait"/>
          <w:cols w:equalWidth="0" w:num="1">
            <w:col w:w="11140"/>
          </w:cols>
          <w:pgMar w:left="320" w:top="482" w:right="439" w:bottom="1440" w:gutter="0" w:footer="0" w:header="0"/>
        </w:sectPr>
      </w:pPr>
    </w:p>
    <w:bookmarkStart w:id="244" w:name="page245"/>
    <w:bookmarkEnd w:id="2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41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BAIDU, INC.</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THE YEARS ENDED DECEMBER 31, 2023, 2024 AND 2025</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Fixed Assets</w:t>
      </w:r>
    </w:p>
    <w:p>
      <w:pPr>
        <w:spacing w:after="0" w:line="121"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Fixed assets are stated at cost less accumulated depreciation. Depreciation is recorded on a straight-line basis over the shorter of the estimated useful lives of the assets or the term of the related lease, as follows:</w:t>
      </w:r>
    </w:p>
    <w:p>
      <w:pPr>
        <w:spacing w:after="0" w:line="207"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building</w:t>
            </w:r>
          </w:p>
        </w:tc>
        <w:tc>
          <w:tcPr>
            <w:tcW w:w="60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–  43 to 45 years</w:t>
            </w: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Office building related facility, machinery and equipment</w:t>
            </w:r>
          </w:p>
        </w:tc>
        <w:tc>
          <w:tcPr>
            <w:tcW w:w="608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–  10 to 15 years</w:t>
            </w: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60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–  3 to 6 years</w:t>
            </w: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Office equipment</w:t>
            </w:r>
          </w:p>
        </w:tc>
        <w:tc>
          <w:tcPr>
            <w:tcW w:w="608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–  3 to 5 years</w:t>
            </w: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Vehicles and related machinery and equipment</w:t>
            </w:r>
          </w:p>
        </w:tc>
        <w:tc>
          <w:tcPr>
            <w:tcW w:w="60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–  2 to 8 years</w:t>
            </w:r>
          </w:p>
        </w:tc>
      </w:tr>
      <w:tr>
        <w:trPr>
          <w:trHeight w:val="234"/>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608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–  over the shorter of lease terms or estimated useful lives of the assets</w:t>
            </w:r>
          </w:p>
        </w:tc>
      </w:tr>
    </w:tbl>
    <w:p>
      <w:pPr>
        <w:spacing w:after="0" w:line="179" w:lineRule="exact"/>
        <w:rPr>
          <w:sz w:val="20"/>
          <w:szCs w:val="20"/>
          <w:color w:val="auto"/>
        </w:rPr>
      </w:pPr>
    </w:p>
    <w:p>
      <w:pPr>
        <w:jc w:val="both"/>
        <w:ind w:left="120"/>
        <w:spacing w:after="0" w:line="282" w:lineRule="auto"/>
        <w:rPr>
          <w:sz w:val="20"/>
          <w:szCs w:val="20"/>
          <w:color w:val="auto"/>
        </w:rPr>
      </w:pPr>
      <w:r>
        <w:rPr>
          <w:rFonts w:ascii="Times New Roman" w:cs="Times New Roman" w:eastAsia="Times New Roman" w:hAnsi="Times New Roman"/>
          <w:sz w:val="18"/>
          <w:szCs w:val="18"/>
          <w:color w:val="auto"/>
        </w:rPr>
        <w:t>Fixed assets have no estimated residual value except for the office building and its related facility, machinery and equipment, which mainly have an estimated residual value of 4% of the cost.</w:t>
      </w:r>
    </w:p>
    <w:p>
      <w:pPr>
        <w:spacing w:after="0" w:line="162"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Repair and maintenance costs are charged to expense as incurred, whereas the cost of renewals and betterments that extend the useful life of fixed assets are capitalized as additions to the related assets. Retirements, sales and disposals of assets are recorded by removing the cost and accumulated depreciation from the asset and accumulated depreciation accounts with any resulting gain or loss reflected in earnings. Construction in progress is transferred to specific fixed assets items and depreciation of these assets commences when they are ready for their intended use.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Licensed Copyrights, net</w:t>
      </w:r>
    </w:p>
    <w:p>
      <w:pPr>
        <w:spacing w:after="0" w:line="121" w:lineRule="exact"/>
        <w:rPr>
          <w:sz w:val="20"/>
          <w:szCs w:val="20"/>
          <w:color w:val="auto"/>
        </w:rPr>
      </w:pPr>
    </w:p>
    <w:p>
      <w:pPr>
        <w:jc w:val="both"/>
        <w:ind w:left="120"/>
        <w:spacing w:after="0" w:line="258" w:lineRule="auto"/>
        <w:rPr>
          <w:sz w:val="20"/>
          <w:szCs w:val="20"/>
          <w:color w:val="auto"/>
        </w:rPr>
      </w:pPr>
      <w:r>
        <w:rPr>
          <w:rFonts w:ascii="Times New Roman" w:cs="Times New Roman" w:eastAsia="Times New Roman" w:hAnsi="Times New Roman"/>
          <w:sz w:val="18"/>
          <w:szCs w:val="18"/>
          <w:color w:val="auto"/>
        </w:rPr>
        <w:t>Licensed copyrights consist of professionally produced content acquired from external parties, such as drama series, films, variety shows, children’s content, animations, and others, along with micro dramas. The license fees are capitalized and, unless prepaid, a corresponding liability is recorded when the cost of the content is known, the content is accepted by the Group in accordance with the conditions of the license agreement and the content is available for its first showing on the Group’s platforms. Licensed copyrights are presented on the consolidated balance sheets as current and non-current based on estimated time of usage.</w:t>
      </w:r>
    </w:p>
    <w:p>
      <w:pPr>
        <w:spacing w:after="0" w:line="183"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The Group’s licensed copyrights include the right to broadcast and, in some instances, the right to sublicense. When licensed copyrights include both broadcasting and sublicensing rights, the content costs are allocated to these two rights upon initial recognition.</w:t>
      </w:r>
    </w:p>
    <w:p>
      <w:pPr>
        <w:spacing w:after="0" w:line="162" w:lineRule="exact"/>
        <w:rPr>
          <w:sz w:val="20"/>
          <w:szCs w:val="20"/>
          <w:color w:val="auto"/>
        </w:rPr>
      </w:pPr>
    </w:p>
    <w:p>
      <w:pPr>
        <w:jc w:val="both"/>
        <w:ind w:left="120"/>
        <w:spacing w:after="0" w:line="256" w:lineRule="auto"/>
        <w:rPr>
          <w:sz w:val="20"/>
          <w:szCs w:val="20"/>
          <w:color w:val="auto"/>
        </w:rPr>
      </w:pPr>
      <w:r>
        <w:rPr>
          <w:rFonts w:ascii="Times New Roman" w:cs="Times New Roman" w:eastAsia="Times New Roman" w:hAnsi="Times New Roman"/>
          <w:sz w:val="18"/>
          <w:szCs w:val="18"/>
          <w:color w:val="auto"/>
        </w:rPr>
        <w:t xml:space="preserve">For the right to broadcast the contents on its own platforms, the content costs are amortized with an accelerated method considering historical and estimated future viewership consumption patterns over the shorter of each content’s contractual period or estimated useful lives within ten years. Estimates of future viewership consumption patterns and estimated useful lives are reviewed periodically, at least on an annual basis and revised, if necessary. Revisions to the amortization patterns are accounted for as a change in accounting estimate prospectively in accordance with ASC Topic 250, </w:t>
      </w:r>
      <w:r>
        <w:rPr>
          <w:rFonts w:ascii="Times New Roman" w:cs="Times New Roman" w:eastAsia="Times New Roman" w:hAnsi="Times New Roman"/>
          <w:sz w:val="18"/>
          <w:szCs w:val="18"/>
          <w:i w:val="1"/>
          <w:iCs w:val="1"/>
          <w:color w:val="auto"/>
        </w:rPr>
        <w:t xml:space="preserve">Accounting Changes and Error Corrections </w:t>
      </w:r>
      <w:r>
        <w:rPr>
          <w:rFonts w:ascii="Times New Roman" w:cs="Times New Roman" w:eastAsia="Times New Roman" w:hAnsi="Times New Roman"/>
          <w:sz w:val="18"/>
          <w:szCs w:val="18"/>
          <w:color w:val="auto"/>
        </w:rPr>
        <w:t>(“ASC 250”). For the right to sublicense the content to external parties, the content costs are amortized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based on its estimated usage pattern and recorded as cost of revenue.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Produced Content, net</w:t>
      </w:r>
    </w:p>
    <w:p>
      <w:pPr>
        <w:spacing w:after="0" w:line="121" w:lineRule="exact"/>
        <w:rPr>
          <w:sz w:val="20"/>
          <w:szCs w:val="20"/>
          <w:color w:val="auto"/>
        </w:rPr>
      </w:pPr>
    </w:p>
    <w:p>
      <w:pPr>
        <w:jc w:val="both"/>
        <w:ind w:left="120"/>
        <w:spacing w:after="0" w:line="254" w:lineRule="auto"/>
        <w:rPr>
          <w:sz w:val="20"/>
          <w:szCs w:val="20"/>
          <w:color w:val="auto"/>
        </w:rPr>
      </w:pPr>
      <w:r>
        <w:rPr>
          <w:rFonts w:ascii="Times New Roman" w:cs="Times New Roman" w:eastAsia="Times New Roman" w:hAnsi="Times New Roman"/>
          <w:sz w:val="18"/>
          <w:szCs w:val="18"/>
          <w:color w:val="auto"/>
        </w:rPr>
        <w:t>The Group produces original content in-house and in collaboration with external parties. Produced content primarily consists of drama series, films, variety shows, children’s content, animations, and others, along with micro dramas. The costs incurred in the physical production of original content include direct production costs, production overhead and acquisition costs. Produced content also includes cash expenditures made to acquire a proportionate share of certain rights to films including profit sharing, distribution and/or other rights. Exploitation costs are expensed as incurred. Participation costs are accrued using the individual-film-forecast-computation method, which recognizes the costs in the same ratio as the associated ultimate revenue. Production costs for original content that are predominantly monetized in a film group are capitalized. Production costs for original content that are predominantly monetized on its own are capitalized to the extent that they are recoverable from revenue expected to be earned (“ultimate revenue”); otherwise, they are expensed as cost of revenue.</w:t>
      </w:r>
    </w:p>
    <w:p>
      <w:pPr>
        <w:spacing w:after="0" w:line="192"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Ultimate revenue estimates include revenue expected to be earned from all sources during the estimated useful lives of produced content based on anticipated release patterns and historical results of similar produced content. The capitalized production costs are reported separately as “Produced content, net” on the consolidated balance sheets.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Group amortizes produced content using an accelerated method by considering historical and estimated usage patterns, generally within ten years.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Amortization costs are included in “Cost of revenue” in the consolidated statements of comprehensive income.</w:t>
      </w:r>
    </w:p>
    <w:p>
      <w:pPr>
        <w:spacing w:after="0" w:line="1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F-20</w:t>
      </w:r>
    </w:p>
    <w:p>
      <w:pPr>
        <w:sectPr>
          <w:pgSz w:w="11900" w:h="16838" w:orient="portrait"/>
          <w:cols w:equalWidth="0" w:num="1">
            <w:col w:w="11140"/>
          </w:cols>
          <w:pgMar w:left="320" w:top="482" w:right="439" w:bottom="1440" w:gutter="0" w:footer="0" w:header="0"/>
        </w:sectPr>
      </w:pPr>
    </w:p>
    <w:bookmarkStart w:id="245" w:name="page246"/>
    <w:bookmarkEnd w:id="2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4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BAIDU, INC.</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THE YEARS ENDED DECEMBER 31, 2023, 2024 AND 2025</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Licensed Copyrights and Produced Content</w:t>
      </w:r>
    </w:p>
    <w:p>
      <w:pPr>
        <w:spacing w:after="0" w:line="121" w:lineRule="exact"/>
        <w:rPr>
          <w:sz w:val="20"/>
          <w:szCs w:val="20"/>
          <w:color w:val="auto"/>
        </w:rPr>
      </w:pPr>
    </w:p>
    <w:p>
      <w:pPr>
        <w:jc w:val="both"/>
        <w:ind w:left="120"/>
        <w:spacing w:after="0" w:line="254" w:lineRule="auto"/>
        <w:rPr>
          <w:sz w:val="20"/>
          <w:szCs w:val="20"/>
          <w:color w:val="auto"/>
        </w:rPr>
      </w:pPr>
      <w:r>
        <w:rPr>
          <w:rFonts w:ascii="Times New Roman" w:cs="Times New Roman" w:eastAsia="Times New Roman" w:hAnsi="Times New Roman"/>
          <w:sz w:val="18"/>
          <w:szCs w:val="18"/>
          <w:color w:val="auto"/>
        </w:rPr>
        <w:t>The Group evaluates its film groups and individual content for impairment when there are events or changes in circumstances that indicate the fair value of a film group or individual content may be less than its unamortized costs. When such events or changes in circumstances are identified, the Group assesses whether the fair value of an individual content (or film group) is less than its unamortized film costs, determines the fair value of an individual content (or film group) and recognizes an impairment charge for the amount by which the unamortized capitalized costs exceed the individual content’s (or film group’s) fair value. The Group mainly uses a discounted cash flow approach to determine the fair value of an individual content or film group, of which the most significant inputs include the forecasted future revenue, costs and operating expenses attributable to an individual content or the film group and the discount rate. An impairment loss attributable to a film group is allocated to individual licensed copyright and produced content within the film group on a pro rata basis using the relative carrying values of those assets.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Goodwill</w:t>
      </w:r>
    </w:p>
    <w:p>
      <w:pPr>
        <w:spacing w:after="0" w:line="117" w:lineRule="exact"/>
        <w:rPr>
          <w:sz w:val="20"/>
          <w:szCs w:val="20"/>
          <w:color w:val="auto"/>
        </w:rPr>
      </w:pPr>
    </w:p>
    <w:p>
      <w:pPr>
        <w:jc w:val="both"/>
        <w:ind w:left="120"/>
        <w:spacing w:after="0" w:line="258" w:lineRule="auto"/>
        <w:rPr>
          <w:sz w:val="20"/>
          <w:szCs w:val="20"/>
          <w:color w:val="auto"/>
        </w:rPr>
      </w:pPr>
      <w:r>
        <w:rPr>
          <w:rFonts w:ascii="Times New Roman" w:cs="Times New Roman" w:eastAsia="Times New Roman" w:hAnsi="Times New Roman"/>
          <w:sz w:val="18"/>
          <w:szCs w:val="18"/>
          <w:color w:val="auto"/>
        </w:rPr>
        <w:t xml:space="preserve">Goodwill represents the excess of the purchase price over the fair value of the identifiable net assets acquired in a business combination. The Group assesses goodwill for impairment in accordance with ASC Subtopic 350-20, </w:t>
      </w:r>
      <w:r>
        <w:rPr>
          <w:rFonts w:ascii="Times New Roman" w:cs="Times New Roman" w:eastAsia="Times New Roman" w:hAnsi="Times New Roman"/>
          <w:sz w:val="18"/>
          <w:szCs w:val="18"/>
          <w:i w:val="1"/>
          <w:iCs w:val="1"/>
          <w:color w:val="auto"/>
        </w:rPr>
        <w:t>Intangibles—Goodwill and Other: Goodwill</w:t>
      </w:r>
      <w:r>
        <w:rPr>
          <w:rFonts w:ascii="Times New Roman" w:cs="Times New Roman" w:eastAsia="Times New Roman" w:hAnsi="Times New Roman"/>
          <w:sz w:val="18"/>
          <w:szCs w:val="18"/>
          <w:color w:val="auto"/>
        </w:rPr>
        <w:t xml:space="preserve"> (“ASC 350-20”), which requires goodwill to be tested for impairment at the reporting unit level at least annually and more frequently upon the occurrence of certain events, as defined by ASC 350-20. As of December 31, 2024 and 2025, the Group has three reporting units, consisting of Baidu General Business excluding Smart Living Group (“SLG”), SLG and iQIYI.</w:t>
      </w:r>
    </w:p>
    <w:p>
      <w:pPr>
        <w:spacing w:after="0" w:line="183" w:lineRule="exact"/>
        <w:rPr>
          <w:sz w:val="20"/>
          <w:szCs w:val="20"/>
          <w:color w:val="auto"/>
        </w:rPr>
      </w:pPr>
    </w:p>
    <w:p>
      <w:pPr>
        <w:jc w:val="both"/>
        <w:ind w:left="120" w:right="20"/>
        <w:spacing w:after="0" w:line="255" w:lineRule="auto"/>
        <w:rPr>
          <w:sz w:val="20"/>
          <w:szCs w:val="20"/>
          <w:color w:val="auto"/>
        </w:rPr>
      </w:pPr>
      <w:r>
        <w:rPr>
          <w:rFonts w:ascii="Times New Roman" w:cs="Times New Roman" w:eastAsia="Times New Roman" w:hAnsi="Times New Roman"/>
          <w:sz w:val="18"/>
          <w:szCs w:val="18"/>
          <w:color w:val="auto"/>
        </w:rPr>
        <w:t>The Group has the option to assess qualitative factors first to determine whether it is necessary to perform the quantitative test in accordance with ASC 350-20. In the qualitative assessment, the Group considers primary factors such as industry and market considerations, overall financial performance of the reporting unit, and other specific information related to the operations. If the Group believes, as a result of the qualitative assessment, that it is more-likely-than-not that the fair value of the reporting unit is less than its carrying amount, the quantitative impairment test described above is required. Otherwise, no further testing is required. The quantitative impairment test compares the fair value of the reporting unit with its carrying amount, including goodwill. If the carrying amount of a reporting unit exceeds its fair value, an impairment loss shall be recognized in an amount equal to that excess.</w:t>
      </w:r>
    </w:p>
    <w:p>
      <w:pPr>
        <w:spacing w:after="0" w:line="189"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The Group performed quantitative assessments for the reporting units of Baidu General Business excluding SLG and SLG. The fair values of the reporting units of Baidu General Business excluding SLG and SLG were determined using the income approach and market approach as appropriate. The Group performed impairment assessment for the iQIYI reporting unit and did not believe that it is more-likely-than-not that the fair value of the reporting unit is less than its carrying amount. No impairment loss was recorded for the years presented.</w:t>
      </w:r>
    </w:p>
    <w:p>
      <w:pPr>
        <w:spacing w:after="0" w:line="180" w:lineRule="exact"/>
        <w:rPr>
          <w:sz w:val="20"/>
          <w:szCs w:val="20"/>
          <w:color w:val="auto"/>
        </w:rPr>
      </w:pPr>
    </w:p>
    <w:p>
      <w:pPr>
        <w:jc w:val="both"/>
        <w:ind w:left="120" w:right="20"/>
        <w:spacing w:after="0" w:line="261" w:lineRule="auto"/>
        <w:rPr>
          <w:sz w:val="20"/>
          <w:szCs w:val="20"/>
          <w:color w:val="auto"/>
        </w:rPr>
      </w:pPr>
      <w:r>
        <w:rPr>
          <w:rFonts w:ascii="Times New Roman" w:cs="Times New Roman" w:eastAsia="Times New Roman" w:hAnsi="Times New Roman"/>
          <w:sz w:val="18"/>
          <w:szCs w:val="18"/>
          <w:color w:val="auto"/>
        </w:rPr>
        <w:t>Application of a goodwill impairment test requires significant management judgment and estimation, such as identification of reporting units, estimating the fair value of each reporting unit. Estimating the fair value of reporting units using income approach and market approach involved significant assumptions, such as revenue growth rates and discount rate. Changes in these assumptions could materially affect the determination of fair value for each reporting unit.</w:t>
      </w:r>
    </w:p>
    <w:p>
      <w:pPr>
        <w:spacing w:after="0" w:line="180"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On disposal of a portion of reporting unit that constitutes a business, the attributable amount of goodwill is included in the determination of the amount of gain or loss recognized upon disposal. When the Group disposes of a business within the reporting unit, the amount of goodwill disposed is measured on the basis of the relative fair value of the business disposed and the portion of the reporting unit retained.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Intangible assets</w:t>
      </w:r>
    </w:p>
    <w:p>
      <w:pPr>
        <w:spacing w:after="0" w:line="117"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Intangible assets with finite lives are carried at cost less accumulated amortization. All intangible assets with finite lives are amortized using the straight-line method over their estimated useful lives.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Intangible assets have weighted average useful lives from the date of purchase as follows:</w:t>
      </w:r>
    </w:p>
    <w:p>
      <w:pPr>
        <w:spacing w:after="0" w:line="270"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Trademarks</w:t>
            </w:r>
          </w:p>
        </w:tc>
        <w:tc>
          <w:tcPr>
            <w:tcW w:w="5420" w:type="dxa"/>
            <w:vAlign w:val="bottom"/>
            <w:shd w:val="clear" w:color="auto" w:fill="CCEEFF"/>
          </w:tcPr>
          <w:p>
            <w:pPr>
              <w:ind w:left="1580"/>
              <w:spacing w:after="0"/>
              <w:rPr>
                <w:sz w:val="20"/>
                <w:szCs w:val="20"/>
                <w:color w:val="auto"/>
              </w:rPr>
            </w:pPr>
            <w:r>
              <w:rPr>
                <w:rFonts w:ascii="Times New Roman" w:cs="Times New Roman" w:eastAsia="Times New Roman" w:hAnsi="Times New Roman"/>
                <w:sz w:val="18"/>
                <w:szCs w:val="18"/>
                <w:color w:val="auto"/>
              </w:rPr>
              <w:t>– 11 years</w:t>
            </w:r>
          </w:p>
        </w:tc>
      </w:tr>
      <w:tr>
        <w:trPr>
          <w:trHeight w:val="216"/>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Technology and software</w:t>
            </w:r>
          </w:p>
        </w:tc>
        <w:tc>
          <w:tcPr>
            <w:tcW w:w="542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 2 years</w:t>
            </w:r>
          </w:p>
        </w:tc>
      </w:tr>
      <w:tr>
        <w:trPr>
          <w:trHeight w:val="216"/>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Intellectual property right</w:t>
            </w:r>
          </w:p>
        </w:tc>
        <w:tc>
          <w:tcPr>
            <w:tcW w:w="5420" w:type="dxa"/>
            <w:vAlign w:val="bottom"/>
            <w:shd w:val="clear" w:color="auto" w:fill="CCEEFF"/>
          </w:tcPr>
          <w:p>
            <w:pPr>
              <w:ind w:left="1580"/>
              <w:spacing w:after="0"/>
              <w:rPr>
                <w:sz w:val="20"/>
                <w:szCs w:val="20"/>
                <w:color w:val="auto"/>
              </w:rPr>
            </w:pPr>
            <w:r>
              <w:rPr>
                <w:rFonts w:ascii="Times New Roman" w:cs="Times New Roman" w:eastAsia="Times New Roman" w:hAnsi="Times New Roman"/>
                <w:sz w:val="18"/>
                <w:szCs w:val="18"/>
                <w:color w:val="auto"/>
              </w:rPr>
              <w:t>– 6 years</w:t>
            </w:r>
          </w:p>
        </w:tc>
      </w:tr>
      <w:tr>
        <w:trPr>
          <w:trHeight w:val="234"/>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542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 6 years</w:t>
            </w:r>
          </w:p>
        </w:tc>
      </w:tr>
      <w:tr>
        <w:trPr>
          <w:trHeight w:val="346"/>
        </w:trPr>
        <w:tc>
          <w:tcPr>
            <w:tcW w:w="2940" w:type="dxa"/>
            <w:vAlign w:val="bottom"/>
          </w:tcPr>
          <w:p>
            <w:pPr>
              <w:spacing w:after="0"/>
              <w:rPr>
                <w:sz w:val="24"/>
                <w:szCs w:val="24"/>
                <w:color w:val="auto"/>
              </w:rPr>
            </w:pPr>
          </w:p>
        </w:tc>
        <w:tc>
          <w:tcPr>
            <w:tcW w:w="542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F-21</w:t>
            </w:r>
          </w:p>
        </w:tc>
      </w:tr>
    </w:tbl>
    <w:p>
      <w:pPr>
        <w:sectPr>
          <w:pgSz w:w="11900" w:h="16838" w:orient="portrait"/>
          <w:cols w:equalWidth="0" w:num="1">
            <w:col w:w="11140"/>
          </w:cols>
          <w:pgMar w:left="320" w:top="482" w:right="439" w:bottom="1440" w:gutter="0" w:footer="0" w:header="0"/>
        </w:sectPr>
      </w:pPr>
    </w:p>
    <w:bookmarkStart w:id="246" w:name="page247"/>
    <w:bookmarkEnd w:id="2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4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BAIDU, INC.</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THE YEARS ENDED DECEMBER 31, 2023, 2024 AND 2025</w:t>
      </w:r>
    </w:p>
    <w:p>
      <w:pPr>
        <w:spacing w:after="0" w:line="234"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 xml:space="preserve">Intangible assets with indefinite useful life are not amortized and are tested for impairment annually or more frequently, if events or changes in circumstances indicate that they might be impaired in accordance with ASC Subtopic 350-30, </w:t>
      </w:r>
      <w:r>
        <w:rPr>
          <w:rFonts w:ascii="Times New Roman" w:cs="Times New Roman" w:eastAsia="Times New Roman" w:hAnsi="Times New Roman"/>
          <w:sz w:val="18"/>
          <w:szCs w:val="18"/>
          <w:i w:val="1"/>
          <w:iCs w:val="1"/>
          <w:color w:val="auto"/>
        </w:rPr>
        <w:t>Intangibles-Goodwill and Other: General Intangibles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Other than Goodwill </w:t>
      </w:r>
      <w:r>
        <w:rPr>
          <w:rFonts w:ascii="Times New Roman" w:cs="Times New Roman" w:eastAsia="Times New Roman" w:hAnsi="Times New Roman"/>
          <w:sz w:val="18"/>
          <w:szCs w:val="18"/>
          <w:color w:val="auto"/>
        </w:rPr>
        <w:t>(“ASC 350-30”).</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 Other Than Goodwill</w:t>
      </w:r>
    </w:p>
    <w:p>
      <w:pPr>
        <w:spacing w:after="0" w:line="121" w:lineRule="exact"/>
        <w:rPr>
          <w:sz w:val="20"/>
          <w:szCs w:val="20"/>
          <w:color w:val="auto"/>
        </w:rPr>
      </w:pPr>
    </w:p>
    <w:p>
      <w:pPr>
        <w:jc w:val="both"/>
        <w:ind w:left="120"/>
        <w:spacing w:after="0" w:line="258" w:lineRule="auto"/>
        <w:rPr>
          <w:sz w:val="20"/>
          <w:szCs w:val="20"/>
          <w:color w:val="auto"/>
        </w:rPr>
      </w:pPr>
      <w:r>
        <w:rPr>
          <w:rFonts w:ascii="Times New Roman" w:cs="Times New Roman" w:eastAsia="Times New Roman" w:hAnsi="Times New Roman"/>
          <w:sz w:val="18"/>
          <w:szCs w:val="18"/>
          <w:color w:val="auto"/>
        </w:rPr>
        <w:t>The Group evaluates long-lived assets for impairment whenever events or changes in circumstances indicate that the carrying amount of long-lived assets in an asset group may not be fully recoverable. The Group evaluates the recoverability of the long-lived assets by comparing the carrying amount of the assets to the future undiscounted cash flows expected to result from the use of the assets and their eventual disposition. If the sum of the expected undiscounted cash flows is less than the carrying amount of the assets, the Group recognizes an impairment loss based on the excess of the carrying amount of the assets over their fair value.</w:t>
      </w:r>
    </w:p>
    <w:p>
      <w:pPr>
        <w:spacing w:after="0" w:line="183" w:lineRule="exact"/>
        <w:rPr>
          <w:sz w:val="20"/>
          <w:szCs w:val="20"/>
          <w:color w:val="auto"/>
        </w:rPr>
      </w:pPr>
    </w:p>
    <w:p>
      <w:pPr>
        <w:jc w:val="both"/>
        <w:ind w:left="120"/>
        <w:spacing w:after="0" w:line="256" w:lineRule="auto"/>
        <w:rPr>
          <w:sz w:val="20"/>
          <w:szCs w:val="20"/>
          <w:color w:val="auto"/>
        </w:rPr>
      </w:pPr>
      <w:r>
        <w:rPr>
          <w:rFonts w:ascii="Times New Roman" w:cs="Times New Roman" w:eastAsia="Times New Roman" w:hAnsi="Times New Roman"/>
          <w:sz w:val="18"/>
          <w:szCs w:val="18"/>
          <w:color w:val="auto"/>
        </w:rPr>
        <w:t>Due to fluctuations in the external environment, in particular the rapid iteration of AI technology, and changes in the internal operations, the Group performed a recoverability test of the Core asset group and the result indicated that long-lived assets were not recoverable as of September 30, 2025. As the estimated fair value of these assets was below their carrying value, the Group recognized RMB16.2 billion (US$2.3 billion) impairment losses. The Group determined the fair value of the Core asset group using the discounted cash flows method, a widely accepted valuation model, with the assistance of an independent third-party valuation firm. The significant assumptions used included revenue growth rates and the discount rate, all of which were classified as level 3 inputs under the fair value hierarchy (Note 26).</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The Group has lease agreements with lease and non-lease components, which are generally accounted for separately. The Group elected the short-term lease exemption for all contracts with lease terms of 12 months or less.</w:t>
      </w:r>
    </w:p>
    <w:p>
      <w:pPr>
        <w:spacing w:after="0" w:line="162" w:lineRule="exact"/>
        <w:rPr>
          <w:sz w:val="20"/>
          <w:szCs w:val="20"/>
          <w:color w:val="auto"/>
        </w:rPr>
      </w:pPr>
    </w:p>
    <w:p>
      <w:pPr>
        <w:jc w:val="both"/>
        <w:ind w:left="120"/>
        <w:spacing w:after="0" w:line="254" w:lineRule="auto"/>
        <w:rPr>
          <w:sz w:val="20"/>
          <w:szCs w:val="20"/>
          <w:color w:val="auto"/>
        </w:rPr>
      </w:pPr>
      <w:r>
        <w:rPr>
          <w:rFonts w:ascii="Times New Roman" w:cs="Times New Roman" w:eastAsia="Times New Roman" w:hAnsi="Times New Roman"/>
          <w:sz w:val="18"/>
          <w:szCs w:val="18"/>
          <w:color w:val="auto"/>
        </w:rPr>
        <w:t>The Group determines if an arrangement is a lease or contains a lease at lease inception. For operating leases, the Group recognizes a right-of-use (ROU) asset and a lease liability based on the present value of the lease payments over the lease term on the consolidated balance sheets at commencement date. For finance leases, assets are included in “Other non-current assets” on the consolidated balance sheets. As the implicit rates of most of the Group’s leases are not readily determinable, the Group estimates its incremental borrowing rate based on the information available at the commencement date in determining the present value of lease payments. The incremental borrowing rate is estimated to approximate the interest rate on a collateralized basis with similar terms and payments, and in economic environments where the leased asset is located. The Group’s leases often include options to extend and lease terms include such extended terms when the Group is reasonably certain to exercise those options. Lease terms also include periods covered by options to terminate the leases when the Group is reasonably certain not to exercise those options. Lease expense is recorded on a straight-line basis over the lease term.</w:t>
      </w:r>
    </w:p>
    <w:p>
      <w:pPr>
        <w:spacing w:after="0" w:line="188" w:lineRule="exact"/>
        <w:rPr>
          <w:sz w:val="20"/>
          <w:szCs w:val="20"/>
          <w:color w:val="auto"/>
        </w:rPr>
      </w:pPr>
    </w:p>
    <w:p>
      <w:pPr>
        <w:jc w:val="both"/>
        <w:ind w:left="120" w:right="20"/>
        <w:spacing w:after="0" w:line="256" w:lineRule="auto"/>
        <w:rPr>
          <w:sz w:val="20"/>
          <w:szCs w:val="20"/>
          <w:color w:val="auto"/>
        </w:rPr>
      </w:pPr>
      <w:r>
        <w:rPr>
          <w:rFonts w:ascii="Times New Roman" w:cs="Times New Roman" w:eastAsia="Times New Roman" w:hAnsi="Times New Roman"/>
          <w:sz w:val="18"/>
          <w:szCs w:val="18"/>
          <w:color w:val="auto"/>
        </w:rPr>
        <w:t>If an ROU asset is determined to be impaired, the Group measures the impairment loss and reduces the carrying amount of the ROU asset to its impaired carrying amount. The remaining balance of the ROU asset after the impairment is amortized on a straight-line basis from the date of impairment to the earlier of the end of the useful life of the ROU asset or the end of the lease term. For operating lease, the single lease cost recognized in profit or loss after an impairment event is calculated as the sum of: (a) amortization of the remaining balance of the ROU asset after the impairment, and (b) accretion of the lease liability, determined for each remaining period during the lease term as the amount that produces a constant periodic discount rate on the remaining balance of the liability.</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The Group’s revenue is derived principally from online marketing services and others. Revenue is recognized when control of promised goods or services is transferred to the Group’s customers in an amount of consideration to which an entity expects to be entitled to in exchange for those goods or services. Revenue is recorded net of value added taxes (“VAT”).</w:t>
      </w:r>
    </w:p>
    <w:p>
      <w:pPr>
        <w:spacing w:after="0" w:line="176" w:lineRule="exact"/>
        <w:rPr>
          <w:sz w:val="20"/>
          <w:szCs w:val="20"/>
          <w:color w:val="auto"/>
        </w:rPr>
      </w:pPr>
    </w:p>
    <w:p>
      <w:pPr>
        <w:jc w:val="both"/>
        <w:ind w:left="120"/>
        <w:spacing w:after="0" w:line="255" w:lineRule="auto"/>
        <w:rPr>
          <w:sz w:val="20"/>
          <w:szCs w:val="20"/>
          <w:color w:val="auto"/>
        </w:rPr>
      </w:pPr>
      <w:r>
        <w:rPr>
          <w:rFonts w:ascii="Times New Roman" w:cs="Times New Roman" w:eastAsia="Times New Roman" w:hAnsi="Times New Roman"/>
          <w:sz w:val="18"/>
          <w:szCs w:val="18"/>
          <w:color w:val="auto"/>
        </w:rPr>
        <w:t>For arrangements that include multiple promised goods or services, the Group would evaluate all of the performance obligations in the arrangement to determine whether each performance obligation is distinct. For arrangements with multiple distinct performance obligations, each distinct performance obligation is separately accounted for and the total consideration is allocated to each performance obligation based on their relative standalone selling price at contract inception. The Group generally determines standalone selling prices based on the prices charged to customers on a standalone basis or estimates it using an expected cost plus margin approach. For arrangement with multiple components that are not distinct within the context of the contract because they have significant integration and the customer can only benefit from these promised goods or services in conjunction with one another, the Group accounts for them as one performance obligation.</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F-22</w:t>
      </w:r>
    </w:p>
    <w:p>
      <w:pPr>
        <w:sectPr>
          <w:pgSz w:w="11900" w:h="16838" w:orient="portrait"/>
          <w:cols w:equalWidth="0" w:num="1">
            <w:col w:w="11140"/>
          </w:cols>
          <w:pgMar w:left="320" w:top="482" w:right="439" w:bottom="1440" w:gutter="0" w:footer="0" w:header="0"/>
        </w:sectPr>
      </w:pPr>
    </w:p>
    <w:bookmarkStart w:id="247" w:name="page248"/>
    <w:bookmarkEnd w:id="2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4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BAIDU, INC.</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THE YEARS ENDED DECEMBER 31, 2023, 2024 AND 2025</w:t>
      </w:r>
    </w:p>
    <w:p>
      <w:pPr>
        <w:spacing w:after="0" w:line="2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Group’s revenue recognition policies by types are as follows:</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Online marketing services</w:t>
      </w:r>
    </w:p>
    <w:p>
      <w:pPr>
        <w:spacing w:after="0" w:line="1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Performance-based online marketing services</w:t>
      </w:r>
    </w:p>
    <w:p>
      <w:pPr>
        <w:spacing w:after="0" w:line="119" w:lineRule="exact"/>
        <w:rPr>
          <w:sz w:val="20"/>
          <w:szCs w:val="20"/>
          <w:color w:val="auto"/>
        </w:rPr>
      </w:pPr>
    </w:p>
    <w:p>
      <w:pPr>
        <w:jc w:val="both"/>
        <w:ind w:left="120" w:right="20"/>
        <w:spacing w:after="0" w:line="261" w:lineRule="auto"/>
        <w:rPr>
          <w:sz w:val="20"/>
          <w:szCs w:val="20"/>
          <w:color w:val="auto"/>
        </w:rPr>
      </w:pPr>
      <w:r>
        <w:rPr>
          <w:rFonts w:ascii="Times New Roman" w:cs="Times New Roman" w:eastAsia="Times New Roman" w:hAnsi="Times New Roman"/>
          <w:sz w:val="18"/>
          <w:szCs w:val="18"/>
          <w:color w:val="auto"/>
        </w:rPr>
        <w:t>The Group’s pay-for-performance (“P4P”) platform enables customers to bid for priority placement of paid sponsored links and reach users who search for information related to their products or services. P4P online marketing customers can choose from search-based and feed-based online marketing services, and select criteria for their purchase, such as daily spending limit and user profile targeted. Revenue is recognized when all of the revenue recognition criteria are met, which is generally when a user clicks on one of the customer-sponsored links or feed-based marketing.</w:t>
      </w:r>
    </w:p>
    <w:p>
      <w:pPr>
        <w:spacing w:after="0" w:line="180"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To the extent the Group provides online marketing services based on performance criteria other than cost-per-click (“CPC”), revenue is recognized when the specified performance criteria are met along with the satisfaction of other applicable revenue recognition criteria.</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Baidu Union online marketing services</w:t>
      </w:r>
    </w:p>
    <w:p>
      <w:pPr>
        <w:spacing w:after="0" w:line="119" w:lineRule="exact"/>
        <w:rPr>
          <w:sz w:val="20"/>
          <w:szCs w:val="20"/>
          <w:color w:val="auto"/>
        </w:rPr>
      </w:pPr>
    </w:p>
    <w:p>
      <w:pPr>
        <w:jc w:val="both"/>
        <w:ind w:left="120"/>
        <w:spacing w:after="0" w:line="256" w:lineRule="auto"/>
        <w:rPr>
          <w:sz w:val="20"/>
          <w:szCs w:val="20"/>
          <w:color w:val="auto"/>
        </w:rPr>
      </w:pPr>
      <w:r>
        <w:rPr>
          <w:rFonts w:ascii="Times New Roman" w:cs="Times New Roman" w:eastAsia="Times New Roman" w:hAnsi="Times New Roman"/>
          <w:sz w:val="18"/>
          <w:szCs w:val="18"/>
          <w:color w:val="auto"/>
        </w:rPr>
        <w:t>Baidu Union is a program through which the Group expands distribution of its customers’ sponsored links or advertisements by leveraging the traffic of Baidu Union partners’ online properties. The Group acquires traffic from Baidu Union partners and is responsible for service fulfillment and pricing. The services which the Group provided to customers through Baidu Union partners’ online properties include CPC, other performance-based online marketing services and online display advertising services. These services are provided in the same way to customers as those through Baidu’s own platforms or properties. As the principal, the Group recognizes revenue from Baidu Union on a gross basis. Payments made to Baidu Union partners are recorded as traffic acquisition costs, which are included in “Cost of revenue” in the consolidated statements of comprehensive income.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Sales incentives</w:t>
      </w:r>
    </w:p>
    <w:p>
      <w:pPr>
        <w:spacing w:after="0" w:line="119" w:lineRule="exact"/>
        <w:rPr>
          <w:sz w:val="20"/>
          <w:szCs w:val="20"/>
          <w:color w:val="auto"/>
        </w:rPr>
      </w:pPr>
    </w:p>
    <w:p>
      <w:pPr>
        <w:jc w:val="both"/>
        <w:ind w:left="120" w:right="20"/>
        <w:spacing w:after="0" w:line="261" w:lineRule="auto"/>
        <w:rPr>
          <w:sz w:val="20"/>
          <w:szCs w:val="20"/>
          <w:color w:val="auto"/>
        </w:rPr>
      </w:pPr>
      <w:r>
        <w:rPr>
          <w:rFonts w:ascii="Times New Roman" w:cs="Times New Roman" w:eastAsia="Times New Roman" w:hAnsi="Times New Roman"/>
          <w:sz w:val="18"/>
          <w:szCs w:val="18"/>
          <w:color w:val="auto"/>
        </w:rPr>
        <w:t>The Group provides major sales incentives to third-party agents, which are identified as customers, that entitle them to receive price reductions on the online marketing services by meeting certain cumulative consumption requirements. The Group accounts for these incentives granted to customers as variable consideration and net them against revenue. The amount of variable consideration is measured based on the expected value of incentives to be provided to customers.</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Others</w:t>
      </w:r>
    </w:p>
    <w:p>
      <w:pPr>
        <w:spacing w:after="0" w:line="1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Cloud services</w:t>
      </w:r>
    </w:p>
    <w:p>
      <w:pPr>
        <w:spacing w:after="0" w:line="119"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The Group provides a wide range of cloud services generally on either a subscription or consumption basis. Revenue related to cloud services provided on a subscription basis is recognized ratably over the contract period. Revenue related to cloud services provided on a consumption basis, such as the amount of storage used in a period, is recognized based on the customer’s utilization of such resources.</w:t>
      </w:r>
    </w:p>
    <w:p>
      <w:pPr>
        <w:spacing w:after="0" w:line="176" w:lineRule="exact"/>
        <w:rPr>
          <w:sz w:val="20"/>
          <w:szCs w:val="20"/>
          <w:color w:val="auto"/>
        </w:rPr>
      </w:pPr>
    </w:p>
    <w:p>
      <w:pPr>
        <w:jc w:val="both"/>
        <w:ind w:left="120" w:right="20"/>
        <w:spacing w:after="0" w:line="255" w:lineRule="auto"/>
        <w:rPr>
          <w:sz w:val="20"/>
          <w:szCs w:val="20"/>
          <w:color w:val="auto"/>
        </w:rPr>
      </w:pPr>
      <w:r>
        <w:rPr>
          <w:rFonts w:ascii="Times New Roman" w:cs="Times New Roman" w:eastAsia="Times New Roman" w:hAnsi="Times New Roman"/>
          <w:sz w:val="18"/>
          <w:szCs w:val="18"/>
          <w:color w:val="auto"/>
        </w:rPr>
        <w:t>The Group provides cloud solutions for customers in various industries. Revenue related to cloud solutions, which mainly include significant integrated products and services, is recognized over time if one of the following criteria is met: (i) the customer simultaneously receives and consumes the benefits as the Group performs; (ii) the Group’s performance creates or enhances an asset that the customer controls as the asset is created or enhanced; or (iii) the asset delivered has no alternative use and the Group has an enforceable right to payment for performance completed to date. For performance obligations satisfied over time, the Group recognizes revenue over time by measuring the progress toward complete satisfaction of a performance obligation. Otherwise, revenue is recognized at a point in time when a customer obtains control of a promised asset or service and the Group satisfies its performance obligation.</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Video membership services</w:t>
      </w:r>
    </w:p>
    <w:p>
      <w:pPr>
        <w:spacing w:after="0" w:line="119" w:lineRule="exact"/>
        <w:rPr>
          <w:sz w:val="20"/>
          <w:szCs w:val="20"/>
          <w:color w:val="auto"/>
        </w:rPr>
      </w:pPr>
    </w:p>
    <w:p>
      <w:pPr>
        <w:jc w:val="both"/>
        <w:ind w:left="120"/>
        <w:spacing w:after="0" w:line="256" w:lineRule="auto"/>
        <w:rPr>
          <w:sz w:val="20"/>
          <w:szCs w:val="20"/>
          <w:color w:val="auto"/>
        </w:rPr>
      </w:pPr>
      <w:r>
        <w:rPr>
          <w:rFonts w:ascii="Times New Roman" w:cs="Times New Roman" w:eastAsia="Times New Roman" w:hAnsi="Times New Roman"/>
          <w:sz w:val="18"/>
          <w:szCs w:val="18"/>
          <w:color w:val="auto"/>
        </w:rPr>
        <w:t>The Group offers membership services through iQIYI to subscribing members with various privileges. When the receipt of membership fees is for services to be delivered over a period of time, the receipt is initially recorded as “Customer deposits and deferred revenue” and revenue is recognized ratably over the membership period as services are rendered. Membership services revenue also includes fees earned from subscribing members for on-demand content purchases and early access to premium content. The Group is the principal as the Group retains control over the service delivery to the subscribing members. For the sale of the right to other membership services through strategic cooperation with other parties, the Group recognizes revenue on a net basis when the Group does not control the specified services before they are transferred to the customer.</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F-23</w:t>
      </w:r>
    </w:p>
    <w:p>
      <w:pPr>
        <w:sectPr>
          <w:pgSz w:w="11900" w:h="16838" w:orient="portrait"/>
          <w:cols w:equalWidth="0" w:num="1">
            <w:col w:w="11140"/>
          </w:cols>
          <w:pgMar w:left="320" w:top="482" w:right="439" w:bottom="1440" w:gutter="0" w:footer="0" w:header="0"/>
        </w:sectPr>
      </w:pPr>
    </w:p>
    <w:bookmarkStart w:id="248" w:name="page249"/>
    <w:bookmarkEnd w:id="2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4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BAIDU, INC.</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THE YEARS ENDED DECEMBER 31, 2023, 2024 AND 2025</w:t>
      </w:r>
    </w:p>
    <w:p>
      <w:pPr>
        <w:spacing w:after="0" w:line="2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Contract assets and contract liabilities</w:t>
      </w:r>
    </w:p>
    <w:p>
      <w:pPr>
        <w:spacing w:after="0" w:line="119" w:lineRule="exact"/>
        <w:rPr>
          <w:sz w:val="20"/>
          <w:szCs w:val="20"/>
          <w:color w:val="auto"/>
        </w:rPr>
      </w:pPr>
    </w:p>
    <w:p>
      <w:pPr>
        <w:jc w:val="both"/>
        <w:ind w:left="120"/>
        <w:spacing w:after="0" w:line="282" w:lineRule="auto"/>
        <w:rPr>
          <w:sz w:val="20"/>
          <w:szCs w:val="20"/>
          <w:color w:val="auto"/>
        </w:rPr>
      </w:pPr>
      <w:r>
        <w:rPr>
          <w:rFonts w:ascii="Times New Roman" w:cs="Times New Roman" w:eastAsia="Times New Roman" w:hAnsi="Times New Roman"/>
          <w:sz w:val="18"/>
          <w:szCs w:val="18"/>
          <w:color w:val="auto"/>
        </w:rPr>
        <w:t>Payment terms and conditions vary by customer and are based on the billing schedule established in the Group’s contracts or purchase orders with customers, although terms generally include a requirement of payment within one year.</w:t>
      </w:r>
    </w:p>
    <w:p>
      <w:pPr>
        <w:spacing w:after="0" w:line="162"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Timing of revenue recognition may differ from the timing of invoicing to customers. For certain services, customers are required to pay before the services are delivered to the customer. When either party to a revenue contract has performed, the Group recognizes a contract asset or a contract liability on the consolidated balance sheets, depending on the relationship between the entity’s performance and the customer’s payment.</w:t>
      </w:r>
    </w:p>
    <w:p>
      <w:pPr>
        <w:spacing w:after="0" w:line="176"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Contract liabilities are mainly related to fees for membership services to be provided over the membership period, which are primarily included in “Customer deposits and deferred revenue” and “Deferred revenue” on the consolidated balance sheets. Balances of contract liabilities were RMB8.4 billion and RMB8.7 billion (US$1.2 billion) as of December 31, 2024 and 2025, respectively. Revenue recognized for the year ended December 31, 2025 that was included in contract liabilities as of January 1, 2025 was RMB7.2 billion (US$1.0 billion).</w:t>
      </w:r>
    </w:p>
    <w:p>
      <w:pPr>
        <w:spacing w:after="0" w:line="180"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Contract assets mainly represent unbilled amounts related to the Group’s rights to consideration from the customers and are included in “Other current assets, net” on the consolidated balance sheets. As of December 31, 2024 and 2025, contract assets net of allowance for credit losses were RMB2.4 billion and RMB1.9 billion (US$272 million) respectively.</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Group’s disaggregated revenue disclosures are presented in Note 25.</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21"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Cost of revenue consists primarily of content costs, traffic acquisition costs, bandwidth costs, depreciation costs, server custody fees, cost of goods sold and salaries and benefits for operation and service personnel. Traffic acquisition costs mainly represent the amounts paid or payable to Baidu Union partners who direct search queries to the Group’s websites or distribute the Group’s customers’ paid links through their properties.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Advertising, Marketing and Promotional Expenses</w:t>
      </w:r>
    </w:p>
    <w:p>
      <w:pPr>
        <w:spacing w:after="0" w:line="121"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Advertising, marketing and promotional expenses, including advertisements through various forms of media and kinds of marketing and promotional activities, are included in “Selling, general and administrative” in the consolidated statements of comprehensive income and are expensed when incurred. Advertising, marketing and promotional expenses for the years ended December 31, 2023, 2024 and 2025 were RMB13.2 billion, RMB13.8 billion and RMB15.1 billion (US$2.2 billion), respectively.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jc w:val="both"/>
        <w:ind w:left="120"/>
        <w:spacing w:after="0" w:line="255" w:lineRule="auto"/>
        <w:rPr>
          <w:sz w:val="20"/>
          <w:szCs w:val="20"/>
          <w:color w:val="auto"/>
        </w:rPr>
      </w:pPr>
      <w:r>
        <w:rPr>
          <w:rFonts w:ascii="Times New Roman" w:cs="Times New Roman" w:eastAsia="Times New Roman" w:hAnsi="Times New Roman"/>
          <w:sz w:val="18"/>
          <w:szCs w:val="18"/>
          <w:color w:val="auto"/>
        </w:rPr>
        <w:t xml:space="preserve">Research and development expenses primarily consist of salaries and benefits for research and development personnel, server depreciation expenses and server custody fees. The Group expenses research and development costs as they are incurred, except for (i) costs to develop internal-use software or add significant upgrades and enhancements resulting in additional functionality to internal-use software that meet the capitalization criteria in accordance with ASC Subtopic 350-40, </w:t>
      </w:r>
      <w:r>
        <w:rPr>
          <w:rFonts w:ascii="Times New Roman" w:cs="Times New Roman" w:eastAsia="Times New Roman" w:hAnsi="Times New Roman"/>
          <w:sz w:val="18"/>
          <w:szCs w:val="18"/>
          <w:i w:val="1"/>
          <w:iCs w:val="1"/>
          <w:color w:val="auto"/>
        </w:rPr>
        <w:t>Intangibles-Goodwill and Other, Internal-Use Software</w:t>
      </w:r>
      <w:r>
        <w:rPr>
          <w:rFonts w:ascii="Times New Roman" w:cs="Times New Roman" w:eastAsia="Times New Roman" w:hAnsi="Times New Roman"/>
          <w:sz w:val="18"/>
          <w:szCs w:val="18"/>
          <w:color w:val="auto"/>
        </w:rPr>
        <w:t xml:space="preserve">; and (ii) costs incurred to develop software to be sold/licensed or embedded in its products sold to customers, which are capitalized once technology feasibility is established, which is when a completed detail program design of the product is available in accordance with ASC Subtopic 985-20, </w:t>
      </w:r>
      <w:r>
        <w:rPr>
          <w:rFonts w:ascii="Times New Roman" w:cs="Times New Roman" w:eastAsia="Times New Roman" w:hAnsi="Times New Roman"/>
          <w:sz w:val="18"/>
          <w:szCs w:val="18"/>
          <w:i w:val="1"/>
          <w:iCs w:val="1"/>
          <w:color w:val="auto"/>
        </w:rPr>
        <w:t>Costs of Software to be Sold, Leased or Marketed</w:t>
      </w:r>
      <w:r>
        <w:rPr>
          <w:rFonts w:ascii="Times New Roman" w:cs="Times New Roman" w:eastAsia="Times New Roman" w:hAnsi="Times New Roman"/>
          <w:sz w:val="18"/>
          <w:szCs w:val="18"/>
          <w:color w:val="auto"/>
        </w:rPr>
        <w:t>. The Group evaluates the useful lives of these assets on an annual basis.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Government Subsidies</w:t>
      </w:r>
    </w:p>
    <w:p>
      <w:pPr>
        <w:spacing w:after="0" w:line="121" w:lineRule="exact"/>
        <w:rPr>
          <w:sz w:val="20"/>
          <w:szCs w:val="20"/>
          <w:color w:val="auto"/>
        </w:rPr>
      </w:pPr>
    </w:p>
    <w:p>
      <w:pPr>
        <w:jc w:val="both"/>
        <w:ind w:left="120"/>
        <w:spacing w:after="0" w:line="254" w:lineRule="auto"/>
        <w:rPr>
          <w:sz w:val="20"/>
          <w:szCs w:val="20"/>
          <w:color w:val="auto"/>
        </w:rPr>
      </w:pPr>
      <w:r>
        <w:rPr>
          <w:rFonts w:ascii="Times New Roman" w:cs="Times New Roman" w:eastAsia="Times New Roman" w:hAnsi="Times New Roman"/>
          <w:sz w:val="18"/>
          <w:szCs w:val="18"/>
          <w:color w:val="auto"/>
        </w:rPr>
        <w:t>Government subsidies primarily consist of financial subsidies received from provincial and local governments for operating a business in their jurisdictions and compliance with specific policies promoted by the local governments. The government subsidies of operating nature with no further conditions to be met are recorded as a reduction of operating expenses in “Selling, general and administrative” in the consolidated statements of comprehensive income when received. The government subsidies with certain conditions are recorded as “Deferred income” when received and is recognized as income in “Others, net” or as a reduction of specific costs and expenses when the conditions are met for which the grants are intended to compensate. Government subsidies related to an asset are recognized as “Deferred income” when received. Once the conditions are met, the deferred income is recognized ratably over the expected useful life of the related asset as a reduction to the related amortization or depreciation in the consolidated statements of comprehensive income.</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F-24</w:t>
      </w:r>
    </w:p>
    <w:p>
      <w:pPr>
        <w:sectPr>
          <w:pgSz w:w="11900" w:h="16838" w:orient="portrait"/>
          <w:cols w:equalWidth="0" w:num="1">
            <w:col w:w="11120"/>
          </w:cols>
          <w:pgMar w:left="320" w:top="482" w:right="459" w:bottom="1440" w:gutter="0" w:footer="0" w:header="0"/>
        </w:sectPr>
      </w:pPr>
    </w:p>
    <w:bookmarkStart w:id="249" w:name="page250"/>
    <w:bookmarkEnd w:id="2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4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BAIDU, INC.</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THE YEARS ENDED DECEMBER 31, 2023, 2024 AND 2025</w:t>
      </w:r>
    </w:p>
    <w:p>
      <w:pPr>
        <w:spacing w:after="0" w:line="234"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2023, 2024 and 2025, government subsidies recorded as a reduction of costs and expenses were RMB768 million, RMB1.0 billion and RMB689 million (US$99 million), respectively.</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the year ended December 31, 2025, government subsidies recorded as a reduction of assets were RMB86 million (US$12 million).</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The Group recognizes income taxes under the liability method. Deferred income taxes are recognized for differences between the financial reporting and tax bases of assets and liabilities at enacted tax rates in effect for the years in which the differences are expected to reverse. The Group records a valuation allowance against the amount of deferred tax assets that it determines is not more-likely-than-not to be realized. The effect on deferred taxes of a change in tax rates is recognized in earnings in the period that includes the enactment date.</w:t>
      </w:r>
    </w:p>
    <w:p>
      <w:pPr>
        <w:spacing w:after="0" w:line="180"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Deferred income taxes are recognized on the undistributed earnings of subsidiaries, which are presumed to be transferred to the parent company and are subject to withholding taxes, unless there is sufficient evidence to show that the subsidiary has invested or will invest the undistributed earnings indefinitely or that the earnings will be remitted in a tax-free liquidation.</w:t>
      </w:r>
    </w:p>
    <w:p>
      <w:pPr>
        <w:spacing w:after="0" w:line="174" w:lineRule="exact"/>
        <w:rPr>
          <w:sz w:val="20"/>
          <w:szCs w:val="20"/>
          <w:color w:val="auto"/>
        </w:rPr>
      </w:pPr>
    </w:p>
    <w:p>
      <w:pPr>
        <w:jc w:val="both"/>
        <w:ind w:left="120" w:right="20"/>
        <w:spacing w:after="0" w:line="256" w:lineRule="auto"/>
        <w:rPr>
          <w:sz w:val="20"/>
          <w:szCs w:val="20"/>
          <w:color w:val="auto"/>
        </w:rPr>
      </w:pPr>
      <w:r>
        <w:rPr>
          <w:rFonts w:ascii="Times New Roman" w:cs="Times New Roman" w:eastAsia="Times New Roman" w:hAnsi="Times New Roman"/>
          <w:sz w:val="18"/>
          <w:szCs w:val="18"/>
          <w:color w:val="auto"/>
        </w:rPr>
        <w:t xml:space="preserve">The Group applies the provisions of ASC Topic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740”), in accounting for uncertainty in income taxes. ASC 740 clarifies the accounting for uncertainty in income taxes by prescribing the recognition threshold a tax position is required to meet before being recognized in the financial statements. The Group has elected to classify interest and penalties related to an uncertain tax position (if and when required) as part of income tax expense in the consolidated statements of comprehensive income. The Group does not expect the amount of unrecognized tax benefits to increase significantly in the next 12 months. In general, the PRC tax authorities have up to five years to conduct examinations of the tax filings of the Company’s PRC subsidiaries. Accordingly, the PRC subsidiaries’ tax years of 2020 – 2025 remain open to examination by the respective tax authorities. The Group may also be subject to the examination of the tax filings in other jurisdictions, which are not material to the consolidated financial statements.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119"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 xml:space="preserve">The Group accounts for share-based compensation in accordance with ASC Topic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xml:space="preserve"> (“ASC 718”)</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Group has elected to recognize share-based compensation using the straight-line method for all share-based awards issued with no performance conditions. For awards with performance conditions, compensation cost is recognized on an accelerated basis if it is probable that the performance condition will be achieved.</w:t>
      </w:r>
    </w:p>
    <w:p>
      <w:pPr>
        <w:spacing w:after="0" w:line="182" w:lineRule="exact"/>
        <w:rPr>
          <w:sz w:val="20"/>
          <w:szCs w:val="20"/>
          <w:color w:val="auto"/>
        </w:rPr>
      </w:pPr>
    </w:p>
    <w:p>
      <w:pPr>
        <w:jc w:val="both"/>
        <w:ind w:left="120" w:right="20"/>
        <w:spacing w:after="0" w:line="254" w:lineRule="auto"/>
        <w:rPr>
          <w:sz w:val="20"/>
          <w:szCs w:val="20"/>
          <w:color w:val="auto"/>
        </w:rPr>
      </w:pPr>
      <w:r>
        <w:rPr>
          <w:rFonts w:ascii="Times New Roman" w:cs="Times New Roman" w:eastAsia="Times New Roman" w:hAnsi="Times New Roman"/>
          <w:sz w:val="18"/>
          <w:szCs w:val="18"/>
          <w:color w:val="auto"/>
        </w:rPr>
        <w:t>Forfeitures are estimated based on historical experience and are periodically reviewed. Cancellation of an award accompanied by the concurrent grant of a replacement award is accounted for as a modification of the terms of the cancelled award (“modified awards”). The compensation costs associated with the modified awards are recognized if either the original vesting condition or the new vesting condition is achieved. Total recognized compensation cost for the awards is at least equal to the fair value of the awards at the grant date unless at the date of the modification the performance or service conditions of the original awards are not expected to be satisfied. The incremental compensation cost is measured as the excess of the fair value of the replacement award over the fair value of the cancelled award at the cancellation date. Therefore, in relation to the modified awards, the Group recognizes share-based compensation over the vesting periods of the replacement award, which comprises, (i) the amortization of the incremental portion of share-based compensation over the remaining vesting term and (ii) any unrecognized compensation cost of the original award, using either the original term or the new term, whichever results in higher expenses for each reporting period.</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 (“EPS”)</w:t>
      </w:r>
    </w:p>
    <w:p>
      <w:pPr>
        <w:spacing w:after="0" w:line="119" w:lineRule="exact"/>
        <w:rPr>
          <w:sz w:val="20"/>
          <w:szCs w:val="20"/>
          <w:color w:val="auto"/>
        </w:rPr>
      </w:pPr>
    </w:p>
    <w:p>
      <w:pPr>
        <w:jc w:val="both"/>
        <w:ind w:left="120"/>
        <w:spacing w:after="0" w:line="258" w:lineRule="auto"/>
        <w:rPr>
          <w:sz w:val="20"/>
          <w:szCs w:val="20"/>
          <w:color w:val="auto"/>
        </w:rPr>
      </w:pPr>
      <w:r>
        <w:rPr>
          <w:rFonts w:ascii="Times New Roman" w:cs="Times New Roman" w:eastAsia="Times New Roman" w:hAnsi="Times New Roman"/>
          <w:sz w:val="18"/>
          <w:szCs w:val="18"/>
          <w:color w:val="auto"/>
        </w:rPr>
        <w:t xml:space="preserve">The Group computes earnings per Class A and Class B ordinary shares in accordance with ASC Topic 260,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 xml:space="preserve"> (“ASC 260”), using the two-class method. Under the provisions of ASC 260, basic earnings per share is computed using the weighted average number of ordinary shares outstanding during the period except that it does not include unvested ordinary shares subject to repurchase or cancellation. The Group adjusts for the accretion of the redeemable noncontrolling interests in the calculation of income available to ordinary shareholders of the Company used in the earnings per share calculation.</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F-25</w:t>
      </w:r>
    </w:p>
    <w:p>
      <w:pPr>
        <w:sectPr>
          <w:pgSz w:w="11900" w:h="16838" w:orient="portrait"/>
          <w:cols w:equalWidth="0" w:num="1">
            <w:col w:w="11140"/>
          </w:cols>
          <w:pgMar w:left="320" w:top="482" w:right="439" w:bottom="1440" w:gutter="0" w:footer="0" w:header="0"/>
        </w:sectPr>
      </w:pPr>
    </w:p>
    <w:bookmarkStart w:id="250" w:name="page251"/>
    <w:bookmarkEnd w:id="2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4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BAIDU, INC.</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THE YEARS ENDED DECEMBER 31, 2023, 2024 AND 2025</w:t>
      </w:r>
    </w:p>
    <w:p>
      <w:pPr>
        <w:spacing w:after="0" w:line="234" w:lineRule="exact"/>
        <w:rPr>
          <w:sz w:val="20"/>
          <w:szCs w:val="20"/>
          <w:color w:val="auto"/>
        </w:rPr>
      </w:pPr>
    </w:p>
    <w:p>
      <w:pPr>
        <w:jc w:val="both"/>
        <w:ind w:left="120"/>
        <w:spacing w:after="0" w:line="254" w:lineRule="auto"/>
        <w:rPr>
          <w:sz w:val="20"/>
          <w:szCs w:val="20"/>
          <w:color w:val="auto"/>
        </w:rPr>
      </w:pPr>
      <w:r>
        <w:rPr>
          <w:rFonts w:ascii="Times New Roman" w:cs="Times New Roman" w:eastAsia="Times New Roman" w:hAnsi="Times New Roman"/>
          <w:sz w:val="18"/>
          <w:szCs w:val="18"/>
          <w:color w:val="auto"/>
        </w:rPr>
        <w:t>Diluted earnings per share is computed using the weighted average number of ordinary shares and, if dilutive, potential ordinary shares outstanding during the period. Potentially dilutive securities such as share options, restricted shares and convertible senior notes have been excluded from the computation of diluted net earnings per share if their inclusion is anti-dilutive. Potential ordinary shares consist of the incremental ordinary shares issuable upon the exercise of nonvested share options and restricted shares and contracts that may be settled in the Group’s stock or cash. The dilutive effect of outstanding share options, restricted shares is reflected in diluted earnings per share by application of the treasury stock method. The computation of the diluted earnings per Class A ordinary share assumes the conversion of Class B ordinary shares to Class A ordinary shares, while diluted earnings per Class B ordinary share does not assume the conversion of such shares. The Group adjusts for the securities issued by subsidiaries and equity method investees in the calculation of income available to ordinary shareholders of the Company used in the diluted earnings per share calculation.</w:t>
      </w:r>
    </w:p>
    <w:p>
      <w:pPr>
        <w:spacing w:after="0" w:line="188" w:lineRule="exact"/>
        <w:rPr>
          <w:sz w:val="20"/>
          <w:szCs w:val="20"/>
          <w:color w:val="auto"/>
        </w:rPr>
      </w:pPr>
    </w:p>
    <w:p>
      <w:pPr>
        <w:jc w:val="both"/>
        <w:ind w:left="120" w:right="20"/>
        <w:spacing w:after="0" w:line="258" w:lineRule="auto"/>
        <w:rPr>
          <w:sz w:val="20"/>
          <w:szCs w:val="20"/>
          <w:color w:val="auto"/>
        </w:rPr>
      </w:pPr>
      <w:r>
        <w:rPr>
          <w:rFonts w:ascii="Times New Roman" w:cs="Times New Roman" w:eastAsia="Times New Roman" w:hAnsi="Times New Roman"/>
          <w:sz w:val="18"/>
          <w:szCs w:val="18"/>
          <w:color w:val="auto"/>
        </w:rPr>
        <w:t>The liquidation and dividend rights of the holders of the Company’s Class A and Class B ordinary shares are identical, except with respect to voting rights. As a result, and in accordance with ASC 260, the undistributed earnings for each year are allocated based on the contractual participation rights of the Class A and Class B ordinary shares as if the earnings for the year had been distributed. As the liquidation and dividend rights are identical, the undistributed earnings are allocated on a proportionate basis. Further, as the conversion of Class B ordinary shares is assumed in the computation of the diluted earnings per Class A ordinary share, the undistributed earnings are equal to net income for that computation.</w:t>
      </w:r>
    </w:p>
    <w:p>
      <w:pPr>
        <w:spacing w:after="0" w:line="183"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For the purposes of calculating the Group’s basic and diluted earnings per Class A and Class B ordinary shares, the ordinary shares relating to the options that were exercised are assumed to have been outstanding from the date of exercise of such options.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Treasury Stock</w:t>
      </w:r>
    </w:p>
    <w:p>
      <w:pPr>
        <w:spacing w:after="0" w:line="121"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The Company accounts for treasury stock using the cost method. Under this method, the cost incurred to purchase the shares is recorded in “Treasury stock” on the consolidated balance sheets. At retirement of the treasury stock, the ordinary shares account is charged only for the aggregate par value of the shares. The excess of the acquisition cost of treasury stock over the aggregate par value is charged to “Retained earnings”.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21" w:lineRule="exact"/>
        <w:rPr>
          <w:sz w:val="20"/>
          <w:szCs w:val="20"/>
          <w:color w:val="auto"/>
        </w:rPr>
      </w:pPr>
    </w:p>
    <w:p>
      <w:pPr>
        <w:jc w:val="both"/>
        <w:ind w:left="120" w:right="20"/>
        <w:spacing w:after="0" w:line="261" w:lineRule="auto"/>
        <w:rPr>
          <w:sz w:val="20"/>
          <w:szCs w:val="20"/>
          <w:color w:val="auto"/>
        </w:rPr>
      </w:pPr>
      <w:r>
        <w:rPr>
          <w:rFonts w:ascii="Times New Roman" w:cs="Times New Roman" w:eastAsia="Times New Roman" w:hAnsi="Times New Roman"/>
          <w:sz w:val="18"/>
          <w:szCs w:val="18"/>
          <w:color w:val="auto"/>
        </w:rPr>
        <w:t>The Group records accruals for certain of its outstanding legal proceedings or claims when it is probable that a liability will be incurred and the amount of loss can be reasonably estimated. The Group evaluates, on a quarterly basis, developments in legal proceedings or claims that could affect the amount of any accrual, as well as any developments that would make a loss contingency both probable and reasonably estimable. The Group discloses the amount of the accrual if it is material.</w:t>
      </w:r>
    </w:p>
    <w:p>
      <w:pPr>
        <w:spacing w:after="0" w:line="180" w:lineRule="exact"/>
        <w:rPr>
          <w:sz w:val="20"/>
          <w:szCs w:val="20"/>
          <w:color w:val="auto"/>
        </w:rPr>
      </w:pPr>
    </w:p>
    <w:p>
      <w:pPr>
        <w:jc w:val="both"/>
        <w:ind w:left="120"/>
        <w:spacing w:after="0" w:line="255" w:lineRule="auto"/>
        <w:rPr>
          <w:sz w:val="20"/>
          <w:szCs w:val="20"/>
          <w:color w:val="auto"/>
        </w:rPr>
      </w:pPr>
      <w:r>
        <w:rPr>
          <w:rFonts w:ascii="Times New Roman" w:cs="Times New Roman" w:eastAsia="Times New Roman" w:hAnsi="Times New Roman"/>
          <w:sz w:val="18"/>
          <w:szCs w:val="18"/>
          <w:color w:val="auto"/>
        </w:rPr>
        <w:t>When a loss contingency is not both probable and estimable, the Group does not record an accrued liability but discloses the nature and the amount of the claim, if material. However, if the loss (or an additional loss in excess of the accrual) is at least reasonably possible, then the Group discloses an estimate of the loss or range of loss, unless it is immaterial or an estimate cannot be made. The assessment of whether a loss is probable or reasonably possible, and whether the loss or a range of loss is estimable, often involves complex judgments about future events. Management is often unable to estimate the loss or a range of loss, particularly where (i) the damages sought are indeterminate, (ii) the proceedings are in the early stages, or (iii) there is a lack of clear or consistent interpretation of laws specific to the industry-specific complaints among different jurisdictions. In such cases, there is considerable uncertainty regarding the timing or ultimate resolution of such matters, including eventual loss, fine, penalty or business impact, if any.</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Risks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Concentration of credit risk</w:t>
      </w:r>
    </w:p>
    <w:p>
      <w:pPr>
        <w:spacing w:after="0" w:line="117" w:lineRule="exact"/>
        <w:rPr>
          <w:sz w:val="20"/>
          <w:szCs w:val="20"/>
          <w:color w:val="auto"/>
        </w:rPr>
      </w:pPr>
    </w:p>
    <w:p>
      <w:pPr>
        <w:jc w:val="both"/>
        <w:ind w:left="120"/>
        <w:spacing w:after="0" w:line="253" w:lineRule="auto"/>
        <w:rPr>
          <w:sz w:val="20"/>
          <w:szCs w:val="20"/>
          <w:color w:val="auto"/>
        </w:rPr>
      </w:pPr>
      <w:r>
        <w:rPr>
          <w:rFonts w:ascii="Times New Roman" w:cs="Times New Roman" w:eastAsia="Times New Roman" w:hAnsi="Times New Roman"/>
          <w:sz w:val="18"/>
          <w:szCs w:val="18"/>
          <w:color w:val="auto"/>
        </w:rPr>
        <w:t>Financial instruments that are potentially subject the Group to significant concentration of credit risk primarily consist of cash and cash equivalents, restricted cash, debt investments, accounts receivable, contract assets, receivables from online payment agencies, amounts due from related parties and long-term time deposits and held-to-maturity investments. The carrying amounts of these assets represent the Group’s maximum exposure to credit risk. As of December 31, 2025, the Group has RMB239.4 billion (US$34.2 billion) in cash and cash equivalents, restricted cash, short-term investments, long-term time deposits and held-to-maturity investments, which is held by financial institutions in Chinese mainland and international financial institutions outside of Chinese mainland. In the event of bankruptcy of one of these financial institutions, the Group may not be able to claim its cash and cash equivalents, restricted cash, short-term investments, long-term time deposits and held-to-maturity investments back in full. The Group continues to monitor the financial strength of the financial institutions, 63% and 37% of which are held by financial institutions in Chinese mainland and international financial institutions outside of Chinese mainland, respectively. The Group’s total cash and cash equivalents, restricted cash, short-term investments, long-term time deposits and held-to-maturity held at the top three financial institutions in Chinese mainland representing 12%, 10% and 8% of the Group’s total cash and cash equivalents, restricted cash, short-term investments, long-term time deposits and held-to-maturity investments as of December 31, 2025, respectively.</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F-26</w:t>
      </w:r>
    </w:p>
    <w:p>
      <w:pPr>
        <w:sectPr>
          <w:pgSz w:w="11900" w:h="16838" w:orient="portrait"/>
          <w:cols w:equalWidth="0" w:num="1">
            <w:col w:w="11140"/>
          </w:cols>
          <w:pgMar w:left="320" w:top="482" w:right="439" w:bottom="1440" w:gutter="0" w:footer="0" w:header="0"/>
        </w:sectPr>
      </w:pPr>
    </w:p>
    <w:bookmarkStart w:id="251" w:name="page252"/>
    <w:bookmarkEnd w:id="2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42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BAIDU, INC.</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THE YEARS ENDED DECEMBER 31, 2023, 2024 AND 2025</w:t>
      </w:r>
    </w:p>
    <w:p>
      <w:pPr>
        <w:spacing w:after="0" w:line="234" w:lineRule="exact"/>
        <w:rPr>
          <w:sz w:val="20"/>
          <w:szCs w:val="20"/>
          <w:color w:val="auto"/>
        </w:rPr>
      </w:pPr>
    </w:p>
    <w:p>
      <w:pPr>
        <w:jc w:val="both"/>
        <w:ind w:left="120"/>
        <w:spacing w:after="0" w:line="254" w:lineRule="auto"/>
        <w:rPr>
          <w:sz w:val="20"/>
          <w:szCs w:val="20"/>
          <w:color w:val="auto"/>
        </w:rPr>
      </w:pPr>
      <w:r>
        <w:rPr>
          <w:rFonts w:ascii="Times New Roman" w:cs="Times New Roman" w:eastAsia="Times New Roman" w:hAnsi="Times New Roman"/>
          <w:sz w:val="18"/>
          <w:szCs w:val="18"/>
          <w:color w:val="auto"/>
        </w:rPr>
        <w:t>PRC state-owned banks, such as Bank of China, are subject to a series of risk control regulatory standards, and PRC bank regulatory authorities are empowered to take over the operation and management when any of those banks faces a material credit crisis. The Group does not foresee substantial credit risk with respect to cash and cash equivalents, restricted cash and debt investments held at the PRC state-owned banks. In May 2015, a new Deposit Insurance System (“DIS”) managed by the People’s Bank of China (“PBOC”) was implemented by the Chinese government. Deposits in the licensed banks in Chinese mainland are protected by DIS, up to a limit of RMB0.5 million. Hong Kong has an official Deposit Protection Scheme (“DPS”). Deposits in the licensed banks in Hong Kong are protected by DPS, up to a limit of HK$0.5 million. In the event of bankruptcy of one of the financial institutions in which the Group has deposits or investments, it may be unlikely to claim its deposits or investments back in full. The Group selected reputable international financial institutions with high rating rates to place its foreign currencies. The Group regularly monitors the rating of the international financial institutions to avoid any potential defaults. There has been no recent history of default in relation to these financial institutions.</w:t>
      </w:r>
    </w:p>
    <w:p>
      <w:pPr>
        <w:spacing w:after="0" w:line="188" w:lineRule="exact"/>
        <w:rPr>
          <w:sz w:val="20"/>
          <w:szCs w:val="20"/>
          <w:color w:val="auto"/>
        </w:rPr>
      </w:pPr>
    </w:p>
    <w:p>
      <w:pPr>
        <w:jc w:val="both"/>
        <w:ind w:left="120"/>
        <w:spacing w:after="0" w:line="258" w:lineRule="auto"/>
        <w:rPr>
          <w:sz w:val="20"/>
          <w:szCs w:val="20"/>
          <w:color w:val="auto"/>
        </w:rPr>
      </w:pPr>
      <w:r>
        <w:rPr>
          <w:rFonts w:ascii="Times New Roman" w:cs="Times New Roman" w:eastAsia="Times New Roman" w:hAnsi="Times New Roman"/>
          <w:sz w:val="18"/>
          <w:szCs w:val="18"/>
          <w:color w:val="auto"/>
        </w:rPr>
        <w:t>Accounts receivable, contract assets and receivables from online payment agencies are typically unsecured and derived from revenue earned from customers and agencies in the PRC, which are exposed to credit risk. The risk is mitigated by credit evaluations the Group performs on its customers and its ongoing monitoring process of outstanding balances. The Group maintains an allowance for credit losses and actual losses have generally been within management’s expectations. As of December 31, 2025, the Group had no single customer with a balance exceeding 10% of the total accounts receivable, contract assets, and receivables from online payment agencies.</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 customer generated greater than 10% of revenue during the years presented.</w:t>
      </w:r>
    </w:p>
    <w:p>
      <w:pPr>
        <w:spacing w:after="0" w:line="225"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Amounts due from related parties are typically unsecured. In evaluating the collectability of the amounts due from related parties, the Group considers many factors, including the related parties’ repayment history and their credit-worthiness. The Group maintains reserves for estimated credit losses and these losses have generally been within its expectations.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Business and economic risks</w:t>
      </w:r>
    </w:p>
    <w:p>
      <w:pPr>
        <w:spacing w:after="0" w:line="117" w:lineRule="exact"/>
        <w:rPr>
          <w:sz w:val="20"/>
          <w:szCs w:val="20"/>
          <w:color w:val="auto"/>
        </w:rPr>
      </w:pPr>
    </w:p>
    <w:p>
      <w:pPr>
        <w:jc w:val="both"/>
        <w:ind w:left="120"/>
        <w:spacing w:after="0" w:line="255" w:lineRule="auto"/>
        <w:rPr>
          <w:sz w:val="20"/>
          <w:szCs w:val="20"/>
          <w:color w:val="auto"/>
        </w:rPr>
      </w:pPr>
      <w:r>
        <w:rPr>
          <w:rFonts w:ascii="Times New Roman" w:cs="Times New Roman" w:eastAsia="Times New Roman" w:hAnsi="Times New Roman"/>
          <w:sz w:val="18"/>
          <w:szCs w:val="18"/>
          <w:color w:val="auto"/>
        </w:rPr>
        <w:t>The Group participates in the dynamic and competitive high technology industry and believes that changes in any of the following areas could have a material adverse effect on the Group’s future financial position, results of operations and cash flows: changes in the overall demand for services and products; changes in business offerings; competitive pressures due to existing and new entrants; advances and new trends in new technologies and industry standards; changes in bandwidth suppliers; changes in certain strategic relationships or customer relationships; regulatory considerations; copyright regulations; cybersecurity regulations; brand maintenance and enhancement; risks associated with the Group’s ability to anticipate user preferences and provide high-quality content in a cost-effective manner; risks associated with the Group’s ability to attract and retain employees necessary to support its growth and risks related to health epidemics, severe weather conditions and other outbreaks.</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Group’s operations could be adversely affected by significant political, economic and social uncertainties and epidemic in Chinese mainland.</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Currency convertibility risk</w:t>
      </w:r>
    </w:p>
    <w:p>
      <w:pPr>
        <w:spacing w:after="0" w:line="117" w:lineRule="exact"/>
        <w:rPr>
          <w:sz w:val="20"/>
          <w:szCs w:val="20"/>
          <w:color w:val="auto"/>
        </w:rPr>
      </w:pPr>
    </w:p>
    <w:p>
      <w:pPr>
        <w:jc w:val="both"/>
        <w:ind w:left="120" w:right="20"/>
        <w:spacing w:after="0" w:line="261" w:lineRule="auto"/>
        <w:rPr>
          <w:sz w:val="20"/>
          <w:szCs w:val="20"/>
          <w:color w:val="auto"/>
        </w:rPr>
      </w:pPr>
      <w:r>
        <w:rPr>
          <w:rFonts w:ascii="Times New Roman" w:cs="Times New Roman" w:eastAsia="Times New Roman" w:hAnsi="Times New Roman"/>
          <w:sz w:val="18"/>
          <w:szCs w:val="18"/>
          <w:color w:val="auto"/>
        </w:rPr>
        <w:t>Substantially all of the Group’s businesses are transacted in RMB, which is not freely convertible into foreign currencies. All foreign exchange transactions take place either through Bank of China or other banks authorized to buy and sell foreign currencies at the exchange rates quoted by the People’s Bank of China. Foreign exchange transactions, including foreign currency payments, require the approval of the People’s Bank of China and/or regulatory institutions.</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Foreign currency exchange rate risk</w:t>
      </w:r>
    </w:p>
    <w:p>
      <w:pPr>
        <w:spacing w:after="0" w:line="117" w:lineRule="exact"/>
        <w:rPr>
          <w:sz w:val="20"/>
          <w:szCs w:val="20"/>
          <w:color w:val="auto"/>
        </w:rPr>
      </w:pPr>
    </w:p>
    <w:p>
      <w:pPr>
        <w:jc w:val="both"/>
        <w:ind w:left="120"/>
        <w:spacing w:after="0" w:line="254" w:lineRule="auto"/>
        <w:rPr>
          <w:sz w:val="20"/>
          <w:szCs w:val="20"/>
          <w:color w:val="auto"/>
        </w:rPr>
      </w:pPr>
      <w:r>
        <w:rPr>
          <w:rFonts w:ascii="Times New Roman" w:cs="Times New Roman" w:eastAsia="Times New Roman" w:hAnsi="Times New Roman"/>
          <w:sz w:val="18"/>
          <w:szCs w:val="18"/>
          <w:color w:val="auto"/>
        </w:rPr>
        <w:t>The functional currency and the reporting currency of the Group are the U.S. dollars and the RMB, respectively. The Group’s exposure to foreign currency exchange rate risk primarily relates to cash and cash equivalents, restricted cash, short-term investments, long-term investments, long-term time deposits and held-to-maturity investments, notes payable, long-term loans and convertible senior notes denominated in the U.S. dollars. The depreciation of the U.S. dollars against the RMB was approximately 4.19% in 2025. Most of the revenue and costs of the Group are denominated in RMB, while a portion of cash and cash equivalents, restricted cash, short-term investments, long-term investments, long-term time deposits and held-to-maturity investments, notes payable, long-term loans and convertible senior notes are denominated in the U.S. dollars. It is difficult to predict how market forces or PRC or U.S. government policy may impact the exchange rate between the Renminbi and the U.S. dollar in the future. Any significant fluctuation of the valuation of RMB may materially affect the Group’s cash flows, revenue, earnings and financial position, and the value of, and any dividends payable on, the ADS in U.S. dollars.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F-27</w:t>
      </w:r>
    </w:p>
    <w:p>
      <w:pPr>
        <w:sectPr>
          <w:pgSz w:w="11900" w:h="16838" w:orient="portrait"/>
          <w:cols w:equalWidth="0" w:num="1">
            <w:col w:w="11140"/>
          </w:cols>
          <w:pgMar w:left="320" w:top="482" w:right="439" w:bottom="1440" w:gutter="0" w:footer="0" w:header="0"/>
        </w:sectPr>
      </w:pPr>
    </w:p>
    <w:bookmarkStart w:id="252" w:name="page253"/>
    <w:bookmarkEnd w:id="2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42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BAIDU, INC.</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THE YEARS ENDED DECEMBER 31, 2023, 2024 AND 2025</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Derivative Instruments</w:t>
      </w:r>
    </w:p>
    <w:p>
      <w:pPr>
        <w:spacing w:after="0" w:line="119" w:lineRule="exact"/>
        <w:rPr>
          <w:sz w:val="20"/>
          <w:szCs w:val="20"/>
          <w:color w:val="auto"/>
        </w:rPr>
      </w:pPr>
    </w:p>
    <w:p>
      <w:pPr>
        <w:jc w:val="both"/>
        <w:ind w:left="120" w:right="20"/>
        <w:spacing w:after="0" w:line="261" w:lineRule="auto"/>
        <w:rPr>
          <w:sz w:val="20"/>
          <w:szCs w:val="20"/>
          <w:color w:val="auto"/>
        </w:rPr>
      </w:pPr>
      <w:r>
        <w:rPr>
          <w:rFonts w:ascii="Times New Roman" w:cs="Times New Roman" w:eastAsia="Times New Roman" w:hAnsi="Times New Roman"/>
          <w:sz w:val="18"/>
          <w:szCs w:val="18"/>
          <w:color w:val="auto"/>
        </w:rPr>
        <w:t xml:space="preserve">ASC Topic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(“ASC 815”), requires all contracts which meet the definition of a derivative to be recognized on the balance sheet as either assets or liabilities and recorded at fair value. Changes in the fair value of derivative financial instruments are either recognized periodically in earnings or in other comprehensive income (loss) depending on the use of the derivative and whether it qualifies for hedge accounting. Changes in fair values of derivatives not qualified as hedges are reported in earnings.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19" w:lineRule="exact"/>
        <w:rPr>
          <w:sz w:val="20"/>
          <w:szCs w:val="20"/>
          <w:color w:val="auto"/>
        </w:rPr>
      </w:pPr>
    </w:p>
    <w:p>
      <w:pPr>
        <w:jc w:val="both"/>
        <w:ind w:left="120"/>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Statement—Reporting Comprehensive Income—Expense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(Subtopic 220-40) </w:t>
      </w:r>
      <w:r>
        <w:rPr>
          <w:rFonts w:ascii="Times New Roman" w:cs="Times New Roman" w:eastAsia="Times New Roman" w:hAnsi="Times New Roman"/>
          <w:sz w:val="18"/>
          <w:szCs w:val="18"/>
          <w:color w:val="auto"/>
        </w:rPr>
        <w:t>(“ASU 2024-03”), which improves financial reporting by requiring that public business entities disclose additional information about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specific expense categories in the notes to financial statements at interim and annual reporting periods. In January 2025, the FASB issued ASU 2025-01, which clarifies the effective date of ASU 2024-03. ASU 2024-03 is effective for fiscal years beginning after December 15, 2026, and interim periods within fiscal years beginning after December 15, 2027. This ASU should be applied prospectively with the option to apply the standard retrospectively. The Company is currently evaluating the provisions of this ASU.</w:t>
      </w:r>
    </w:p>
    <w:p>
      <w:pPr>
        <w:spacing w:after="0" w:line="182" w:lineRule="exact"/>
        <w:rPr>
          <w:sz w:val="20"/>
          <w:szCs w:val="20"/>
          <w:color w:val="auto"/>
        </w:rPr>
      </w:pPr>
    </w:p>
    <w:p>
      <w:pPr>
        <w:jc w:val="both"/>
        <w:ind w:left="120" w:right="20"/>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2024-04, </w:t>
      </w:r>
      <w:r>
        <w:rPr>
          <w:rFonts w:ascii="Times New Roman" w:cs="Times New Roman" w:eastAsia="Times New Roman" w:hAnsi="Times New Roman"/>
          <w:sz w:val="18"/>
          <w:szCs w:val="18"/>
          <w:i w:val="1"/>
          <w:iCs w:val="1"/>
          <w:color w:val="auto"/>
        </w:rPr>
        <w:t>Debt—Debt with Conversion and Other Options (Subtopic 470-20)</w:t>
      </w:r>
      <w:r>
        <w:rPr>
          <w:rFonts w:ascii="Times New Roman" w:cs="Times New Roman" w:eastAsia="Times New Roman" w:hAnsi="Times New Roman"/>
          <w:sz w:val="18"/>
          <w:szCs w:val="18"/>
          <w:color w:val="auto"/>
        </w:rPr>
        <w:t xml:space="preserve"> (“ASU 2024-04”). This new guidance clarifies the assessment of whether a transaction should be accounted for as an induced conversion or extinguishment of convertible debt when changes are made to conversion features as part of an offer to settle the instrument. The guidance is effective for fiscal years beginning after December 15, 2025, with early adoption permitted, and it can be adopted either on a prospective or retrospective basis. The Company is currently in the process of evaluating the disclosure impact of adopting ASU 2024-04.</w:t>
      </w:r>
    </w:p>
    <w:p>
      <w:pPr>
        <w:spacing w:after="0" w:line="183" w:lineRule="exact"/>
        <w:rPr>
          <w:sz w:val="20"/>
          <w:szCs w:val="20"/>
          <w:color w:val="auto"/>
        </w:rPr>
      </w:pPr>
    </w:p>
    <w:p>
      <w:pPr>
        <w:jc w:val="both"/>
        <w:ind w:left="120" w:right="20"/>
        <w:spacing w:after="0" w:line="256" w:lineRule="auto"/>
        <w:rPr>
          <w:sz w:val="20"/>
          <w:szCs w:val="20"/>
          <w:color w:val="auto"/>
        </w:rPr>
      </w:pPr>
      <w:r>
        <w:rPr>
          <w:rFonts w:ascii="Times New Roman" w:cs="Times New Roman" w:eastAsia="Times New Roman" w:hAnsi="Times New Roman"/>
          <w:sz w:val="18"/>
          <w:szCs w:val="18"/>
          <w:color w:val="auto"/>
        </w:rPr>
        <w:t xml:space="preserve">In July 2025, the FASB issued ASU 2025-05, </w:t>
      </w:r>
      <w:r>
        <w:rPr>
          <w:rFonts w:ascii="Times New Roman" w:cs="Times New Roman" w:eastAsia="Times New Roman" w:hAnsi="Times New Roman"/>
          <w:sz w:val="18"/>
          <w:szCs w:val="18"/>
          <w:i w:val="1"/>
          <w:iCs w:val="1"/>
          <w:color w:val="auto"/>
        </w:rPr>
        <w:t>Financial Instruments—Credit Losses (Topic 326): Measurement of Credit Losses for Accounts Receivable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Contract Assets </w:t>
      </w:r>
      <w:r>
        <w:rPr>
          <w:rFonts w:ascii="Times New Roman" w:cs="Times New Roman" w:eastAsia="Times New Roman" w:hAnsi="Times New Roman"/>
          <w:sz w:val="18"/>
          <w:szCs w:val="18"/>
          <w:color w:val="auto"/>
        </w:rPr>
        <w:t>(“ASU 2025-05”), which provide (1) all entities with a practical expedient and (2) entities other than public business entities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accounting policy election when estimating expected credit losses for current accounts receivable and current contract assets arising from transactions accounted for under Topic 606. An entity can elect a practical expedient to assume that the current conditions as of the balance sheet date will remain unchanged for the remaining life of the assets when estimating expected credit losses. ASU 2025-05 is effective for fiscal years beginning after December 15, 2025, and interim reporting periods within those fiscal years. Early adoption is permitted. This ASU should be applied prospectively. The Company is currently evaluating the impact of this new standard on its consolidated financial statements.</w:t>
      </w:r>
    </w:p>
    <w:p>
      <w:pPr>
        <w:spacing w:after="0" w:line="183" w:lineRule="exact"/>
        <w:rPr>
          <w:sz w:val="20"/>
          <w:szCs w:val="20"/>
          <w:color w:val="auto"/>
        </w:rPr>
      </w:pPr>
    </w:p>
    <w:p>
      <w:pPr>
        <w:jc w:val="both"/>
        <w:ind w:left="120"/>
        <w:spacing w:after="0" w:line="257" w:lineRule="auto"/>
        <w:rPr>
          <w:sz w:val="20"/>
          <w:szCs w:val="20"/>
          <w:color w:val="auto"/>
        </w:rPr>
      </w:pPr>
      <w:r>
        <w:rPr>
          <w:rFonts w:ascii="Times New Roman" w:cs="Times New Roman" w:eastAsia="Times New Roman" w:hAnsi="Times New Roman"/>
          <w:sz w:val="18"/>
          <w:szCs w:val="18"/>
          <w:color w:val="auto"/>
        </w:rPr>
        <w:t xml:space="preserve">In September 2025, the FASB issued ASU 2025-06, </w:t>
      </w:r>
      <w:r>
        <w:rPr>
          <w:rFonts w:ascii="Times New Roman" w:cs="Times New Roman" w:eastAsia="Times New Roman" w:hAnsi="Times New Roman"/>
          <w:sz w:val="18"/>
          <w:szCs w:val="18"/>
          <w:i w:val="1"/>
          <w:iCs w:val="1"/>
          <w:color w:val="auto"/>
        </w:rPr>
        <w:t>Intangibles: Goodwill and Other-Internal-Use Software (Subtopic 350-40): Targeted Improvements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to the Accounting for Internal-Use Software </w:t>
      </w:r>
      <w:r>
        <w:rPr>
          <w:rFonts w:ascii="Times New Roman" w:cs="Times New Roman" w:eastAsia="Times New Roman" w:hAnsi="Times New Roman"/>
          <w:sz w:val="18"/>
          <w:szCs w:val="18"/>
          <w:color w:val="auto"/>
        </w:rPr>
        <w:t>(ASU 2025-06)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guidance modernizes the accounting for software costs and enhances the transparency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about an entity’s software costs. The guidance is effective for the fiscal years beginning after December 15, 2027 and for interim periods within those fiscal years. This ASU can be applied prospectively, retrospectively, or under a modified transition approach. The Company is currently evaluating the impact of the new standard and do not expect to have a material impact on its consolidated financial statements resulting from adoption of the new standard.</w:t>
      </w:r>
    </w:p>
    <w:p>
      <w:pPr>
        <w:spacing w:after="0" w:line="182" w:lineRule="exact"/>
        <w:rPr>
          <w:sz w:val="20"/>
          <w:szCs w:val="20"/>
          <w:color w:val="auto"/>
        </w:rPr>
      </w:pPr>
    </w:p>
    <w:p>
      <w:pPr>
        <w:jc w:val="both"/>
        <w:ind w:left="120"/>
        <w:spacing w:after="0" w:line="256" w:lineRule="auto"/>
        <w:rPr>
          <w:sz w:val="20"/>
          <w:szCs w:val="20"/>
          <w:color w:val="auto"/>
        </w:rPr>
      </w:pPr>
      <w:r>
        <w:rPr>
          <w:rFonts w:ascii="Times New Roman" w:cs="Times New Roman" w:eastAsia="Times New Roman" w:hAnsi="Times New Roman"/>
          <w:sz w:val="18"/>
          <w:szCs w:val="18"/>
          <w:color w:val="auto"/>
        </w:rPr>
        <w:t xml:space="preserve">In December 2025, the FASB issued ASU 2025-10, </w:t>
      </w:r>
      <w:r>
        <w:rPr>
          <w:rFonts w:ascii="Times New Roman" w:cs="Times New Roman" w:eastAsia="Times New Roman" w:hAnsi="Times New Roman"/>
          <w:sz w:val="18"/>
          <w:szCs w:val="18"/>
          <w:i w:val="1"/>
          <w:iCs w:val="1"/>
          <w:color w:val="auto"/>
        </w:rPr>
        <w:t>Government Grants (Topic 832): Accounting for Government Grants Received by Business Entities</w:t>
      </w:r>
      <w:r>
        <w:rPr>
          <w:rFonts w:ascii="Times New Roman" w:cs="Times New Roman" w:eastAsia="Times New Roman" w:hAnsi="Times New Roman"/>
          <w:sz w:val="18"/>
          <w:szCs w:val="18"/>
          <w:color w:val="auto"/>
        </w:rPr>
        <w:t xml:space="preserve"> (“ASU 2025-10”), to improve generally accepted accounting principles by establishing authoritative guidance on the accounting for government grants received by business entities. The amendments establish the accounting for a government grant received by a business entity, including guidance for (1) a grant related to an asset and (2) a grant related to income. The guidance is effective for fiscal years beginning after December 15, 2028, with early adoption permitted, and it can be applied using one of the following approaches: (1) a modified prospective approach; (2) a modified retrospective approach and (3) a retrospective approach to all government grants. The Company is currently in the process of evaluating the disclosure impact of adopting ASU 2025-10.</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F-28</w:t>
      </w:r>
    </w:p>
    <w:p>
      <w:pPr>
        <w:sectPr>
          <w:pgSz w:w="11900" w:h="16838" w:orient="portrait"/>
          <w:cols w:equalWidth="0" w:num="1">
            <w:col w:w="11140"/>
          </w:cols>
          <w:pgMar w:left="320" w:top="482" w:right="439" w:bottom="1440" w:gutter="0" w:footer="0" w:header="0"/>
        </w:sectPr>
      </w:pPr>
    </w:p>
    <w:bookmarkStart w:id="253" w:name="page254"/>
    <w:bookmarkEnd w:id="2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42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BAIDU, INC.</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THE YEARS ENDED DECEMBER 31, 2023, 2024 AND 2025</w:t>
      </w:r>
    </w:p>
    <w:p>
      <w:pPr>
        <w:spacing w:after="0" w:line="230" w:lineRule="exact"/>
        <w:rPr>
          <w:sz w:val="20"/>
          <w:szCs w:val="20"/>
          <w:color w:val="auto"/>
        </w:rPr>
      </w:pPr>
    </w:p>
    <w:p>
      <w:pPr>
        <w:ind w:left="540" w:hanging="424"/>
        <w:spacing w:after="0"/>
        <w:tabs>
          <w:tab w:leader="none" w:pos="540" w:val="left"/>
        </w:tabs>
        <w:numPr>
          <w:ilvl w:val="0"/>
          <w:numId w:val="1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COMBINATIONS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 in 2023:</w:t>
      </w:r>
    </w:p>
    <w:p>
      <w:pPr>
        <w:spacing w:after="0" w:line="121"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In January 2023, the Group acquired 100% equity interests of an entity at a cash consideration of RMB130 million, among which RMB114 million was allocated to goodwill.</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Goodwill, which is non-deductible for tax purposes, is primarily attributable to the synergies expected to be achieved from the acquisition.</w:t>
      </w:r>
    </w:p>
    <w:p>
      <w:pPr>
        <w:spacing w:after="0" w:line="225"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Neither the results of operations since the acquisition date nor the pro forma results of operations of the acquiree were presented because the effect of the business combination was not significant to the Group’s consolidated results of operations.</w:t>
      </w:r>
    </w:p>
    <w:p>
      <w:pPr>
        <w:spacing w:after="0" w:line="162"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The valuations used in the purchase price allocation were determined by the Group with the assistance of independent third-party valuation firm. The valuation report considered generally accepted valuation methodologies such as the income, market and cost approaches.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 in 2025:</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Acquisition of YY Live</w:t>
      </w:r>
    </w:p>
    <w:p>
      <w:pPr>
        <w:spacing w:after="0" w:line="225"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In 2021, the Group paid US$1.9 billion cash consideration and deposited US$1.6 billion into escrow in connection with a proposed acquisition of YY Live. As the original transaction did not consummate and was terminated in 2024, these amounts were recorded in “Receivables related to the proposed acquisition of YY Live, net” and “Restricted cash”, respectively, on the consolidated balance sheet as of December 31, 2024.</w:t>
      </w:r>
    </w:p>
    <w:p>
      <w:pPr>
        <w:spacing w:after="0" w:line="176"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On February 25, 2025, the Group entered into new agreements with JOYY Inc. and acquired 100% equity interests in YY Live. The purchase consideration included the aforementioned US$1.9 billion paid in 2021 and an additional cash consideration of US$240 million. Upon closing, the aforementioned US$1.6 billion held in escrow was fully released back to the Group. YY Live’s results of operations were included in the Group’s consolidated financial statements since the date of acquisition.</w:t>
      </w:r>
    </w:p>
    <w:p>
      <w:pPr>
        <w:spacing w:after="0" w:line="180"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The Group completed the valuations necessary to assess the fair values of the tangible and intangible assets acquired and liabilities assumed, and determined the amount of goodwill recognized as of the acquisition date. The following table summarizes the estimated fair values of the assets acquired and liabilities assumed as of February 25, 2025, the date of acquisition:</w:t>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9680" w:type="dxa"/>
            <w:vAlign w:val="bottom"/>
          </w:tcPr>
          <w:p>
            <w:pPr>
              <w:spacing w:after="0"/>
              <w:rPr>
                <w:sz w:val="15"/>
                <w:szCs w:val="15"/>
                <w:color w:val="auto"/>
              </w:rPr>
            </w:pP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w w:val="91"/>
              </w:rPr>
              <w:t>  RMB </w:t>
            </w: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 xml:space="preserve">  US$ </w:t>
            </w:r>
          </w:p>
        </w:tc>
      </w:tr>
      <w:tr>
        <w:trPr>
          <w:trHeight w:val="142"/>
        </w:trPr>
        <w:tc>
          <w:tcPr>
            <w:tcW w:w="9680" w:type="dxa"/>
            <w:vAlign w:val="bottom"/>
          </w:tcPr>
          <w:p>
            <w:pPr>
              <w:spacing w:after="0"/>
              <w:rPr>
                <w:sz w:val="12"/>
                <w:szCs w:val="12"/>
                <w:color w:val="auto"/>
              </w:rPr>
            </w:pPr>
          </w:p>
        </w:tc>
        <w:tc>
          <w:tcPr>
            <w:tcW w:w="1220" w:type="dxa"/>
            <w:vAlign w:val="bottom"/>
            <w:tcBorders>
              <w:top w:val="single" w:sz="8" w:color="auto"/>
            </w:tcBorders>
            <w:gridSpan w:val="3"/>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2"/>
                <w:szCs w:val="12"/>
                <w:color w:val="auto"/>
              </w:rPr>
            </w:pPr>
          </w:p>
        </w:tc>
      </w:tr>
      <w:tr>
        <w:trPr>
          <w:trHeight w:val="216"/>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 acquired, excluding intangible assets and deferred tax liabilities</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1,192</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170</w:t>
            </w:r>
          </w:p>
        </w:tc>
      </w:tr>
      <w:tr>
        <w:trPr>
          <w:trHeight w:val="216"/>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(159)</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14,197</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2,031</w:t>
            </w:r>
          </w:p>
        </w:tc>
      </w:tr>
      <w:tr>
        <w:trPr>
          <w:trHeight w:val="27"/>
        </w:trPr>
        <w:tc>
          <w:tcPr>
            <w:tcW w:w="96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consideration</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15,219</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2,176</w:t>
            </w:r>
          </w:p>
        </w:tc>
      </w:tr>
      <w:tr>
        <w:trPr>
          <w:trHeight w:val="20"/>
        </w:trPr>
        <w:tc>
          <w:tcPr>
            <w:tcW w:w="96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Goodwill, which is not tax deductible, is primarily attributable to synergies expected to be achieved from the acquisition. The synergies mainly come from the integration of YY Live with the Group’s mobile ecosystem.</w:t>
      </w:r>
    </w:p>
    <w:p>
      <w:pPr>
        <w:spacing w:after="0" w:line="162"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Neither the results of operations since the acquisition date nor the pro forma results of operations of the acquiree were presented because the effect of the business combination was not significant to the Group’s consolidated results of operations.</w:t>
      </w:r>
    </w:p>
    <w:p>
      <w:pPr>
        <w:spacing w:after="0" w:line="162"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The valuations used in the purchase price allocation were determined by the Group with the assistance of independent third-party valuation firm. The valuation report considered generally accepted valuation methodologies such as the income, market and cost approaches.</w:t>
      </w:r>
    </w:p>
    <w:p>
      <w:pPr>
        <w:spacing w:after="0" w:line="162" w:lineRule="exact"/>
        <w:rPr>
          <w:sz w:val="20"/>
          <w:szCs w:val="20"/>
          <w:color w:val="auto"/>
        </w:rPr>
      </w:pPr>
    </w:p>
    <w:p>
      <w:pPr>
        <w:jc w:val="center"/>
        <w:ind w:right="400"/>
        <w:spacing w:after="0" w:line="454" w:lineRule="auto"/>
        <w:rPr>
          <w:sz w:val="20"/>
          <w:szCs w:val="20"/>
          <w:color w:val="auto"/>
        </w:rPr>
      </w:pPr>
      <w:r>
        <w:rPr>
          <w:rFonts w:ascii="Times New Roman" w:cs="Times New Roman" w:eastAsia="Times New Roman" w:hAnsi="Times New Roman"/>
          <w:sz w:val="18"/>
          <w:szCs w:val="18"/>
          <w:color w:val="auto"/>
        </w:rPr>
        <w:t>The acquisition related costs which were included in general and administrative expenses were immaterial for the year ended December 31, 2025. F-29</w:t>
      </w:r>
    </w:p>
    <w:p>
      <w:pPr>
        <w:sectPr>
          <w:pgSz w:w="11900" w:h="16838" w:orient="portrait"/>
          <w:cols w:equalWidth="0" w:num="1">
            <w:col w:w="11140"/>
          </w:cols>
          <w:pgMar w:left="320" w:top="482" w:right="439" w:bottom="1440" w:gutter="0" w:footer="0" w:header="0"/>
        </w:sectPr>
      </w:pPr>
    </w:p>
    <w:bookmarkStart w:id="254" w:name="page255"/>
    <w:bookmarkEnd w:id="2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4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BAIDU, INC.</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THE YEARS ENDED DECEMBER 31, 2023, 2024 AND 2025</w:t>
      </w:r>
    </w:p>
    <w:p>
      <w:pPr>
        <w:spacing w:after="0" w:line="230" w:lineRule="exact"/>
        <w:rPr>
          <w:sz w:val="20"/>
          <w:szCs w:val="20"/>
          <w:color w:val="auto"/>
        </w:rPr>
      </w:pPr>
    </w:p>
    <w:p>
      <w:pPr>
        <w:ind w:left="540" w:hanging="424"/>
        <w:spacing w:after="0"/>
        <w:tabs>
          <w:tab w:leader="none" w:pos="540" w:val="left"/>
        </w:tabs>
        <w:numPr>
          <w:ilvl w:val="0"/>
          <w:numId w:val="1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INVESTMENTS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Short-term Investments</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As of December 31, 2024 and 2025, the Group’s short-term investments primarily comprised of deposits in commercial banks with maturities between three months and one year and wealth management products issued by commercial banks and other financial institutions.</w:t>
      </w:r>
    </w:p>
    <w:p>
      <w:pPr>
        <w:spacing w:after="0" w:line="162"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2023, 2024 and 2025, the Group recorded interest income from its short-term investments of RMB5.1 billion, RMB3.9 billion and RMB1.6 billion (US$222 million) in the consolidated statements of comprehensive income, respectively.</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Short-term investments classification as of December 31, 2024 and 2025 were shown as below:</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1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1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7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40" w:type="dxa"/>
            <w:vAlign w:val="bottom"/>
            <w:gridSpan w:val="3"/>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Cost or</w:t>
            </w: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Gross</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cost less</w:t>
            </w:r>
          </w:p>
        </w:tc>
        <w:tc>
          <w:tcPr>
            <w:tcW w:w="220" w:type="dxa"/>
            <w:vAlign w:val="bottom"/>
          </w:tcPr>
          <w:p>
            <w:pPr>
              <w:spacing w:after="0"/>
              <w:rPr>
                <w:sz w:val="12"/>
                <w:szCs w:val="12"/>
                <w:color w:val="auto"/>
              </w:rPr>
            </w:pPr>
          </w:p>
        </w:tc>
        <w:tc>
          <w:tcPr>
            <w:tcW w:w="82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2"/>
                <w:szCs w:val="12"/>
                <w:color w:val="auto"/>
              </w:rPr>
            </w:pPr>
          </w:p>
        </w:tc>
        <w:tc>
          <w:tcPr>
            <w:tcW w:w="78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5"/>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72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allowance</w:t>
            </w:r>
          </w:p>
        </w:tc>
        <w:tc>
          <w:tcPr>
            <w:tcW w:w="220" w:type="dxa"/>
            <w:vAlign w:val="bottom"/>
          </w:tcPr>
          <w:p>
            <w:pPr>
              <w:spacing w:after="0"/>
              <w:rPr>
                <w:sz w:val="12"/>
                <w:szCs w:val="12"/>
                <w:color w:val="auto"/>
              </w:rPr>
            </w:pPr>
          </w:p>
        </w:tc>
        <w:tc>
          <w:tcPr>
            <w:tcW w:w="82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6"/>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unrecognized</w:t>
            </w:r>
          </w:p>
        </w:tc>
        <w:tc>
          <w:tcPr>
            <w:tcW w:w="160" w:type="dxa"/>
            <w:vAlign w:val="bottom"/>
          </w:tcPr>
          <w:p>
            <w:pPr>
              <w:spacing w:after="0"/>
              <w:rPr>
                <w:sz w:val="12"/>
                <w:szCs w:val="12"/>
                <w:color w:val="auto"/>
              </w:rPr>
            </w:pPr>
          </w:p>
        </w:tc>
        <w:tc>
          <w:tcPr>
            <w:tcW w:w="1020" w:type="dxa"/>
            <w:vAlign w:val="bottom"/>
            <w:gridSpan w:val="5"/>
            <w:vMerge w:val="continue"/>
          </w:tcPr>
          <w:p>
            <w:pPr>
              <w:spacing w:after="0"/>
              <w:rPr>
                <w:sz w:val="12"/>
                <w:szCs w:val="12"/>
                <w:color w:val="auto"/>
              </w:rPr>
            </w:pPr>
          </w:p>
        </w:tc>
        <w:tc>
          <w:tcPr>
            <w:tcW w:w="720" w:type="dxa"/>
            <w:vAlign w:val="bottom"/>
            <w:gridSpan w:val="4"/>
            <w:vMerge w:val="continue"/>
          </w:tcPr>
          <w:p>
            <w:pPr>
              <w:spacing w:after="0"/>
              <w:rPr>
                <w:sz w:val="12"/>
                <w:szCs w:val="12"/>
                <w:color w:val="auto"/>
              </w:rPr>
            </w:pPr>
          </w:p>
        </w:tc>
        <w:tc>
          <w:tcPr>
            <w:tcW w:w="740" w:type="dxa"/>
            <w:vAlign w:val="bottom"/>
            <w:gridSpan w:val="4"/>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72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 credit</w:t>
            </w:r>
          </w:p>
        </w:tc>
        <w:tc>
          <w:tcPr>
            <w:tcW w:w="220" w:type="dxa"/>
            <w:vAlign w:val="bottom"/>
          </w:tcPr>
          <w:p>
            <w:pPr>
              <w:spacing w:after="0"/>
              <w:rPr>
                <w:sz w:val="12"/>
                <w:szCs w:val="12"/>
                <w:color w:val="auto"/>
              </w:rPr>
            </w:pPr>
          </w:p>
        </w:tc>
        <w:tc>
          <w:tcPr>
            <w:tcW w:w="82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unrecognized</w:t>
            </w:r>
          </w:p>
        </w:tc>
        <w:tc>
          <w:tcPr>
            <w:tcW w:w="220" w:type="dxa"/>
            <w:vAlign w:val="bottom"/>
          </w:tcPr>
          <w:p>
            <w:pPr>
              <w:spacing w:after="0"/>
              <w:rPr>
                <w:sz w:val="12"/>
                <w:szCs w:val="12"/>
                <w:color w:val="auto"/>
              </w:rPr>
            </w:pPr>
          </w:p>
        </w:tc>
        <w:tc>
          <w:tcPr>
            <w:tcW w:w="78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holding</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40" w:type="dxa"/>
            <w:vAlign w:val="bottom"/>
            <w:gridSpan w:val="9"/>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unrealized   unrealized</w:t>
            </w:r>
          </w:p>
        </w:tc>
        <w:tc>
          <w:tcPr>
            <w:tcW w:w="740" w:type="dxa"/>
            <w:vAlign w:val="bottom"/>
            <w:gridSpan w:val="4"/>
            <w:vMerge w:val="continue"/>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7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3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5"/>
                <w:szCs w:val="15"/>
                <w:color w:val="auto"/>
              </w:rPr>
            </w:pPr>
          </w:p>
        </w:tc>
        <w:tc>
          <w:tcPr>
            <w:tcW w:w="8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holding gains</w:t>
            </w:r>
          </w:p>
        </w:tc>
        <w:tc>
          <w:tcPr>
            <w:tcW w:w="220" w:type="dxa"/>
            <w:vAlign w:val="bottom"/>
          </w:tcPr>
          <w:p>
            <w:pPr>
              <w:spacing w:after="0"/>
              <w:rPr>
                <w:sz w:val="15"/>
                <w:szCs w:val="15"/>
                <w:color w:val="auto"/>
              </w:rPr>
            </w:pPr>
          </w:p>
        </w:tc>
        <w:tc>
          <w:tcPr>
            <w:tcW w:w="7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7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74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72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7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7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40" w:type="dxa"/>
            <w:vAlign w:val="bottom"/>
            <w:tcBorders>
              <w:top w:val="single" w:sz="8" w:color="auto"/>
            </w:tcBorders>
            <w:gridSpan w:val="3"/>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220" w:type="dxa"/>
            <w:vAlign w:val="bottom"/>
          </w:tcPr>
          <w:p>
            <w:pPr>
              <w:spacing w:after="0"/>
              <w:rPr>
                <w:sz w:val="10"/>
                <w:szCs w:val="10"/>
                <w:color w:val="auto"/>
              </w:rPr>
            </w:pPr>
          </w:p>
        </w:tc>
        <w:tc>
          <w:tcPr>
            <w:tcW w:w="820" w:type="dxa"/>
            <w:vAlign w:val="bottom"/>
            <w:tcBorders>
              <w:top w:val="single" w:sz="8" w:color="auto"/>
            </w:tcBorders>
            <w:gridSpan w:val="4"/>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220" w:type="dxa"/>
            <w:vAlign w:val="bottom"/>
          </w:tcPr>
          <w:p>
            <w:pPr>
              <w:spacing w:after="0"/>
              <w:rPr>
                <w:sz w:val="10"/>
                <w:szCs w:val="10"/>
                <w:color w:val="auto"/>
              </w:rPr>
            </w:pPr>
          </w:p>
        </w:tc>
        <w:tc>
          <w:tcPr>
            <w:tcW w:w="780" w:type="dxa"/>
            <w:vAlign w:val="bottom"/>
            <w:tcBorders>
              <w:top w:val="single" w:sz="8" w:color="auto"/>
            </w:tcBorders>
            <w:gridSpan w:val="4"/>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4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Borders>
              <w:top w:val="single" w:sz="8" w:color="auto"/>
            </w:tcBorders>
            <w:gridSpan w:val="3"/>
          </w:tcPr>
          <w:p>
            <w:pPr>
              <w:ind w:left="140"/>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2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220" w:type="dxa"/>
            <w:vAlign w:val="bottom"/>
          </w:tcPr>
          <w:p>
            <w:pPr>
              <w:spacing w:after="0"/>
              <w:rPr>
                <w:sz w:val="10"/>
                <w:szCs w:val="10"/>
                <w:color w:val="auto"/>
              </w:rPr>
            </w:pPr>
          </w:p>
        </w:tc>
        <w:tc>
          <w:tcPr>
            <w:tcW w:w="640" w:type="dxa"/>
            <w:vAlign w:val="bottom"/>
            <w:tcBorders>
              <w:top w:val="single" w:sz="8" w:color="auto"/>
            </w:tcBorders>
          </w:tcPr>
          <w:p>
            <w:pPr>
              <w:jc w:val="right"/>
              <w:ind w:right="77"/>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Held-to-maturity debt investments</w:t>
            </w:r>
          </w:p>
        </w:tc>
        <w:tc>
          <w:tcPr>
            <w:tcW w:w="10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96,639</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6"/>
              </w:rPr>
              <w:t>370</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(97)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96,912</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Available-for-sale debt investments</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5,912</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96"/>
              </w:rPr>
              <w:t>— </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73"/>
              </w:rPr>
              <w:t>— </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5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5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5,954</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Trading debt investments</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6"/>
              </w:rPr>
              <w:t>— </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73"/>
              </w:rPr>
              <w:t>— </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391"/>
        </w:trPr>
        <w:tc>
          <w:tcPr>
            <w:tcW w:w="37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10"/>
          </w:tcPr>
          <w:p>
            <w:pPr>
              <w:ind w:left="80"/>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3700" w:type="dxa"/>
            <w:vAlign w:val="bottom"/>
          </w:tcPr>
          <w:p>
            <w:pPr>
              <w:spacing w:after="0"/>
              <w:rPr>
                <w:sz w:val="10"/>
                <w:szCs w:val="10"/>
                <w:color w:val="auto"/>
              </w:rPr>
            </w:pPr>
          </w:p>
        </w:tc>
        <w:tc>
          <w:tcPr>
            <w:tcW w:w="62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Cost or</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6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gridSpan w:val="3"/>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tcPr>
          <w:p>
            <w:pPr>
              <w:spacing w:after="0"/>
              <w:rPr>
                <w:sz w:val="12"/>
                <w:szCs w:val="12"/>
                <w:color w:val="auto"/>
              </w:rPr>
            </w:pPr>
          </w:p>
        </w:tc>
        <w:tc>
          <w:tcPr>
            <w:tcW w:w="6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cost less</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3"/>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5"/>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6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tcPr>
          <w:p>
            <w:pPr>
              <w:spacing w:after="0"/>
              <w:rPr>
                <w:sz w:val="12"/>
                <w:szCs w:val="12"/>
                <w:color w:val="auto"/>
              </w:rPr>
            </w:pPr>
          </w:p>
        </w:tc>
        <w:tc>
          <w:tcPr>
            <w:tcW w:w="6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allowance</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4"/>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unrecognized</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5"/>
            <w:vMerge w:val="continue"/>
          </w:tcPr>
          <w:p>
            <w:pPr>
              <w:spacing w:after="0"/>
              <w:rPr>
                <w:sz w:val="12"/>
                <w:szCs w:val="12"/>
                <w:color w:val="auto"/>
              </w:rPr>
            </w:pPr>
          </w:p>
        </w:tc>
        <w:tc>
          <w:tcPr>
            <w:tcW w:w="66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80" w:type="dxa"/>
            <w:vAlign w:val="bottom"/>
          </w:tcPr>
          <w:p>
            <w:pPr>
              <w:spacing w:after="0"/>
              <w:rPr>
                <w:sz w:val="12"/>
                <w:szCs w:val="12"/>
                <w:color w:val="auto"/>
              </w:rPr>
            </w:pPr>
          </w:p>
        </w:tc>
        <w:tc>
          <w:tcPr>
            <w:tcW w:w="5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6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 credit</w:t>
            </w:r>
          </w:p>
        </w:tc>
        <w:tc>
          <w:tcPr>
            <w:tcW w:w="220" w:type="dxa"/>
            <w:vAlign w:val="bottom"/>
          </w:tcPr>
          <w:p>
            <w:pPr>
              <w:spacing w:after="0"/>
              <w:rPr>
                <w:sz w:val="12"/>
                <w:szCs w:val="12"/>
                <w:color w:val="auto"/>
              </w:rPr>
            </w:pPr>
          </w:p>
        </w:tc>
        <w:tc>
          <w:tcPr>
            <w:tcW w:w="880" w:type="dxa"/>
            <w:vAlign w:val="bottom"/>
            <w:gridSpan w:val="4"/>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unrecognized</w:t>
            </w:r>
          </w:p>
        </w:tc>
        <w:tc>
          <w:tcPr>
            <w:tcW w:w="140" w:type="dxa"/>
            <w:vAlign w:val="bottom"/>
          </w:tcPr>
          <w:p>
            <w:pPr>
              <w:spacing w:after="0"/>
              <w:rPr>
                <w:sz w:val="12"/>
                <w:szCs w:val="12"/>
                <w:color w:val="auto"/>
              </w:rPr>
            </w:pPr>
          </w:p>
        </w:tc>
        <w:tc>
          <w:tcPr>
            <w:tcW w:w="940" w:type="dxa"/>
            <w:vAlign w:val="bottom"/>
            <w:gridSpan w:val="4"/>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holding</w:t>
            </w:r>
          </w:p>
        </w:tc>
        <w:tc>
          <w:tcPr>
            <w:tcW w:w="140" w:type="dxa"/>
            <w:vAlign w:val="bottom"/>
          </w:tcPr>
          <w:p>
            <w:pPr>
              <w:spacing w:after="0"/>
              <w:rPr>
                <w:sz w:val="12"/>
                <w:szCs w:val="12"/>
                <w:color w:val="auto"/>
              </w:rPr>
            </w:pPr>
          </w:p>
        </w:tc>
        <w:tc>
          <w:tcPr>
            <w:tcW w:w="840" w:type="dxa"/>
            <w:vAlign w:val="bottom"/>
            <w:gridSpan w:val="6"/>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66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00" w:type="dxa"/>
            <w:vAlign w:val="bottom"/>
          </w:tcPr>
          <w:p>
            <w:pPr>
              <w:spacing w:after="0"/>
              <w:rPr>
                <w:sz w:val="12"/>
                <w:szCs w:val="12"/>
                <w:color w:val="auto"/>
              </w:rPr>
            </w:pPr>
          </w:p>
        </w:tc>
        <w:tc>
          <w:tcPr>
            <w:tcW w:w="52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4"/>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3700" w:type="dxa"/>
            <w:vAlign w:val="bottom"/>
          </w:tcPr>
          <w:p>
            <w:pPr>
              <w:spacing w:after="0"/>
              <w:rPr>
                <w:sz w:val="15"/>
                <w:szCs w:val="15"/>
                <w:color w:val="auto"/>
              </w:rPr>
            </w:pP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5"/>
                <w:szCs w:val="15"/>
                <w:color w:val="auto"/>
              </w:rPr>
            </w:pPr>
          </w:p>
        </w:tc>
        <w:tc>
          <w:tcPr>
            <w:tcW w:w="88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holding gains</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6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0" w:type="dxa"/>
            <w:vAlign w:val="bottom"/>
          </w:tcPr>
          <w:p>
            <w:pPr>
              <w:spacing w:after="0"/>
              <w:rPr>
                <w:sz w:val="15"/>
                <w:szCs w:val="15"/>
                <w:color w:val="auto"/>
              </w:rPr>
            </w:pPr>
          </w:p>
        </w:tc>
        <w:tc>
          <w:tcPr>
            <w:tcW w:w="5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80" w:type="dxa"/>
            <w:vAlign w:val="bottom"/>
          </w:tcPr>
          <w:p>
            <w:pPr>
              <w:spacing w:after="0"/>
              <w:rPr>
                <w:sz w:val="15"/>
                <w:szCs w:val="15"/>
                <w:color w:val="auto"/>
              </w:rPr>
            </w:pPr>
          </w:p>
        </w:tc>
        <w:tc>
          <w:tcPr>
            <w:tcW w:w="5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40" w:type="dxa"/>
            <w:vAlign w:val="bottom"/>
          </w:tcPr>
          <w:p>
            <w:pPr>
              <w:spacing w:after="0"/>
              <w:rPr>
                <w:sz w:val="15"/>
                <w:szCs w:val="15"/>
                <w:color w:val="auto"/>
              </w:rPr>
            </w:pPr>
          </w:p>
        </w:tc>
        <w:tc>
          <w:tcPr>
            <w:tcW w:w="128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700" w:type="dxa"/>
            <w:vAlign w:val="bottom"/>
          </w:tcPr>
          <w:p>
            <w:pPr>
              <w:spacing w:after="0"/>
              <w:rPr>
                <w:sz w:val="10"/>
                <w:szCs w:val="10"/>
                <w:color w:val="auto"/>
              </w:rPr>
            </w:pPr>
          </w:p>
        </w:tc>
        <w:tc>
          <w:tcPr>
            <w:tcW w:w="62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2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gridSpan w:val="2"/>
          </w:tcPr>
          <w:p>
            <w:pPr>
              <w:jc w:val="center"/>
              <w:ind w:right="123"/>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gridSpan w:val="2"/>
          </w:tcPr>
          <w:p>
            <w:pPr>
              <w:jc w:val="center"/>
              <w:ind w:right="144"/>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gridSpan w:val="4"/>
          </w:tcPr>
          <w:p>
            <w:pPr>
              <w:jc w:val="center"/>
              <w:ind w:right="69"/>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200" w:type="dxa"/>
            <w:vAlign w:val="bottom"/>
          </w:tcPr>
          <w:p>
            <w:pPr>
              <w:spacing w:after="0"/>
              <w:rPr>
                <w:sz w:val="10"/>
                <w:szCs w:val="10"/>
                <w:color w:val="auto"/>
              </w:rPr>
            </w:pPr>
          </w:p>
        </w:tc>
        <w:tc>
          <w:tcPr>
            <w:tcW w:w="660" w:type="dxa"/>
            <w:vAlign w:val="bottom"/>
            <w:tcBorders>
              <w:top w:val="single" w:sz="8" w:color="auto"/>
            </w:tcBorders>
            <w:gridSpan w:val="3"/>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200" w:type="dxa"/>
            <w:vAlign w:val="bottom"/>
          </w:tcPr>
          <w:p>
            <w:pPr>
              <w:spacing w:after="0"/>
              <w:rPr>
                <w:sz w:val="10"/>
                <w:szCs w:val="10"/>
                <w:color w:val="auto"/>
              </w:rPr>
            </w:pPr>
          </w:p>
        </w:tc>
        <w:tc>
          <w:tcPr>
            <w:tcW w:w="500" w:type="dxa"/>
            <w:vAlign w:val="bottom"/>
            <w:tcBorders>
              <w:top w:val="single" w:sz="8" w:color="auto"/>
            </w:tcBorders>
            <w:gridSpan w:val="2"/>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Borders>
              <w:top w:val="single" w:sz="8" w:color="auto"/>
            </w:tcBorders>
            <w:gridSpan w:val="2"/>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Borders>
              <w:top w:val="single" w:sz="8" w:color="auto"/>
            </w:tcBorders>
            <w:gridSpan w:val="2"/>
          </w:tcPr>
          <w:p>
            <w:pPr>
              <w:jc w:val="right"/>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640" w:type="dxa"/>
            <w:vAlign w:val="bottom"/>
            <w:tcBorders>
              <w:top w:val="single" w:sz="8" w:color="auto"/>
            </w:tcBorders>
          </w:tcPr>
          <w:p>
            <w:pPr>
              <w:jc w:val="right"/>
              <w:ind w:right="17"/>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7"/>
          </w:tcPr>
          <w:p>
            <w:pPr>
              <w:ind w:left="1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Held-to-maturity debt investments</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59,530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314</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center"/>
              <w:ind w:left="145"/>
              <w:spacing w:after="0"/>
              <w:rPr>
                <w:sz w:val="20"/>
                <w:szCs w:val="20"/>
                <w:color w:val="auto"/>
              </w:rPr>
            </w:pPr>
            <w:r>
              <w:rPr>
                <w:rFonts w:ascii="Times New Roman" w:cs="Times New Roman" w:eastAsia="Times New Roman" w:hAnsi="Times New Roman"/>
                <w:sz w:val="18"/>
                <w:szCs w:val="18"/>
                <w:color w:val="auto"/>
                <w:w w:val="97"/>
              </w:rPr>
              <w:t>(274)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6"/>
              </w:rPr>
              <w:t>— </w:t>
            </w:r>
          </w:p>
        </w:tc>
        <w:tc>
          <w:tcPr>
            <w:tcW w:w="2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59,570</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8,518</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Available-for-sale debt investments</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26,886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81"/>
              </w:rPr>
              <w:t>— </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164</w:t>
            </w:r>
          </w:p>
        </w:tc>
        <w:tc>
          <w:tcPr>
            <w:tcW w:w="280" w:type="dxa"/>
            <w:vAlign w:val="bottom"/>
          </w:tcPr>
          <w:p>
            <w:pPr>
              <w:spacing w:after="0"/>
              <w:rPr>
                <w:sz w:val="18"/>
                <w:szCs w:val="18"/>
                <w:color w:val="auto"/>
              </w:rPr>
            </w:pPr>
          </w:p>
        </w:tc>
        <w:tc>
          <w:tcPr>
            <w:tcW w:w="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6"/>
              </w:rPr>
              <w:t>— </w:t>
            </w:r>
          </w:p>
        </w:tc>
        <w:tc>
          <w:tcPr>
            <w:tcW w:w="200" w:type="dxa"/>
            <w:vAlign w:val="bottom"/>
          </w:tcPr>
          <w:p>
            <w:pPr>
              <w:spacing w:after="0"/>
              <w:rPr>
                <w:sz w:val="18"/>
                <w:szCs w:val="18"/>
                <w:color w:val="auto"/>
              </w:rPr>
            </w:pPr>
          </w:p>
        </w:tc>
        <w:tc>
          <w:tcPr>
            <w:tcW w:w="5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5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27,050</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3,868</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Trading debt investments</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81"/>
              </w:rPr>
              <w:t>— </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6"/>
              </w:rPr>
              <w:t>— </w:t>
            </w:r>
          </w:p>
        </w:tc>
        <w:tc>
          <w:tcPr>
            <w:tcW w:w="720" w:type="dxa"/>
            <w:vAlign w:val="bottom"/>
            <w:gridSpan w:val="4"/>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782</w:t>
            </w:r>
          </w:p>
        </w:tc>
        <w:tc>
          <w:tcPr>
            <w:tcW w:w="1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4,081</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584</w:t>
            </w: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Long-term Investments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sets forth a breakdown of the categories of long-term investments held by the Group as of the dates indicated:</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9060" w:type="dxa"/>
            <w:vAlign w:val="bottom"/>
          </w:tcPr>
          <w:p>
            <w:pPr>
              <w:spacing w:after="0"/>
              <w:rPr>
                <w:sz w:val="15"/>
                <w:szCs w:val="15"/>
                <w:color w:val="auto"/>
              </w:rPr>
            </w:pPr>
          </w:p>
        </w:tc>
        <w:tc>
          <w:tcPr>
            <w:tcW w:w="1960" w:type="dxa"/>
            <w:vAlign w:val="bottom"/>
            <w:gridSpan w:val="6"/>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42"/>
        </w:trPr>
        <w:tc>
          <w:tcPr>
            <w:tcW w:w="9060" w:type="dxa"/>
            <w:vAlign w:val="bottom"/>
          </w:tcPr>
          <w:p>
            <w:pPr>
              <w:spacing w:after="0"/>
              <w:rPr>
                <w:sz w:val="12"/>
                <w:szCs w:val="12"/>
                <w:color w:val="auto"/>
              </w:rPr>
            </w:pPr>
          </w:p>
        </w:tc>
        <w:tc>
          <w:tcPr>
            <w:tcW w:w="560" w:type="dxa"/>
            <w:vAlign w:val="bottom"/>
            <w:tcBorders>
              <w:top w:val="single" w:sz="8" w:color="auto"/>
            </w:tcBorders>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720" w:type="dxa"/>
            <w:vAlign w:val="bottom"/>
            <w:tcBorders>
              <w:top w:val="single" w:sz="8" w:color="auto"/>
            </w:tcBorders>
            <w:gridSpan w:val="2"/>
          </w:tcPr>
          <w:p>
            <w:pPr>
              <w:jc w:val="right"/>
              <w:ind w:right="6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2"/>
                <w:szCs w:val="12"/>
                <w:color w:val="auto"/>
              </w:rPr>
            </w:pPr>
          </w:p>
        </w:tc>
      </w:tr>
      <w:tr>
        <w:trPr>
          <w:trHeight w:val="117"/>
        </w:trPr>
        <w:tc>
          <w:tcPr>
            <w:tcW w:w="9060" w:type="dxa"/>
            <w:vAlign w:val="bottom"/>
          </w:tcPr>
          <w:p>
            <w:pPr>
              <w:spacing w:after="0"/>
              <w:rPr>
                <w:sz w:val="10"/>
                <w:szCs w:val="10"/>
                <w:color w:val="auto"/>
              </w:rPr>
            </w:pPr>
          </w:p>
        </w:tc>
        <w:tc>
          <w:tcPr>
            <w:tcW w:w="560" w:type="dxa"/>
            <w:vAlign w:val="bottom"/>
            <w:tcBorders>
              <w:top w:val="single" w:sz="8" w:color="auto"/>
            </w:tcBorders>
          </w:tcPr>
          <w:p>
            <w:pPr>
              <w:jc w:val="right"/>
              <w:ind w:right="16"/>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160" w:type="dxa"/>
            <w:vAlign w:val="bottom"/>
          </w:tcPr>
          <w:p>
            <w:pPr>
              <w:spacing w:after="0"/>
              <w:rPr>
                <w:sz w:val="10"/>
                <w:szCs w:val="10"/>
                <w:color w:val="auto"/>
              </w:rPr>
            </w:pPr>
          </w:p>
        </w:tc>
        <w:tc>
          <w:tcPr>
            <w:tcW w:w="560" w:type="dxa"/>
            <w:vAlign w:val="bottom"/>
            <w:tcBorders>
              <w:top w:val="single" w:sz="8" w:color="auto"/>
            </w:tcBorders>
          </w:tcPr>
          <w:p>
            <w:pPr>
              <w:jc w:val="right"/>
              <w:ind w:right="42"/>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160" w:type="dxa"/>
            <w:vAlign w:val="bottom"/>
          </w:tcPr>
          <w:p>
            <w:pPr>
              <w:spacing w:after="0"/>
              <w:rPr>
                <w:sz w:val="10"/>
                <w:szCs w:val="10"/>
                <w:color w:val="auto"/>
              </w:rPr>
            </w:pPr>
          </w:p>
        </w:tc>
        <w:tc>
          <w:tcPr>
            <w:tcW w:w="460" w:type="dxa"/>
            <w:vAlign w:val="bottom"/>
            <w:tcBorders>
              <w:top w:val="single" w:sz="8" w:color="auto"/>
            </w:tcBorders>
          </w:tcPr>
          <w:p>
            <w:pPr>
              <w:jc w:val="right"/>
              <w:ind w:right="15"/>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c>
          <w:tcPr>
            <w:tcW w:w="60" w:type="dxa"/>
            <w:vAlign w:val="bottom"/>
          </w:tcPr>
          <w:p>
            <w:pPr>
              <w:spacing w:after="0"/>
              <w:rPr>
                <w:sz w:val="10"/>
                <w:szCs w:val="10"/>
                <w:color w:val="auto"/>
              </w:rPr>
            </w:pPr>
          </w:p>
        </w:tc>
      </w:tr>
      <w:tr>
        <w:trPr>
          <w:trHeight w:val="173"/>
        </w:trPr>
        <w:tc>
          <w:tcPr>
            <w:tcW w:w="90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16"/>
        </w:trPr>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investments at fair value with readily determinable fair value</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8,586</w:t>
            </w:r>
          </w:p>
        </w:tc>
        <w:tc>
          <w:tcPr>
            <w:tcW w:w="8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10,774</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1,541</w:t>
            </w:r>
          </w:p>
        </w:tc>
      </w:tr>
      <w:tr>
        <w:trPr>
          <w:trHeight w:val="216"/>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Equity investments without readily determinable fair value using the NAV practical expedient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618</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investments without readily determinable fair value using the measurement alternative</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4,150</w:t>
            </w:r>
          </w:p>
        </w:tc>
        <w:tc>
          <w:tcPr>
            <w:tcW w:w="8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5,725</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819</w:t>
            </w:r>
          </w:p>
        </w:tc>
      </w:tr>
      <w:tr>
        <w:trPr>
          <w:trHeight w:val="216"/>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Available-for-sale debt investments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6,360</w:t>
            </w: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3,220</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460</w:t>
            </w:r>
          </w:p>
        </w:tc>
      </w:tr>
      <w:tr>
        <w:trPr>
          <w:trHeight w:val="216"/>
        </w:trPr>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method investments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17,517</w:t>
            </w:r>
          </w:p>
        </w:tc>
        <w:tc>
          <w:tcPr>
            <w:tcW w:w="8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19,988</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2,858</w:t>
            </w:r>
          </w:p>
        </w:tc>
      </w:tr>
      <w:tr>
        <w:trPr>
          <w:trHeight w:val="223"/>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Investments accounted for at fair value</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4,381</w:t>
            </w:r>
          </w:p>
        </w:tc>
        <w:tc>
          <w:tcPr>
            <w:tcW w:w="16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4,593</w:t>
            </w:r>
          </w:p>
        </w:tc>
        <w:tc>
          <w:tcPr>
            <w:tcW w:w="16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60" w:type="dxa"/>
            <w:vAlign w:val="bottom"/>
          </w:tcPr>
          <w:p>
            <w:pPr>
              <w:spacing w:after="0"/>
              <w:rPr>
                <w:sz w:val="19"/>
                <w:szCs w:val="19"/>
                <w:color w:val="auto"/>
              </w:rPr>
            </w:pPr>
          </w:p>
        </w:tc>
      </w:tr>
      <w:tr>
        <w:trPr>
          <w:trHeight w:val="216"/>
        </w:trPr>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long-term investments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41,721</w:t>
            </w:r>
          </w:p>
        </w:tc>
        <w:tc>
          <w:tcPr>
            <w:tcW w:w="8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44,918</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6,423</w:t>
            </w:r>
          </w:p>
        </w:tc>
      </w:tr>
      <w:tr>
        <w:trPr>
          <w:trHeight w:val="20"/>
        </w:trPr>
        <w:tc>
          <w:tcPr>
            <w:tcW w:w="90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Equity investments without readily determinable fair value using the measurement alternative</w:t>
      </w:r>
    </w:p>
    <w:p>
      <w:pPr>
        <w:spacing w:after="0" w:line="117"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Impairment charges recognized on equity investments without readily determinable fair value using the measurement alternative were RMB753 million, RMB292 million and RMB263 million (US$38 million) for the years ended December 31, 2023, 2024 and 2025, respectively.</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F-30</w:t>
      </w:r>
    </w:p>
    <w:p>
      <w:pPr>
        <w:sectPr>
          <w:pgSz w:w="11900" w:h="16838" w:orient="portrait"/>
          <w:cols w:equalWidth="0" w:num="1">
            <w:col w:w="11140"/>
          </w:cols>
          <w:pgMar w:left="320" w:top="482" w:right="439" w:bottom="1440" w:gutter="0" w:footer="0" w:header="0"/>
        </w:sectPr>
      </w:pPr>
    </w:p>
    <w:bookmarkStart w:id="255" w:name="page256"/>
    <w:bookmarkEnd w:id="2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42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BAIDU, INC.</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THE YEARS ENDED DECEMBER 31, 2023, 2024 AND 2025</w:t>
      </w:r>
    </w:p>
    <w:p>
      <w:pPr>
        <w:spacing w:after="0" w:line="234"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The total carrying value of equity investments without readily determinable fair value using the measurement alternative as of December 31, 2024 and 2025 were as follows:</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940" w:type="dxa"/>
            <w:vAlign w:val="bottom"/>
          </w:tcPr>
          <w:p>
            <w:pPr>
              <w:spacing w:after="0"/>
              <w:rPr>
                <w:sz w:val="15"/>
                <w:szCs w:val="15"/>
                <w:color w:val="auto"/>
              </w:rPr>
            </w:pPr>
          </w:p>
        </w:tc>
        <w:tc>
          <w:tcPr>
            <w:tcW w:w="2080" w:type="dxa"/>
            <w:vAlign w:val="bottom"/>
            <w:gridSpan w:val="8"/>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42"/>
        </w:trPr>
        <w:tc>
          <w:tcPr>
            <w:tcW w:w="8940" w:type="dxa"/>
            <w:vAlign w:val="bottom"/>
          </w:tcPr>
          <w:p>
            <w:pPr>
              <w:spacing w:after="0"/>
              <w:rPr>
                <w:sz w:val="12"/>
                <w:szCs w:val="12"/>
                <w:color w:val="auto"/>
              </w:rPr>
            </w:pPr>
          </w:p>
        </w:tc>
        <w:tc>
          <w:tcPr>
            <w:tcW w:w="520" w:type="dxa"/>
            <w:vAlign w:val="bottom"/>
            <w:tcBorders>
              <w:top w:val="single" w:sz="8" w:color="auto"/>
            </w:tcBorders>
          </w:tcPr>
          <w:p>
            <w:pPr>
              <w:jc w:val="right"/>
              <w:ind w:right="3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ind w:left="26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r>
      <w:tr>
        <w:trPr>
          <w:trHeight w:val="117"/>
        </w:trPr>
        <w:tc>
          <w:tcPr>
            <w:tcW w:w="8940" w:type="dxa"/>
            <w:vAlign w:val="bottom"/>
          </w:tcPr>
          <w:p>
            <w:pPr>
              <w:spacing w:after="0"/>
              <w:rPr>
                <w:sz w:val="10"/>
                <w:szCs w:val="10"/>
                <w:color w:val="auto"/>
              </w:rPr>
            </w:pPr>
          </w:p>
        </w:tc>
        <w:tc>
          <w:tcPr>
            <w:tcW w:w="520" w:type="dxa"/>
            <w:vAlign w:val="bottom"/>
            <w:tcBorders>
              <w:top w:val="single" w:sz="8" w:color="auto"/>
            </w:tcBorders>
          </w:tcPr>
          <w:p>
            <w:pPr>
              <w:jc w:val="right"/>
              <w:ind w:right="18"/>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80" w:type="dxa"/>
            <w:vAlign w:val="bottom"/>
            <w:gridSpan w:val="2"/>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Borders>
              <w:top w:val="single" w:sz="8" w:color="auto"/>
            </w:tcBorders>
          </w:tcPr>
          <w:p>
            <w:pPr>
              <w:ind w:left="100"/>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220" w:type="dxa"/>
            <w:vAlign w:val="bottom"/>
          </w:tcPr>
          <w:p>
            <w:pPr>
              <w:spacing w:after="0"/>
              <w:rPr>
                <w:sz w:val="10"/>
                <w:szCs w:val="10"/>
                <w:color w:val="auto"/>
              </w:rPr>
            </w:pPr>
          </w:p>
        </w:tc>
        <w:tc>
          <w:tcPr>
            <w:tcW w:w="460" w:type="dxa"/>
            <w:vAlign w:val="bottom"/>
            <w:tcBorders>
              <w:top w:val="single" w:sz="8" w:color="auto"/>
            </w:tcBorders>
          </w:tcPr>
          <w:p>
            <w:pPr>
              <w:jc w:val="right"/>
              <w:ind w:right="17"/>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c>
          <w:tcPr>
            <w:tcW w:w="120" w:type="dxa"/>
            <w:vAlign w:val="bottom"/>
          </w:tcPr>
          <w:p>
            <w:pPr>
              <w:spacing w:after="0"/>
              <w:rPr>
                <w:sz w:val="10"/>
                <w:szCs w:val="10"/>
                <w:color w:val="auto"/>
              </w:rPr>
            </w:pPr>
          </w:p>
        </w:tc>
      </w:tr>
      <w:tr>
        <w:trPr>
          <w:trHeight w:val="173"/>
        </w:trPr>
        <w:tc>
          <w:tcPr>
            <w:tcW w:w="89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16"/>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Initial cost basis</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9,083</w:t>
            </w:r>
          </w:p>
        </w:tc>
        <w:tc>
          <w:tcPr>
            <w:tcW w:w="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10,063</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1,439</w:t>
            </w:r>
          </w:p>
        </w:tc>
      </w:tr>
      <w:tr>
        <w:trPr>
          <w:trHeight w:val="216"/>
        </w:trPr>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Cumulative unrealized gains</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1,193</w:t>
            </w:r>
          </w:p>
        </w:tc>
        <w:tc>
          <w:tcPr>
            <w:tcW w:w="60" w:type="dxa"/>
            <w:vAlign w:val="bottom"/>
          </w:tcPr>
          <w:p>
            <w:pPr>
              <w:spacing w:after="0"/>
              <w:rPr>
                <w:sz w:val="18"/>
                <w:szCs w:val="18"/>
                <w:color w:val="auto"/>
              </w:rPr>
            </w:pPr>
          </w:p>
        </w:tc>
        <w:tc>
          <w:tcPr>
            <w:tcW w:w="9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1,443</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206</w:t>
            </w:r>
          </w:p>
        </w:tc>
      </w:tr>
      <w:tr>
        <w:trPr>
          <w:trHeight w:val="216"/>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Cumulative unrealized losses (including impairment)</w:t>
            </w:r>
          </w:p>
        </w:tc>
        <w:tc>
          <w:tcPr>
            <w:tcW w:w="6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(6,126)</w:t>
            </w:r>
          </w:p>
        </w:tc>
        <w:tc>
          <w:tcPr>
            <w:tcW w:w="9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(5,781)</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(826)</w:t>
            </w:r>
          </w:p>
        </w:tc>
      </w:tr>
      <w:tr>
        <w:trPr>
          <w:trHeight w:val="223"/>
        </w:trPr>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Total carrying value</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4,150</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w w:val="93"/>
              </w:rPr>
              <w:t>5,725</w:t>
            </w:r>
          </w:p>
        </w:tc>
        <w:tc>
          <w:tcPr>
            <w:tcW w:w="22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120" w:type="dxa"/>
            <w:vAlign w:val="bottom"/>
          </w:tcPr>
          <w:p>
            <w:pPr>
              <w:spacing w:after="0"/>
              <w:rPr>
                <w:sz w:val="19"/>
                <w:szCs w:val="19"/>
                <w:color w:val="auto"/>
              </w:rPr>
            </w:pPr>
          </w:p>
        </w:tc>
      </w:tr>
      <w:tr>
        <w:trPr>
          <w:trHeight w:val="20"/>
        </w:trPr>
        <w:tc>
          <w:tcPr>
            <w:tcW w:w="89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Equity method investments</w:t>
      </w:r>
    </w:p>
    <w:p>
      <w:pPr>
        <w:spacing w:after="0" w:line="1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Equity Investment in Trip.com Group Limited (“Trip”)</w:t>
      </w:r>
    </w:p>
    <w:p>
      <w:pPr>
        <w:spacing w:after="0" w:line="119" w:lineRule="exact"/>
        <w:rPr>
          <w:sz w:val="20"/>
          <w:szCs w:val="20"/>
          <w:color w:val="auto"/>
        </w:rPr>
      </w:pPr>
    </w:p>
    <w:p>
      <w:pPr>
        <w:jc w:val="both"/>
        <w:ind w:left="120" w:right="20"/>
        <w:spacing w:after="0" w:line="256" w:lineRule="auto"/>
        <w:rPr>
          <w:sz w:val="20"/>
          <w:szCs w:val="20"/>
          <w:color w:val="auto"/>
        </w:rPr>
      </w:pPr>
      <w:r>
        <w:rPr>
          <w:rFonts w:ascii="Times New Roman" w:cs="Times New Roman" w:eastAsia="Times New Roman" w:hAnsi="Times New Roman"/>
          <w:sz w:val="18"/>
          <w:szCs w:val="18"/>
          <w:color w:val="auto"/>
        </w:rPr>
        <w:t>The Group disposed of an aggregate of 10 million and 13 million American Depositary Shares of Trip in 2023 and 2024, respectively, and recognized disposal gains of RMB1.4 billion and RMB1.9 billion, respectively. The Group did not dispose any American Depositary Shares of Trip in 2025. As of December 31, 2024 and 2025, the Group held approximately 7% and 7% equity interest in Trip, respectively, and the Group can actively participate in the operating and financing policies of Trip through its one seat on Trip’s board of directors with a total of eight members. Accordingly, the Group has significant influence over Trip and accounts for its remaining investment as an equity method investment in accordance with ASC 323. As of December 31, 2025, the Group’s investments in Trip had a fair value of RMB23.1 billion (US$3.3 billion), based on the closing share price.</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tables set forth the summarized financial information of Trip:</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60" w:type="dxa"/>
            <w:vAlign w:val="bottom"/>
            <w:gridSpan w:val="11"/>
          </w:tcPr>
          <w:p>
            <w:pPr>
              <w:ind w:left="160"/>
              <w:spacing w:after="0"/>
              <w:rPr>
                <w:sz w:val="20"/>
                <w:szCs w:val="20"/>
                <w:color w:val="auto"/>
              </w:rPr>
            </w:pPr>
            <w:r>
              <w:rPr>
                <w:rFonts w:ascii="Times New Roman" w:cs="Times New Roman" w:eastAsia="Times New Roman" w:hAnsi="Times New Roman"/>
                <w:sz w:val="14"/>
                <w:szCs w:val="14"/>
                <w:b w:val="1"/>
                <w:bCs w:val="1"/>
                <w:color w:val="auto"/>
              </w:rPr>
              <w:t xml:space="preserve">As of December 31, </w:t>
            </w:r>
            <w:r>
              <w:rPr>
                <w:rFonts w:ascii="Times New Roman" w:cs="Times New Roman" w:eastAsia="Times New Roman" w:hAnsi="Times New Roman"/>
                <w:sz w:val="8"/>
                <w:szCs w:val="8"/>
                <w:b w:val="1"/>
                <w:bCs w:val="1"/>
                <w:color w:val="auto"/>
              </w:rPr>
              <w:t>(i)</w:t>
            </w:r>
          </w:p>
        </w:tc>
      </w:tr>
      <w:tr>
        <w:trPr>
          <w:trHeight w:val="142"/>
        </w:trPr>
        <w:tc>
          <w:tcPr>
            <w:tcW w:w="8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gridSpan w:val="2"/>
          </w:tcPr>
          <w:p>
            <w:pPr>
              <w:jc w:val="right"/>
              <w:ind w:right="11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gridSpan w:val="2"/>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gridSpan w:val="2"/>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2"/>
                <w:szCs w:val="12"/>
                <w:color w:val="auto"/>
              </w:rPr>
            </w:pPr>
          </w:p>
        </w:tc>
      </w:tr>
      <w:tr>
        <w:trPr>
          <w:trHeight w:val="117"/>
        </w:trPr>
        <w:tc>
          <w:tcPr>
            <w:tcW w:w="8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gridSpan w:val="2"/>
          </w:tcPr>
          <w:p>
            <w:pPr>
              <w:jc w:val="right"/>
              <w:ind w:right="90"/>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jc w:val="right"/>
              <w:ind w:right="93"/>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c>
          <w:tcPr>
            <w:tcW w:w="60" w:type="dxa"/>
            <w:vAlign w:val="bottom"/>
          </w:tcPr>
          <w:p>
            <w:pPr>
              <w:spacing w:after="0"/>
              <w:rPr>
                <w:sz w:val="10"/>
                <w:szCs w:val="10"/>
                <w:color w:val="auto"/>
              </w:rPr>
            </w:pPr>
          </w:p>
        </w:tc>
      </w:tr>
      <w:tr>
        <w:trPr>
          <w:trHeight w:val="173"/>
        </w:trPr>
        <w:tc>
          <w:tcPr>
            <w:tcW w:w="8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60" w:type="dxa"/>
            <w:vAlign w:val="bottom"/>
            <w:gridSpan w:val="7"/>
          </w:tcPr>
          <w:p>
            <w:pPr>
              <w:ind w:left="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40" w:type="dxa"/>
            <w:vAlign w:val="bottom"/>
            <w:gridSpan w:val="6"/>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114,598</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125,413</w:t>
            </w:r>
          </w:p>
        </w:tc>
        <w:tc>
          <w:tcPr>
            <w:tcW w:w="6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17,934</w:t>
            </w: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1240" w:type="dxa"/>
            <w:vAlign w:val="bottom"/>
            <w:gridSpan w:val="6"/>
          </w:tcPr>
          <w:p>
            <w:pPr>
              <w:jc w:val="right"/>
              <w:ind w:right="88"/>
              <w:spacing w:after="0"/>
              <w:rPr>
                <w:sz w:val="20"/>
                <w:szCs w:val="20"/>
                <w:color w:val="auto"/>
              </w:rPr>
            </w:pPr>
            <w:r>
              <w:rPr>
                <w:rFonts w:ascii="Times New Roman" w:cs="Times New Roman" w:eastAsia="Times New Roman" w:hAnsi="Times New Roman"/>
                <w:sz w:val="18"/>
                <w:szCs w:val="18"/>
                <w:color w:val="auto"/>
              </w:rPr>
              <w:t>129,702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w w:val="99"/>
              </w:rPr>
              <w:t>145,165</w:t>
            </w:r>
          </w:p>
        </w:tc>
        <w:tc>
          <w:tcPr>
            <w:tcW w:w="60" w:type="dxa"/>
            <w:vAlign w:val="bottom"/>
          </w:tcPr>
          <w:p>
            <w:pPr>
              <w:spacing w:after="0"/>
              <w:rPr>
                <w:sz w:val="18"/>
                <w:szCs w:val="18"/>
                <w:color w:val="auto"/>
              </w:rPr>
            </w:pPr>
          </w:p>
        </w:tc>
        <w:tc>
          <w:tcPr>
            <w:tcW w:w="6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20,758</w:t>
            </w: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80,437</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84,479</w:t>
            </w:r>
          </w:p>
        </w:tc>
        <w:tc>
          <w:tcPr>
            <w:tcW w:w="6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12,080</w:t>
            </w: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gridSpan w:val="3"/>
          </w:tcPr>
          <w:p>
            <w:pPr>
              <w:jc w:val="right"/>
              <w:ind w:right="88"/>
              <w:spacing w:after="0"/>
              <w:rPr>
                <w:sz w:val="20"/>
                <w:szCs w:val="20"/>
                <w:color w:val="auto"/>
              </w:rPr>
            </w:pPr>
            <w:r>
              <w:rPr>
                <w:rFonts w:ascii="Times New Roman" w:cs="Times New Roman" w:eastAsia="Times New Roman" w:hAnsi="Times New Roman"/>
                <w:sz w:val="18"/>
                <w:szCs w:val="18"/>
                <w:color w:val="auto"/>
              </w:rPr>
              <w:t>23,736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16,120</w:t>
            </w:r>
          </w:p>
        </w:tc>
        <w:tc>
          <w:tcPr>
            <w:tcW w:w="60" w:type="dxa"/>
            <w:vAlign w:val="bottom"/>
          </w:tcPr>
          <w:p>
            <w:pPr>
              <w:spacing w:after="0"/>
              <w:rPr>
                <w:sz w:val="18"/>
                <w:szCs w:val="18"/>
                <w:color w:val="auto"/>
              </w:rPr>
            </w:pPr>
          </w:p>
        </w:tc>
        <w:tc>
          <w:tcPr>
            <w:tcW w:w="6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2,305</w:t>
            </w: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984</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1,752</w:t>
            </w:r>
          </w:p>
        </w:tc>
        <w:tc>
          <w:tcPr>
            <w:tcW w:w="6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251</w:t>
            </w:r>
          </w:p>
        </w:tc>
      </w:tr>
      <w:tr>
        <w:trPr>
          <w:trHeight w:val="392"/>
        </w:trPr>
        <w:tc>
          <w:tcPr>
            <w:tcW w:w="8360" w:type="dxa"/>
            <w:vAlign w:val="bottom"/>
          </w:tcPr>
          <w:p>
            <w:pPr>
              <w:spacing w:after="0"/>
              <w:rPr>
                <w:sz w:val="24"/>
                <w:szCs w:val="24"/>
                <w:color w:val="auto"/>
              </w:rPr>
            </w:pPr>
          </w:p>
        </w:tc>
        <w:tc>
          <w:tcPr>
            <w:tcW w:w="2660" w:type="dxa"/>
            <w:vAlign w:val="bottom"/>
            <w:gridSpan w:val="1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 xml:space="preserve">For the years ended December 31, </w:t>
            </w:r>
            <w:r>
              <w:rPr>
                <w:rFonts w:ascii="Times New Roman" w:cs="Times New Roman" w:eastAsia="Times New Roman" w:hAnsi="Times New Roman"/>
                <w:sz w:val="8"/>
                <w:szCs w:val="8"/>
                <w:b w:val="1"/>
                <w:bCs w:val="1"/>
                <w:color w:val="auto"/>
              </w:rPr>
              <w:t>(i)</w:t>
            </w:r>
          </w:p>
        </w:tc>
      </w:tr>
      <w:tr>
        <w:trPr>
          <w:trHeight w:val="142"/>
        </w:trPr>
        <w:tc>
          <w:tcPr>
            <w:tcW w:w="8360" w:type="dxa"/>
            <w:vAlign w:val="bottom"/>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3"/>
          </w:tcPr>
          <w:p>
            <w:pPr>
              <w:ind w:left="28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2"/>
          </w:tcPr>
          <w:p>
            <w:pPr>
              <w:jc w:val="right"/>
              <w:ind w:right="1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2"/>
                <w:szCs w:val="12"/>
                <w:color w:val="auto"/>
              </w:rPr>
            </w:pPr>
          </w:p>
        </w:tc>
      </w:tr>
      <w:tr>
        <w:trPr>
          <w:trHeight w:val="117"/>
        </w:trPr>
        <w:tc>
          <w:tcPr>
            <w:tcW w:w="8360" w:type="dxa"/>
            <w:vAlign w:val="bottom"/>
          </w:tcPr>
          <w:p>
            <w:pPr>
              <w:spacing w:after="0"/>
              <w:rPr>
                <w:sz w:val="10"/>
                <w:szCs w:val="10"/>
                <w:color w:val="auto"/>
              </w:rPr>
            </w:pPr>
          </w:p>
        </w:tc>
        <w:tc>
          <w:tcPr>
            <w:tcW w:w="54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Borders>
              <w:top w:val="single" w:sz="8" w:color="auto"/>
            </w:tcBorders>
            <w:gridSpan w:val="3"/>
          </w:tcPr>
          <w:p>
            <w:pPr>
              <w:ind w:left="120"/>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Borders>
              <w:top w:val="single" w:sz="8" w:color="auto"/>
            </w:tcBorders>
          </w:tcPr>
          <w:p>
            <w:pPr>
              <w:jc w:val="right"/>
              <w:ind w:right="33"/>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c>
          <w:tcPr>
            <w:tcW w:w="60" w:type="dxa"/>
            <w:vAlign w:val="bottom"/>
          </w:tcPr>
          <w:p>
            <w:pPr>
              <w:spacing w:after="0"/>
              <w:rPr>
                <w:sz w:val="10"/>
                <w:szCs w:val="10"/>
                <w:color w:val="auto"/>
              </w:rPr>
            </w:pPr>
          </w:p>
        </w:tc>
      </w:tr>
      <w:tr>
        <w:trPr>
          <w:trHeight w:val="173"/>
        </w:trPr>
        <w:tc>
          <w:tcPr>
            <w:tcW w:w="8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8"/>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5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39,212</w:t>
            </w:r>
          </w:p>
        </w:tc>
        <w:tc>
          <w:tcPr>
            <w:tcW w:w="72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50,875</w:t>
            </w:r>
          </w:p>
        </w:tc>
        <w:tc>
          <w:tcPr>
            <w:tcW w:w="76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59,755</w:t>
            </w:r>
          </w:p>
        </w:tc>
        <w:tc>
          <w:tcPr>
            <w:tcW w:w="6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8,545</w:t>
            </w: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5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31,902</w:t>
            </w:r>
          </w:p>
        </w:tc>
        <w:tc>
          <w:tcPr>
            <w:tcW w:w="72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41,515</w:t>
            </w:r>
          </w:p>
        </w:tc>
        <w:tc>
          <w:tcPr>
            <w:tcW w:w="76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48,233</w:t>
            </w:r>
          </w:p>
        </w:tc>
        <w:tc>
          <w:tcPr>
            <w:tcW w:w="6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6,897</w:t>
            </w: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5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8,887</w:t>
            </w:r>
          </w:p>
        </w:tc>
        <w:tc>
          <w:tcPr>
            <w:tcW w:w="72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14,073</w:t>
            </w:r>
          </w:p>
        </w:tc>
        <w:tc>
          <w:tcPr>
            <w:tcW w:w="76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15,540</w:t>
            </w:r>
          </w:p>
        </w:tc>
        <w:tc>
          <w:tcPr>
            <w:tcW w:w="6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2,222</w:t>
            </w: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5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10,740</w:t>
            </w:r>
          </w:p>
        </w:tc>
        <w:tc>
          <w:tcPr>
            <w:tcW w:w="72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16,378</w:t>
            </w:r>
          </w:p>
        </w:tc>
        <w:tc>
          <w:tcPr>
            <w:tcW w:w="76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31,304</w:t>
            </w:r>
          </w:p>
        </w:tc>
        <w:tc>
          <w:tcPr>
            <w:tcW w:w="6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4,476</w:t>
            </w: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the investee</w:t>
            </w:r>
          </w:p>
        </w:tc>
        <w:tc>
          <w:tcPr>
            <w:tcW w:w="5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10,678</w:t>
            </w:r>
          </w:p>
        </w:tc>
        <w:tc>
          <w:tcPr>
            <w:tcW w:w="72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16,207</w:t>
            </w:r>
          </w:p>
        </w:tc>
        <w:tc>
          <w:tcPr>
            <w:tcW w:w="76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31,170</w:t>
            </w:r>
          </w:p>
        </w:tc>
        <w:tc>
          <w:tcPr>
            <w:tcW w:w="6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4,457</w:t>
            </w:r>
          </w:p>
        </w:tc>
      </w:tr>
    </w:tbl>
    <w:p>
      <w:pPr>
        <w:spacing w:after="0" w:line="225" w:lineRule="exact"/>
        <w:rPr>
          <w:sz w:val="20"/>
          <w:szCs w:val="20"/>
          <w:color w:val="auto"/>
        </w:rPr>
      </w:pPr>
    </w:p>
    <w:p>
      <w:pPr>
        <w:ind w:left="540" w:hanging="424"/>
        <w:spacing w:after="0"/>
        <w:tabs>
          <w:tab w:leader="none" w:pos="54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adopted a one-quarter lag in reporting for its share of equity earnings (losses) to Trip.</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Equity Method Investments excluding Trip</w:t>
      </w:r>
    </w:p>
    <w:p>
      <w:pPr>
        <w:spacing w:after="0" w:line="119"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As of December 31, 2024 and 2025, in addition to the aforementioned equity investment in Trip, the Group held other equity method investments through its subsidiaries or VIEs and over which the Group had significant influence.</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F-31</w:t>
      </w:r>
    </w:p>
    <w:p>
      <w:pPr>
        <w:sectPr>
          <w:pgSz w:w="11900" w:h="16838" w:orient="portrait"/>
          <w:cols w:equalWidth="0" w:num="1">
            <w:col w:w="11140"/>
          </w:cols>
          <w:pgMar w:left="320" w:top="482" w:right="439" w:bottom="1440" w:gutter="0" w:footer="0" w:header="0"/>
        </w:sectPr>
      </w:pPr>
    </w:p>
    <w:bookmarkStart w:id="256" w:name="page257"/>
    <w:bookmarkEnd w:id="2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42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BAIDU, INC.</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THE YEARS ENDED DECEMBER 31, 2023, 2024 AND 2025</w:t>
      </w:r>
    </w:p>
    <w:p>
      <w:pPr>
        <w:spacing w:after="0" w:line="2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the year ended December 31, 2025, equity method investments excluding Trip held by the Group in aggregate were significant as defined under</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Rule 4-08(g) of Regulation S-X. Financial information for the Group’s equity method investments excluding Trip are summarized as a group as follow:</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0" w:type="dxa"/>
            <w:vAlign w:val="bottom"/>
            <w:gridSpan w:val="11"/>
          </w:tcPr>
          <w:p>
            <w:pPr>
              <w:ind w:left="200"/>
              <w:spacing w:after="0"/>
              <w:rPr>
                <w:sz w:val="20"/>
                <w:szCs w:val="20"/>
                <w:color w:val="auto"/>
              </w:rPr>
            </w:pPr>
            <w:r>
              <w:rPr>
                <w:rFonts w:ascii="Times New Roman" w:cs="Times New Roman" w:eastAsia="Times New Roman" w:hAnsi="Times New Roman"/>
                <w:sz w:val="14"/>
                <w:szCs w:val="14"/>
                <w:b w:val="1"/>
                <w:bCs w:val="1"/>
                <w:color w:val="auto"/>
              </w:rPr>
              <w:t xml:space="preserve">As of December 31, </w:t>
            </w:r>
            <w:r>
              <w:rPr>
                <w:rFonts w:ascii="Times New Roman" w:cs="Times New Roman" w:eastAsia="Times New Roman" w:hAnsi="Times New Roman"/>
                <w:sz w:val="8"/>
                <w:szCs w:val="8"/>
                <w:b w:val="1"/>
                <w:bCs w:val="1"/>
                <w:color w:val="auto"/>
              </w:rPr>
              <w:t>(i)</w:t>
            </w:r>
          </w:p>
        </w:tc>
      </w:tr>
      <w:tr>
        <w:trPr>
          <w:trHeight w:val="142"/>
        </w:trPr>
        <w:tc>
          <w:tcPr>
            <w:tcW w:w="8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gridSpan w:val="2"/>
          </w:tcPr>
          <w:p>
            <w:pPr>
              <w:jc w:val="right"/>
              <w:ind w:right="11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gridSpan w:val="2"/>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gridSpan w:val="2"/>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2"/>
                <w:szCs w:val="12"/>
                <w:color w:val="auto"/>
              </w:rPr>
            </w:pPr>
          </w:p>
        </w:tc>
      </w:tr>
      <w:tr>
        <w:trPr>
          <w:trHeight w:val="117"/>
        </w:trPr>
        <w:tc>
          <w:tcPr>
            <w:tcW w:w="8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gridSpan w:val="2"/>
          </w:tcPr>
          <w:p>
            <w:pPr>
              <w:jc w:val="right"/>
              <w:ind w:right="90"/>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gridSpan w:val="2"/>
          </w:tcPr>
          <w:p>
            <w:pPr>
              <w:jc w:val="center"/>
              <w:ind w:right="13"/>
              <w:spacing w:after="0" w:line="118" w:lineRule="exact"/>
              <w:rPr>
                <w:sz w:val="20"/>
                <w:szCs w:val="20"/>
                <w:color w:val="auto"/>
              </w:rPr>
            </w:pPr>
            <w:r>
              <w:rPr>
                <w:rFonts w:ascii="Times New Roman" w:cs="Times New Roman" w:eastAsia="Times New Roman" w:hAnsi="Times New Roman"/>
                <w:sz w:val="13"/>
                <w:szCs w:val="13"/>
                <w:b w:val="1"/>
                <w:bCs w:val="1"/>
                <w:color w:val="auto"/>
                <w:w w:val="94"/>
              </w:rPr>
              <w:t>  RMB </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gridSpan w:val="2"/>
          </w:tcPr>
          <w:p>
            <w:pPr>
              <w:jc w:val="right"/>
              <w:ind w:right="53"/>
              <w:spacing w:after="0" w:line="118" w:lineRule="exact"/>
              <w:rPr>
                <w:sz w:val="20"/>
                <w:szCs w:val="20"/>
                <w:color w:val="auto"/>
              </w:rPr>
            </w:pPr>
            <w:r>
              <w:rPr>
                <w:rFonts w:ascii="Times New Roman" w:cs="Times New Roman" w:eastAsia="Times New Roman" w:hAnsi="Times New Roman"/>
                <w:sz w:val="13"/>
                <w:szCs w:val="13"/>
                <w:b w:val="1"/>
                <w:bCs w:val="1"/>
                <w:color w:val="auto"/>
              </w:rPr>
              <w:t xml:space="preserve">  US$ </w:t>
            </w:r>
          </w:p>
        </w:tc>
        <w:tc>
          <w:tcPr>
            <w:tcW w:w="60" w:type="dxa"/>
            <w:vAlign w:val="bottom"/>
          </w:tcPr>
          <w:p>
            <w:pPr>
              <w:spacing w:after="0"/>
              <w:rPr>
                <w:sz w:val="10"/>
                <w:szCs w:val="10"/>
                <w:color w:val="auto"/>
              </w:rPr>
            </w:pPr>
          </w:p>
        </w:tc>
      </w:tr>
      <w:tr>
        <w:trPr>
          <w:trHeight w:val="173"/>
        </w:trPr>
        <w:tc>
          <w:tcPr>
            <w:tcW w:w="8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gridSpan w:val="7"/>
          </w:tcPr>
          <w:p>
            <w:pPr>
              <w:ind w:left="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16"/>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320" w:type="dxa"/>
            <w:vAlign w:val="bottom"/>
            <w:gridSpan w:val="6"/>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199,089</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218,456</w:t>
            </w:r>
          </w:p>
        </w:tc>
        <w:tc>
          <w:tcPr>
            <w:tcW w:w="6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31,239</w:t>
            </w:r>
          </w:p>
        </w:tc>
      </w:tr>
      <w:tr>
        <w:trPr>
          <w:trHeight w:val="216"/>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ind w:right="48"/>
              <w:spacing w:after="0"/>
              <w:rPr>
                <w:sz w:val="20"/>
                <w:szCs w:val="20"/>
                <w:color w:val="auto"/>
              </w:rPr>
            </w:pPr>
            <w:r>
              <w:rPr>
                <w:rFonts w:ascii="Times New Roman" w:cs="Times New Roman" w:eastAsia="Times New Roman" w:hAnsi="Times New Roman"/>
                <w:sz w:val="18"/>
                <w:szCs w:val="18"/>
                <w:color w:val="auto"/>
              </w:rPr>
              <w:t>18,844</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16,741</w:t>
            </w:r>
          </w:p>
        </w:tc>
        <w:tc>
          <w:tcPr>
            <w:tcW w:w="60" w:type="dxa"/>
            <w:vAlign w:val="bottom"/>
          </w:tcPr>
          <w:p>
            <w:pPr>
              <w:spacing w:after="0"/>
              <w:rPr>
                <w:sz w:val="18"/>
                <w:szCs w:val="18"/>
                <w:color w:val="auto"/>
              </w:rPr>
            </w:pPr>
          </w:p>
        </w:tc>
        <w:tc>
          <w:tcPr>
            <w:tcW w:w="6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2,394</w:t>
            </w:r>
          </w:p>
        </w:tc>
      </w:tr>
      <w:tr>
        <w:trPr>
          <w:trHeight w:val="216"/>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320" w:type="dxa"/>
            <w:vAlign w:val="bottom"/>
            <w:gridSpan w:val="6"/>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157,098</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127,192</w:t>
            </w:r>
          </w:p>
        </w:tc>
        <w:tc>
          <w:tcPr>
            <w:tcW w:w="6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18,188</w:t>
            </w:r>
          </w:p>
        </w:tc>
      </w:tr>
      <w:tr>
        <w:trPr>
          <w:trHeight w:val="216"/>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ind w:right="48"/>
              <w:spacing w:after="0"/>
              <w:rPr>
                <w:sz w:val="20"/>
                <w:szCs w:val="20"/>
                <w:color w:val="auto"/>
              </w:rPr>
            </w:pPr>
            <w:r>
              <w:rPr>
                <w:rFonts w:ascii="Times New Roman" w:cs="Times New Roman" w:eastAsia="Times New Roman" w:hAnsi="Times New Roman"/>
                <w:sz w:val="18"/>
                <w:szCs w:val="18"/>
                <w:color w:val="auto"/>
              </w:rPr>
              <w:t>7,692</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56,743</w:t>
            </w:r>
          </w:p>
        </w:tc>
        <w:tc>
          <w:tcPr>
            <w:tcW w:w="60" w:type="dxa"/>
            <w:vAlign w:val="bottom"/>
          </w:tcPr>
          <w:p>
            <w:pPr>
              <w:spacing w:after="0"/>
              <w:rPr>
                <w:sz w:val="18"/>
                <w:szCs w:val="18"/>
                <w:color w:val="auto"/>
              </w:rPr>
            </w:pPr>
          </w:p>
        </w:tc>
        <w:tc>
          <w:tcPr>
            <w:tcW w:w="6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8,114</w:t>
            </w:r>
          </w:p>
        </w:tc>
      </w:tr>
      <w:tr>
        <w:trPr>
          <w:trHeight w:val="216"/>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1,654</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1,721</w:t>
            </w:r>
          </w:p>
        </w:tc>
        <w:tc>
          <w:tcPr>
            <w:tcW w:w="6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246</w:t>
            </w:r>
          </w:p>
        </w:tc>
      </w:tr>
      <w:tr>
        <w:trPr>
          <w:trHeight w:val="391"/>
        </w:trPr>
        <w:tc>
          <w:tcPr>
            <w:tcW w:w="8240" w:type="dxa"/>
            <w:vAlign w:val="bottom"/>
          </w:tcPr>
          <w:p>
            <w:pPr>
              <w:spacing w:after="0"/>
              <w:rPr>
                <w:sz w:val="24"/>
                <w:szCs w:val="24"/>
                <w:color w:val="auto"/>
              </w:rPr>
            </w:pPr>
          </w:p>
        </w:tc>
        <w:tc>
          <w:tcPr>
            <w:tcW w:w="2780" w:type="dxa"/>
            <w:vAlign w:val="bottom"/>
            <w:gridSpan w:val="15"/>
          </w:tcPr>
          <w:p>
            <w:pPr>
              <w:ind w:left="260"/>
              <w:spacing w:after="0"/>
              <w:rPr>
                <w:sz w:val="20"/>
                <w:szCs w:val="20"/>
                <w:color w:val="auto"/>
              </w:rPr>
            </w:pPr>
            <w:r>
              <w:rPr>
                <w:rFonts w:ascii="Times New Roman" w:cs="Times New Roman" w:eastAsia="Times New Roman" w:hAnsi="Times New Roman"/>
                <w:sz w:val="14"/>
                <w:szCs w:val="14"/>
                <w:b w:val="1"/>
                <w:bCs w:val="1"/>
                <w:color w:val="auto"/>
              </w:rPr>
              <w:t xml:space="preserve">For the years ended December 31, </w:t>
            </w:r>
            <w:r>
              <w:rPr>
                <w:rFonts w:ascii="Times New Roman" w:cs="Times New Roman" w:eastAsia="Times New Roman" w:hAnsi="Times New Roman"/>
                <w:sz w:val="8"/>
                <w:szCs w:val="8"/>
                <w:b w:val="1"/>
                <w:bCs w:val="1"/>
                <w:color w:val="auto"/>
              </w:rPr>
              <w:t>(i)</w:t>
            </w:r>
          </w:p>
        </w:tc>
      </w:tr>
      <w:tr>
        <w:trPr>
          <w:trHeight w:val="142"/>
        </w:trPr>
        <w:tc>
          <w:tcPr>
            <w:tcW w:w="8240" w:type="dxa"/>
            <w:vAlign w:val="bottom"/>
          </w:tcPr>
          <w:p>
            <w:pPr>
              <w:spacing w:after="0"/>
              <w:rPr>
                <w:sz w:val="12"/>
                <w:szCs w:val="12"/>
                <w:color w:val="auto"/>
              </w:rPr>
            </w:pPr>
          </w:p>
        </w:tc>
        <w:tc>
          <w:tcPr>
            <w:tcW w:w="540" w:type="dxa"/>
            <w:vAlign w:val="bottom"/>
            <w:tcBorders>
              <w:top w:val="single" w:sz="8" w:color="auto"/>
            </w:tcBorders>
          </w:tcPr>
          <w:p>
            <w:pPr>
              <w:jc w:val="right"/>
              <w:ind w:right="3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3"/>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2"/>
          </w:tcPr>
          <w:p>
            <w:pPr>
              <w:jc w:val="right"/>
              <w:ind w:right="1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2"/>
                <w:szCs w:val="12"/>
                <w:color w:val="auto"/>
              </w:rPr>
            </w:pPr>
          </w:p>
        </w:tc>
      </w:tr>
      <w:tr>
        <w:trPr>
          <w:trHeight w:val="117"/>
        </w:trPr>
        <w:tc>
          <w:tcPr>
            <w:tcW w:w="8240" w:type="dxa"/>
            <w:vAlign w:val="bottom"/>
          </w:tcPr>
          <w:p>
            <w:pPr>
              <w:spacing w:after="0"/>
              <w:rPr>
                <w:sz w:val="10"/>
                <w:szCs w:val="10"/>
                <w:color w:val="auto"/>
              </w:rPr>
            </w:pPr>
          </w:p>
        </w:tc>
        <w:tc>
          <w:tcPr>
            <w:tcW w:w="56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Borders>
              <w:top w:val="single" w:sz="8" w:color="auto"/>
            </w:tcBorders>
            <w:gridSpan w:val="2"/>
          </w:tcPr>
          <w:p>
            <w:pPr>
              <w:ind w:left="100"/>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80" w:type="dxa"/>
            <w:vAlign w:val="bottom"/>
            <w:gridSpan w:val="2"/>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Borders>
              <w:top w:val="single" w:sz="8" w:color="auto"/>
            </w:tcBorders>
            <w:gridSpan w:val="2"/>
          </w:tcPr>
          <w:p>
            <w:pPr>
              <w:jc w:val="center"/>
              <w:ind w:right="40"/>
              <w:spacing w:after="0" w:line="118" w:lineRule="exact"/>
              <w:rPr>
                <w:sz w:val="20"/>
                <w:szCs w:val="20"/>
                <w:color w:val="auto"/>
              </w:rPr>
            </w:pPr>
            <w:r>
              <w:rPr>
                <w:rFonts w:ascii="Times New Roman" w:cs="Times New Roman" w:eastAsia="Times New Roman" w:hAnsi="Times New Roman"/>
                <w:sz w:val="13"/>
                <w:szCs w:val="13"/>
                <w:b w:val="1"/>
                <w:bCs w:val="1"/>
                <w:color w:val="auto"/>
                <w:w w:val="94"/>
              </w:rPr>
              <w:t>  RMB </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 xml:space="preserve">  US$ </w:t>
            </w:r>
          </w:p>
        </w:tc>
        <w:tc>
          <w:tcPr>
            <w:tcW w:w="60" w:type="dxa"/>
            <w:vAlign w:val="bottom"/>
          </w:tcPr>
          <w:p>
            <w:pPr>
              <w:spacing w:after="0"/>
              <w:rPr>
                <w:sz w:val="10"/>
                <w:szCs w:val="10"/>
                <w:color w:val="auto"/>
              </w:rPr>
            </w:pPr>
          </w:p>
        </w:tc>
      </w:tr>
      <w:tr>
        <w:trPr>
          <w:trHeight w:val="173"/>
        </w:trPr>
        <w:tc>
          <w:tcPr>
            <w:tcW w:w="8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8"/>
          </w:tcPr>
          <w:p>
            <w:pPr>
              <w:ind w:left="2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16"/>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6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20,830</w:t>
            </w:r>
          </w:p>
        </w:tc>
        <w:tc>
          <w:tcPr>
            <w:tcW w:w="7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38,029</w:t>
            </w:r>
          </w:p>
        </w:tc>
        <w:tc>
          <w:tcPr>
            <w:tcW w:w="4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46,892</w:t>
            </w:r>
          </w:p>
        </w:tc>
        <w:tc>
          <w:tcPr>
            <w:tcW w:w="6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6,705</w:t>
            </w:r>
          </w:p>
        </w:tc>
      </w:tr>
      <w:tr>
        <w:trPr>
          <w:trHeight w:val="216"/>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6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8,402</w:t>
            </w:r>
          </w:p>
        </w:tc>
        <w:tc>
          <w:tcPr>
            <w:tcW w:w="7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15,160</w:t>
            </w:r>
          </w:p>
        </w:tc>
        <w:tc>
          <w:tcPr>
            <w:tcW w:w="40" w:type="dxa"/>
            <w:vAlign w:val="bottom"/>
          </w:tcPr>
          <w:p>
            <w:pPr>
              <w:spacing w:after="0"/>
              <w:rPr>
                <w:sz w:val="18"/>
                <w:szCs w:val="18"/>
                <w:color w:val="auto"/>
              </w:rPr>
            </w:pPr>
          </w:p>
        </w:tc>
        <w:tc>
          <w:tcPr>
            <w:tcW w:w="7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20,105</w:t>
            </w:r>
          </w:p>
        </w:tc>
        <w:tc>
          <w:tcPr>
            <w:tcW w:w="6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2,875</w:t>
            </w:r>
          </w:p>
        </w:tc>
      </w:tr>
      <w:tr>
        <w:trPr>
          <w:trHeight w:val="216"/>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6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(767)</w:t>
            </w:r>
          </w:p>
        </w:tc>
        <w:tc>
          <w:tcPr>
            <w:tcW w:w="74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(2,403)</w:t>
            </w:r>
          </w:p>
        </w:tc>
        <w:tc>
          <w:tcPr>
            <w:tcW w:w="76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3,638</w:t>
            </w:r>
          </w:p>
        </w:tc>
        <w:tc>
          <w:tcPr>
            <w:tcW w:w="6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520</w:t>
            </w:r>
          </w:p>
        </w:tc>
      </w:tr>
      <w:tr>
        <w:trPr>
          <w:trHeight w:val="216"/>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6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(1,196)</w:t>
            </w:r>
          </w:p>
        </w:tc>
        <w:tc>
          <w:tcPr>
            <w:tcW w:w="7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(3,061)</w:t>
            </w:r>
          </w:p>
        </w:tc>
        <w:tc>
          <w:tcPr>
            <w:tcW w:w="7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2,660</w:t>
            </w:r>
          </w:p>
        </w:tc>
        <w:tc>
          <w:tcPr>
            <w:tcW w:w="6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380</w:t>
            </w:r>
          </w:p>
        </w:tc>
      </w:tr>
      <w:tr>
        <w:trPr>
          <w:trHeight w:val="216"/>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attributable to the investees</w:t>
            </w:r>
          </w:p>
        </w:tc>
        <w:tc>
          <w:tcPr>
            <w:tcW w:w="6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(1,185)</w:t>
            </w:r>
          </w:p>
        </w:tc>
        <w:tc>
          <w:tcPr>
            <w:tcW w:w="74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(3,051)</w:t>
            </w:r>
          </w:p>
        </w:tc>
        <w:tc>
          <w:tcPr>
            <w:tcW w:w="76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2,600</w:t>
            </w:r>
          </w:p>
        </w:tc>
        <w:tc>
          <w:tcPr>
            <w:tcW w:w="6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372</w:t>
            </w:r>
          </w:p>
        </w:tc>
      </w:tr>
    </w:tbl>
    <w:p>
      <w:pPr>
        <w:spacing w:after="0" w:line="225" w:lineRule="exact"/>
        <w:rPr>
          <w:sz w:val="20"/>
          <w:szCs w:val="20"/>
          <w:color w:val="auto"/>
        </w:rPr>
      </w:pPr>
    </w:p>
    <w:p>
      <w:pPr>
        <w:ind w:left="540" w:hanging="424"/>
        <w:spacing w:after="0"/>
        <w:tabs>
          <w:tab w:leader="none" w:pos="54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adopted a one-quarter lag in reporting for its share of equity earnings (losses) to a majority of equity method investees excluding Trip.</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Available-for-sale debt investments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Available-for-sale debt investments as of December 31, 2024 and 2025 are shown as below:</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6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10"/>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4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20" w:type="dxa"/>
            <w:vAlign w:val="bottom"/>
            <w:gridSpan w:val="3"/>
            <w:vMerge w:val="restart"/>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Cost or</w:t>
            </w: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gridSpan w:val="3"/>
          </w:tcPr>
          <w:p>
            <w:pPr>
              <w:jc w:val="center"/>
              <w:ind w:right="42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20" w:type="dxa"/>
            <w:vAlign w:val="bottom"/>
          </w:tcPr>
          <w:p>
            <w:pPr>
              <w:spacing w:after="0"/>
              <w:rPr>
                <w:sz w:val="10"/>
                <w:szCs w:val="10"/>
                <w:color w:val="auto"/>
              </w:rPr>
            </w:pPr>
          </w:p>
        </w:tc>
        <w:tc>
          <w:tcPr>
            <w:tcW w:w="940" w:type="dxa"/>
            <w:vAlign w:val="bottom"/>
            <w:gridSpan w:val="3"/>
          </w:tcPr>
          <w:p>
            <w:pPr>
              <w:jc w:val="center"/>
              <w:ind w:right="52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5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48"/>
        </w:trPr>
        <w:tc>
          <w:tcPr>
            <w:tcW w:w="6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gridSpan w:val="5"/>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60" w:type="dxa"/>
            <w:vAlign w:val="bottom"/>
            <w:gridSpan w:val="4"/>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5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320" w:type="dxa"/>
            <w:vAlign w:val="bottom"/>
            <w:gridSpan w:val="7"/>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92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20" w:type="dxa"/>
            <w:vAlign w:val="bottom"/>
          </w:tcPr>
          <w:p>
            <w:pPr>
              <w:spacing w:after="0"/>
              <w:rPr>
                <w:sz w:val="15"/>
                <w:szCs w:val="15"/>
                <w:color w:val="auto"/>
              </w:rPr>
            </w:pPr>
          </w:p>
        </w:tc>
        <w:tc>
          <w:tcPr>
            <w:tcW w:w="940" w:type="dxa"/>
            <w:vAlign w:val="bottom"/>
            <w:gridSpan w:val="3"/>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5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17"/>
        </w:trPr>
        <w:tc>
          <w:tcPr>
            <w:tcW w:w="6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gridSpan w:val="2"/>
          </w:tcPr>
          <w:p>
            <w:pPr>
              <w:jc w:val="center"/>
              <w:ind w:right="28"/>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18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gridSpan w:val="2"/>
          </w:tcPr>
          <w:p>
            <w:pPr>
              <w:jc w:val="center"/>
              <w:ind w:right="11"/>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3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gridSpan w:val="2"/>
          </w:tcPr>
          <w:p>
            <w:pPr>
              <w:jc w:val="center"/>
              <w:ind w:right="51"/>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400" w:type="dxa"/>
            <w:vAlign w:val="bottom"/>
          </w:tcPr>
          <w:p>
            <w:pPr>
              <w:spacing w:after="0"/>
              <w:rPr>
                <w:sz w:val="10"/>
                <w:szCs w:val="10"/>
                <w:color w:val="auto"/>
              </w:rPr>
            </w:pPr>
          </w:p>
        </w:tc>
        <w:tc>
          <w:tcPr>
            <w:tcW w:w="4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gridSpan w:val="4"/>
          </w:tcPr>
          <w:p>
            <w:pPr>
              <w:jc w:val="center"/>
              <w:ind w:left="4"/>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Available-for-sale debt investments</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268"/>
              <w:spacing w:after="0"/>
              <w:rPr>
                <w:sz w:val="20"/>
                <w:szCs w:val="20"/>
                <w:color w:val="auto"/>
              </w:rPr>
            </w:pPr>
            <w:r>
              <w:rPr>
                <w:rFonts w:ascii="Times New Roman" w:cs="Times New Roman" w:eastAsia="Times New Roman" w:hAnsi="Times New Roman"/>
                <w:sz w:val="18"/>
                <w:szCs w:val="18"/>
                <w:color w:val="auto"/>
              </w:rPr>
              <w:t>6,819</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629</w:t>
            </w: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(1,088)</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6,360</w:t>
            </w:r>
          </w:p>
        </w:tc>
        <w:tc>
          <w:tcPr>
            <w:tcW w:w="0" w:type="dxa"/>
            <w:vAlign w:val="bottom"/>
          </w:tcPr>
          <w:p>
            <w:pPr>
              <w:spacing w:after="0"/>
              <w:rPr>
                <w:sz w:val="1"/>
                <w:szCs w:val="1"/>
                <w:color w:val="auto"/>
              </w:rPr>
            </w:pPr>
          </w:p>
        </w:tc>
      </w:tr>
      <w:tr>
        <w:trPr>
          <w:trHeight w:val="392"/>
        </w:trPr>
        <w:tc>
          <w:tcPr>
            <w:tcW w:w="658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8"/>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6580" w:type="dxa"/>
            <w:vAlign w:val="bottom"/>
          </w:tcPr>
          <w:p>
            <w:pPr>
              <w:spacing w:after="0"/>
              <w:rPr>
                <w:sz w:val="10"/>
                <w:szCs w:val="10"/>
                <w:color w:val="auto"/>
              </w:rPr>
            </w:pPr>
          </w:p>
        </w:tc>
        <w:tc>
          <w:tcPr>
            <w:tcW w:w="9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Cost or</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gridSpan w:val="4"/>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80" w:type="dxa"/>
            <w:vAlign w:val="bottom"/>
          </w:tcPr>
          <w:p>
            <w:pPr>
              <w:spacing w:after="0"/>
              <w:rPr>
                <w:sz w:val="10"/>
                <w:szCs w:val="10"/>
                <w:color w:val="auto"/>
              </w:rPr>
            </w:pPr>
          </w:p>
        </w:tc>
        <w:tc>
          <w:tcPr>
            <w:tcW w:w="64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5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gridSpan w:val="5"/>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80" w:type="dxa"/>
            <w:vAlign w:val="bottom"/>
          </w:tcPr>
          <w:p>
            <w:pPr>
              <w:spacing w:after="0"/>
              <w:rPr>
                <w:sz w:val="12"/>
                <w:szCs w:val="12"/>
                <w:color w:val="auto"/>
              </w:rPr>
            </w:pPr>
          </w:p>
        </w:tc>
        <w:tc>
          <w:tcPr>
            <w:tcW w:w="6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4"/>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6580" w:type="dxa"/>
            <w:vAlign w:val="bottom"/>
          </w:tcPr>
          <w:p>
            <w:pPr>
              <w:spacing w:after="0"/>
              <w:rPr>
                <w:sz w:val="15"/>
                <w:szCs w:val="15"/>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80" w:type="dxa"/>
            <w:vAlign w:val="bottom"/>
          </w:tcPr>
          <w:p>
            <w:pPr>
              <w:spacing w:after="0"/>
              <w:rPr>
                <w:sz w:val="15"/>
                <w:szCs w:val="15"/>
                <w:color w:val="auto"/>
              </w:rPr>
            </w:pPr>
          </w:p>
        </w:tc>
        <w:tc>
          <w:tcPr>
            <w:tcW w:w="6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580" w:type="dxa"/>
            <w:vAlign w:val="bottom"/>
          </w:tcPr>
          <w:p>
            <w:pPr>
              <w:spacing w:after="0"/>
              <w:rPr>
                <w:sz w:val="10"/>
                <w:szCs w:val="10"/>
                <w:color w:val="auto"/>
              </w:rPr>
            </w:pPr>
          </w:p>
        </w:tc>
        <w:tc>
          <w:tcPr>
            <w:tcW w:w="90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3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gridSpan w:val="3"/>
          </w:tcPr>
          <w:p>
            <w:pPr>
              <w:jc w:val="center"/>
              <w:ind w:right="48"/>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Borders>
              <w:top w:val="single" w:sz="8" w:color="auto"/>
            </w:tcBorders>
            <w:gridSpan w:val="2"/>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46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6"/>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Available-for-sale debt investments</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153</w:t>
            </w:r>
          </w:p>
        </w:tc>
        <w:tc>
          <w:tcPr>
            <w:tcW w:w="10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94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3,220</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460</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estimated fair value of available-for-sale debt investments, classified by the contractual maturity date of the investments:</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840" w:type="dxa"/>
            <w:vAlign w:val="bottom"/>
          </w:tcPr>
          <w:p>
            <w:pPr>
              <w:spacing w:after="0"/>
              <w:rPr>
                <w:sz w:val="15"/>
                <w:szCs w:val="15"/>
                <w:color w:val="auto"/>
              </w:rPr>
            </w:pPr>
          </w:p>
        </w:tc>
        <w:tc>
          <w:tcPr>
            <w:tcW w:w="5560" w:type="dxa"/>
            <w:vAlign w:val="bottom"/>
          </w:tcPr>
          <w:p>
            <w:pPr>
              <w:spacing w:after="0"/>
              <w:rPr>
                <w:sz w:val="15"/>
                <w:szCs w:val="15"/>
                <w:color w:val="auto"/>
              </w:rPr>
            </w:pPr>
          </w:p>
        </w:tc>
        <w:tc>
          <w:tcPr>
            <w:tcW w:w="1620" w:type="dxa"/>
            <w:vAlign w:val="bottom"/>
            <w:gridSpan w:val="6"/>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42"/>
        </w:trPr>
        <w:tc>
          <w:tcPr>
            <w:tcW w:w="384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ind w:right="2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1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60" w:type="dxa"/>
            <w:vAlign w:val="bottom"/>
          </w:tcPr>
          <w:p>
            <w:pPr>
              <w:spacing w:after="0"/>
              <w:rPr>
                <w:sz w:val="12"/>
                <w:szCs w:val="12"/>
                <w:color w:val="auto"/>
              </w:rPr>
            </w:pPr>
          </w:p>
        </w:tc>
      </w:tr>
      <w:tr>
        <w:trPr>
          <w:trHeight w:val="117"/>
        </w:trPr>
        <w:tc>
          <w:tcPr>
            <w:tcW w:w="3840" w:type="dxa"/>
            <w:vAlign w:val="bottom"/>
          </w:tcPr>
          <w:p>
            <w:pPr>
              <w:spacing w:after="0"/>
              <w:rPr>
                <w:sz w:val="10"/>
                <w:szCs w:val="10"/>
                <w:color w:val="auto"/>
              </w:rPr>
            </w:pPr>
          </w:p>
        </w:tc>
        <w:tc>
          <w:tcPr>
            <w:tcW w:w="5560" w:type="dxa"/>
            <w:vAlign w:val="bottom"/>
          </w:tcPr>
          <w:p>
            <w:pPr>
              <w:spacing w:after="0"/>
              <w:rPr>
                <w:sz w:val="10"/>
                <w:szCs w:val="10"/>
                <w:color w:val="auto"/>
              </w:rPr>
            </w:pPr>
          </w:p>
        </w:tc>
        <w:tc>
          <w:tcPr>
            <w:tcW w:w="460" w:type="dxa"/>
            <w:vAlign w:val="bottom"/>
          </w:tcPr>
          <w:p>
            <w:pPr>
              <w:jc w:val="right"/>
              <w:ind w:right="5"/>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160" w:type="dxa"/>
            <w:vAlign w:val="bottom"/>
          </w:tcPr>
          <w:p>
            <w:pPr>
              <w:spacing w:after="0"/>
              <w:rPr>
                <w:sz w:val="10"/>
                <w:szCs w:val="10"/>
                <w:color w:val="auto"/>
              </w:rPr>
            </w:pPr>
          </w:p>
        </w:tc>
        <w:tc>
          <w:tcPr>
            <w:tcW w:w="46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160" w:type="dxa"/>
            <w:vAlign w:val="bottom"/>
          </w:tcPr>
          <w:p>
            <w:pPr>
              <w:spacing w:after="0"/>
              <w:rPr>
                <w:sz w:val="10"/>
                <w:szCs w:val="10"/>
                <w:color w:val="auto"/>
              </w:rPr>
            </w:pPr>
          </w:p>
        </w:tc>
        <w:tc>
          <w:tcPr>
            <w:tcW w:w="32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c>
          <w:tcPr>
            <w:tcW w:w="60" w:type="dxa"/>
            <w:vAlign w:val="bottom"/>
          </w:tcPr>
          <w:p>
            <w:pPr>
              <w:spacing w:after="0"/>
              <w:rPr>
                <w:sz w:val="10"/>
                <w:szCs w:val="10"/>
                <w:color w:val="auto"/>
              </w:rPr>
            </w:pPr>
          </w:p>
        </w:tc>
      </w:tr>
      <w:tr>
        <w:trPr>
          <w:trHeight w:val="173"/>
        </w:trPr>
        <w:tc>
          <w:tcPr>
            <w:tcW w:w="3840" w:type="dxa"/>
            <w:vAlign w:val="bottom"/>
          </w:tcPr>
          <w:p>
            <w:pPr>
              <w:spacing w:after="0"/>
              <w:rPr>
                <w:sz w:val="15"/>
                <w:szCs w:val="15"/>
                <w:color w:val="auto"/>
              </w:rPr>
            </w:pPr>
          </w:p>
        </w:tc>
        <w:tc>
          <w:tcPr>
            <w:tcW w:w="5560" w:type="dxa"/>
            <w:vAlign w:val="bottom"/>
          </w:tcPr>
          <w:p>
            <w:pPr>
              <w:spacing w:after="0"/>
              <w:rPr>
                <w:sz w:val="15"/>
                <w:szCs w:val="15"/>
                <w:color w:val="auto"/>
              </w:rPr>
            </w:pPr>
          </w:p>
        </w:tc>
        <w:tc>
          <w:tcPr>
            <w:tcW w:w="1240" w:type="dxa"/>
            <w:vAlign w:val="bottom"/>
            <w:gridSpan w:val="4"/>
          </w:tcPr>
          <w:p>
            <w:pPr>
              <w:jc w:val="center"/>
              <w:ind w:left="24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in 1 year</w:t>
            </w:r>
          </w:p>
        </w:tc>
        <w:tc>
          <w:tcPr>
            <w:tcW w:w="61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1,793</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56</w:t>
            </w: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Due in 1 year through 5 years</w:t>
            </w:r>
          </w:p>
        </w:tc>
        <w:tc>
          <w:tcPr>
            <w:tcW w:w="61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870</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1,776</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254</w:t>
            </w: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 due at a single maturity date</w:t>
            </w:r>
          </w:p>
        </w:tc>
        <w:tc>
          <w:tcPr>
            <w:tcW w:w="61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3,697</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1,388</w:t>
            </w: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198</w:t>
            </w:r>
          </w:p>
        </w:tc>
      </w:tr>
      <w:tr>
        <w:trPr>
          <w:trHeight w:val="223"/>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556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6,360</w:t>
            </w:r>
          </w:p>
        </w:tc>
        <w:tc>
          <w:tcPr>
            <w:tcW w:w="16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3,220</w:t>
            </w:r>
          </w:p>
        </w:tc>
        <w:tc>
          <w:tcPr>
            <w:tcW w:w="16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60" w:type="dxa"/>
            <w:vAlign w:val="bottom"/>
          </w:tcPr>
          <w:p>
            <w:pPr>
              <w:spacing w:after="0"/>
              <w:rPr>
                <w:sz w:val="19"/>
                <w:szCs w:val="19"/>
                <w:color w:val="auto"/>
              </w:rPr>
            </w:pPr>
          </w:p>
        </w:tc>
      </w:tr>
      <w:tr>
        <w:trPr>
          <w:trHeight w:val="20"/>
        </w:trPr>
        <w:tc>
          <w:tcPr>
            <w:tcW w:w="384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723"/>
        </w:trPr>
        <w:tc>
          <w:tcPr>
            <w:tcW w:w="3840" w:type="dxa"/>
            <w:vAlign w:val="bottom"/>
          </w:tcPr>
          <w:p>
            <w:pPr>
              <w:spacing w:after="0"/>
              <w:rPr>
                <w:sz w:val="24"/>
                <w:szCs w:val="24"/>
                <w:color w:val="auto"/>
              </w:rPr>
            </w:pPr>
          </w:p>
        </w:tc>
        <w:tc>
          <w:tcPr>
            <w:tcW w:w="6180" w:type="dxa"/>
            <w:vAlign w:val="bottom"/>
            <w:gridSpan w:val="3"/>
          </w:tcPr>
          <w:p>
            <w:pPr>
              <w:ind w:left="1500"/>
              <w:spacing w:after="0"/>
              <w:rPr>
                <w:sz w:val="20"/>
                <w:szCs w:val="20"/>
                <w:color w:val="auto"/>
              </w:rPr>
            </w:pPr>
            <w:r>
              <w:rPr>
                <w:rFonts w:ascii="Times New Roman" w:cs="Times New Roman" w:eastAsia="Times New Roman" w:hAnsi="Times New Roman"/>
                <w:sz w:val="18"/>
                <w:szCs w:val="18"/>
                <w:color w:val="auto"/>
              </w:rPr>
              <w:t>F-32</w:t>
            </w: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257" w:name="page258"/>
    <w:bookmarkEnd w:id="2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42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BAIDU, INC.</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THE YEARS ENDED DECEMBER 31, 2023, 2024 AND 2025</w:t>
      </w:r>
    </w:p>
    <w:p>
      <w:pPr>
        <w:spacing w:after="0" w:line="230" w:lineRule="exact"/>
        <w:rPr>
          <w:sz w:val="20"/>
          <w:szCs w:val="20"/>
          <w:color w:val="auto"/>
        </w:rPr>
      </w:pPr>
    </w:p>
    <w:p>
      <w:pPr>
        <w:ind w:left="540" w:hanging="424"/>
        <w:spacing w:after="0"/>
        <w:tabs>
          <w:tab w:leader="none" w:pos="540" w:val="left"/>
        </w:tabs>
        <w:numPr>
          <w:ilvl w:val="0"/>
          <w:numId w:val="1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LONG-TERM TIME DEPOSITS AND HELD-TO-MATURITY INVESTMENTS</w:t>
      </w:r>
    </w:p>
    <w:p>
      <w:pPr>
        <w:spacing w:after="0" w:line="121"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Long-term time deposits and held-to-maturity investments were mainly deposits in commercial banks with maturities of greater than one year and wealth management products issued by commercial banks and other financial institutions for which the Group has the positive intent and ability to hold those investments to maturity with maturities of greater than one year.</w:t>
      </w:r>
    </w:p>
    <w:p>
      <w:pPr>
        <w:spacing w:after="0" w:line="176"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2023, 2024 and 2025, the Group recorded interest income from its long-term time deposits and held-to-maturity investments of RMB1.3 billion, RMB2.9 billion and RMB5.3 billion (US$752 million) in the consolidated statements of comprehensive income, respectively.</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Long-term time deposits and held-to-maturity investments as of December 31, 2024 and 2025 are summarized below:</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63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8"/>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5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gridSpan w:val="3"/>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Cost or</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80" w:type="dxa"/>
            <w:vAlign w:val="bottom"/>
            <w:gridSpan w:val="4"/>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3"/>
            <w:vMerge w:val="restart"/>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cost less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vMerge w:val="restart"/>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allowance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220" w:type="dxa"/>
            <w:vAlign w:val="bottom"/>
            <w:gridSpan w:val="5"/>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unrecognized</w:t>
            </w:r>
          </w:p>
        </w:tc>
        <w:tc>
          <w:tcPr>
            <w:tcW w:w="6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48"/>
        </w:trPr>
        <w:tc>
          <w:tcPr>
            <w:tcW w:w="6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for credit</w:t>
            </w:r>
          </w:p>
        </w:tc>
        <w:tc>
          <w:tcPr>
            <w:tcW w:w="100" w:type="dxa"/>
            <w:vAlign w:val="bottom"/>
          </w:tcPr>
          <w:p>
            <w:pPr>
              <w:spacing w:after="0"/>
              <w:rPr>
                <w:sz w:val="12"/>
                <w:szCs w:val="12"/>
                <w:color w:val="auto"/>
              </w:rPr>
            </w:pPr>
          </w:p>
        </w:tc>
        <w:tc>
          <w:tcPr>
            <w:tcW w:w="1180" w:type="dxa"/>
            <w:vAlign w:val="bottom"/>
            <w:gridSpan w:val="5"/>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unrecognized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3"/>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holding</w:t>
            </w:r>
          </w:p>
        </w:tc>
        <w:tc>
          <w:tcPr>
            <w:tcW w:w="6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3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Pr>
          <w:p>
            <w:pPr>
              <w:spacing w:after="0"/>
              <w:rPr>
                <w:sz w:val="15"/>
                <w:szCs w:val="15"/>
                <w:color w:val="auto"/>
              </w:rPr>
            </w:pPr>
          </w:p>
        </w:tc>
        <w:tc>
          <w:tcPr>
            <w:tcW w:w="118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holding gains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3"/>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6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17"/>
        </w:trPr>
        <w:tc>
          <w:tcPr>
            <w:tcW w:w="63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gridSpan w:val="2"/>
          </w:tcPr>
          <w:p>
            <w:pPr>
              <w:jc w:val="center"/>
              <w:ind w:right="109"/>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36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gridSpan w:val="2"/>
          </w:tcPr>
          <w:p>
            <w:pPr>
              <w:jc w:val="center"/>
              <w:ind w:right="51"/>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400" w:type="dxa"/>
            <w:vAlign w:val="bottom"/>
          </w:tcPr>
          <w:p>
            <w:pPr>
              <w:spacing w:after="0"/>
              <w:rPr>
                <w:sz w:val="10"/>
                <w:szCs w:val="10"/>
                <w:color w:val="auto"/>
              </w:rPr>
            </w:pPr>
          </w:p>
        </w:tc>
        <w:tc>
          <w:tcPr>
            <w:tcW w:w="5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3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40" w:type="dxa"/>
            <w:vAlign w:val="bottom"/>
            <w:gridSpan w:val="7"/>
          </w:tcPr>
          <w:p>
            <w:pPr>
              <w:jc w:val="center"/>
              <w:ind w:right="8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time deposits and held-to-maturity investments</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98,535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1,290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(756)</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99,069</w:t>
            </w:r>
          </w:p>
        </w:tc>
        <w:tc>
          <w:tcPr>
            <w:tcW w:w="0" w:type="dxa"/>
            <w:vAlign w:val="bottom"/>
          </w:tcPr>
          <w:p>
            <w:pPr>
              <w:spacing w:after="0"/>
              <w:rPr>
                <w:sz w:val="1"/>
                <w:szCs w:val="1"/>
                <w:color w:val="auto"/>
              </w:rPr>
            </w:pPr>
          </w:p>
        </w:tc>
      </w:tr>
      <w:tr>
        <w:trPr>
          <w:trHeight w:val="392"/>
        </w:trPr>
        <w:tc>
          <w:tcPr>
            <w:tcW w:w="638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11"/>
          </w:tcPr>
          <w:p>
            <w:pPr>
              <w:jc w:val="center"/>
              <w:ind w:right="960"/>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5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6380" w:type="dxa"/>
            <w:vAlign w:val="bottom"/>
          </w:tcPr>
          <w:p>
            <w:pPr>
              <w:spacing w:after="0"/>
              <w:rPr>
                <w:sz w:val="10"/>
                <w:szCs w:val="10"/>
                <w:color w:val="auto"/>
              </w:rPr>
            </w:pPr>
          </w:p>
        </w:tc>
        <w:tc>
          <w:tcPr>
            <w:tcW w:w="66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Cost or</w:t>
            </w: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380" w:type="dxa"/>
            <w:vAlign w:val="bottom"/>
          </w:tcPr>
          <w:p>
            <w:pPr>
              <w:spacing w:after="0"/>
              <w:rPr>
                <w:sz w:val="12"/>
                <w:szCs w:val="12"/>
                <w:color w:val="auto"/>
              </w:rPr>
            </w:pPr>
          </w:p>
        </w:tc>
        <w:tc>
          <w:tcPr>
            <w:tcW w:w="6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80" w:type="dxa"/>
            <w:vAlign w:val="bottom"/>
          </w:tcPr>
          <w:p>
            <w:pPr>
              <w:spacing w:after="0"/>
              <w:rPr>
                <w:sz w:val="12"/>
                <w:szCs w:val="12"/>
                <w:color w:val="auto"/>
              </w:rPr>
            </w:pPr>
          </w:p>
        </w:tc>
        <w:tc>
          <w:tcPr>
            <w:tcW w:w="6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cost less</w:t>
            </w:r>
          </w:p>
        </w:tc>
        <w:tc>
          <w:tcPr>
            <w:tcW w:w="240" w:type="dxa"/>
            <w:vAlign w:val="bottom"/>
          </w:tcPr>
          <w:p>
            <w:pPr>
              <w:spacing w:after="0"/>
              <w:rPr>
                <w:sz w:val="12"/>
                <w:szCs w:val="12"/>
                <w:color w:val="auto"/>
              </w:rPr>
            </w:pPr>
          </w:p>
        </w:tc>
        <w:tc>
          <w:tcPr>
            <w:tcW w:w="620" w:type="dxa"/>
            <w:vAlign w:val="bottom"/>
            <w:gridSpan w:val="2"/>
            <w:vMerge w:val="restart"/>
          </w:tcPr>
          <w:p>
            <w:pPr>
              <w:jc w:val="center"/>
              <w:ind w:left="149"/>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80" w:type="dxa"/>
            <w:vAlign w:val="bottom"/>
          </w:tcPr>
          <w:p>
            <w:pPr>
              <w:spacing w:after="0"/>
              <w:rPr>
                <w:sz w:val="12"/>
                <w:szCs w:val="12"/>
                <w:color w:val="auto"/>
              </w:rPr>
            </w:pPr>
          </w:p>
        </w:tc>
        <w:tc>
          <w:tcPr>
            <w:tcW w:w="6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allowance</w:t>
            </w:r>
          </w:p>
        </w:tc>
        <w:tc>
          <w:tcPr>
            <w:tcW w:w="24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4"/>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unrecognized</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80" w:type="dxa"/>
            <w:vAlign w:val="bottom"/>
          </w:tcPr>
          <w:p>
            <w:pPr>
              <w:spacing w:after="0"/>
              <w:rPr>
                <w:sz w:val="12"/>
                <w:szCs w:val="12"/>
                <w:color w:val="auto"/>
              </w:rPr>
            </w:pPr>
          </w:p>
        </w:tc>
        <w:tc>
          <w:tcPr>
            <w:tcW w:w="6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 credit</w:t>
            </w:r>
          </w:p>
        </w:tc>
        <w:tc>
          <w:tcPr>
            <w:tcW w:w="240" w:type="dxa"/>
            <w:vAlign w:val="bottom"/>
          </w:tcPr>
          <w:p>
            <w:pPr>
              <w:spacing w:after="0"/>
              <w:rPr>
                <w:sz w:val="12"/>
                <w:szCs w:val="12"/>
                <w:color w:val="auto"/>
              </w:rPr>
            </w:pPr>
          </w:p>
        </w:tc>
        <w:tc>
          <w:tcPr>
            <w:tcW w:w="900" w:type="dxa"/>
            <w:vAlign w:val="bottom"/>
            <w:gridSpan w:val="5"/>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unrecognized</w:t>
            </w:r>
          </w:p>
        </w:tc>
        <w:tc>
          <w:tcPr>
            <w:tcW w:w="18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holding</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gridSpan w:val="4"/>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6380" w:type="dxa"/>
            <w:vAlign w:val="bottom"/>
          </w:tcPr>
          <w:p>
            <w:pPr>
              <w:spacing w:after="0"/>
              <w:rPr>
                <w:sz w:val="15"/>
                <w:szCs w:val="15"/>
                <w:color w:val="auto"/>
              </w:rPr>
            </w:pP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40" w:type="dxa"/>
            <w:vAlign w:val="bottom"/>
          </w:tcPr>
          <w:p>
            <w:pPr>
              <w:spacing w:after="0"/>
              <w:rPr>
                <w:sz w:val="15"/>
                <w:szCs w:val="15"/>
                <w:color w:val="auto"/>
              </w:rPr>
            </w:pPr>
          </w:p>
        </w:tc>
        <w:tc>
          <w:tcPr>
            <w:tcW w:w="90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holding gains</w:t>
            </w:r>
          </w:p>
        </w:tc>
        <w:tc>
          <w:tcPr>
            <w:tcW w:w="180" w:type="dxa"/>
            <w:vAlign w:val="bottom"/>
          </w:tcPr>
          <w:p>
            <w:pPr>
              <w:spacing w:after="0"/>
              <w:rPr>
                <w:sz w:val="15"/>
                <w:szCs w:val="15"/>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80" w:type="dxa"/>
            <w:vAlign w:val="bottom"/>
          </w:tcPr>
          <w:p>
            <w:pPr>
              <w:spacing w:after="0"/>
              <w:rPr>
                <w:sz w:val="10"/>
                <w:szCs w:val="10"/>
                <w:color w:val="auto"/>
              </w:rPr>
            </w:pPr>
          </w:p>
        </w:tc>
        <w:tc>
          <w:tcPr>
            <w:tcW w:w="66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240" w:type="dxa"/>
            <w:vAlign w:val="bottom"/>
          </w:tcPr>
          <w:p>
            <w:pPr>
              <w:spacing w:after="0"/>
              <w:rPr>
                <w:sz w:val="10"/>
                <w:szCs w:val="10"/>
                <w:color w:val="auto"/>
              </w:rPr>
            </w:pPr>
          </w:p>
        </w:tc>
        <w:tc>
          <w:tcPr>
            <w:tcW w:w="620" w:type="dxa"/>
            <w:vAlign w:val="bottom"/>
            <w:tcBorders>
              <w:top w:val="single" w:sz="8" w:color="auto"/>
            </w:tcBorders>
            <w:gridSpan w:val="2"/>
          </w:tcPr>
          <w:p>
            <w:pPr>
              <w:jc w:val="center"/>
              <w:ind w:left="129"/>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Borders>
              <w:top w:val="single" w:sz="8" w:color="auto"/>
            </w:tcBorders>
            <w:gridSpan w:val="2"/>
          </w:tcPr>
          <w:p>
            <w:pPr>
              <w:ind w:left="160"/>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5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3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time deposits and held-to-maturity investments</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123,862</w:t>
            </w:r>
          </w:p>
        </w:tc>
        <w:tc>
          <w:tcPr>
            <w:tcW w:w="1140" w:type="dxa"/>
            <w:vAlign w:val="bottom"/>
            <w:gridSpan w:val="6"/>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1,411</w:t>
            </w:r>
          </w:p>
        </w:tc>
        <w:tc>
          <w:tcPr>
            <w:tcW w:w="112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(225)</w:t>
            </w:r>
          </w:p>
        </w:tc>
        <w:tc>
          <w:tcPr>
            <w:tcW w:w="11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125,048</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17,882</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1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net carrying amount of long-term time deposits and held-to-maturity investments with stated contractual dates, classified by the contractual maturity date of the investments:</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760" w:type="dxa"/>
            <w:vAlign w:val="bottom"/>
          </w:tcPr>
          <w:p>
            <w:pPr>
              <w:spacing w:after="0"/>
              <w:rPr>
                <w:sz w:val="15"/>
                <w:szCs w:val="15"/>
                <w:color w:val="auto"/>
              </w:rPr>
            </w:pPr>
          </w:p>
        </w:tc>
        <w:tc>
          <w:tcPr>
            <w:tcW w:w="5120" w:type="dxa"/>
            <w:vAlign w:val="bottom"/>
          </w:tcPr>
          <w:p>
            <w:pPr>
              <w:spacing w:after="0"/>
              <w:rPr>
                <w:sz w:val="15"/>
                <w:szCs w:val="15"/>
                <w:color w:val="auto"/>
              </w:rPr>
            </w:pPr>
          </w:p>
        </w:tc>
        <w:tc>
          <w:tcPr>
            <w:tcW w:w="2140" w:type="dxa"/>
            <w:vAlign w:val="bottom"/>
            <w:gridSpan w:val="7"/>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42"/>
        </w:trPr>
        <w:tc>
          <w:tcPr>
            <w:tcW w:w="376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560" w:type="dxa"/>
            <w:vAlign w:val="bottom"/>
            <w:tcBorders>
              <w:top w:val="single" w:sz="8" w:color="auto"/>
            </w:tcBorders>
          </w:tcPr>
          <w:p>
            <w:pPr>
              <w:jc w:val="right"/>
              <w:ind w:right="6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jc w:val="center"/>
              <w:ind w:left="37"/>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5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2"/>
                <w:szCs w:val="12"/>
                <w:color w:val="auto"/>
              </w:rPr>
            </w:pPr>
          </w:p>
        </w:tc>
      </w:tr>
      <w:tr>
        <w:trPr>
          <w:trHeight w:val="117"/>
        </w:trPr>
        <w:tc>
          <w:tcPr>
            <w:tcW w:w="3760" w:type="dxa"/>
            <w:vAlign w:val="bottom"/>
          </w:tcPr>
          <w:p>
            <w:pPr>
              <w:spacing w:after="0"/>
              <w:rPr>
                <w:sz w:val="10"/>
                <w:szCs w:val="10"/>
                <w:color w:val="auto"/>
              </w:rPr>
            </w:pPr>
          </w:p>
        </w:tc>
        <w:tc>
          <w:tcPr>
            <w:tcW w:w="5120" w:type="dxa"/>
            <w:vAlign w:val="bottom"/>
          </w:tcPr>
          <w:p>
            <w:pPr>
              <w:spacing w:after="0"/>
              <w:rPr>
                <w:sz w:val="10"/>
                <w:szCs w:val="10"/>
                <w:color w:val="auto"/>
              </w:rPr>
            </w:pPr>
          </w:p>
        </w:tc>
        <w:tc>
          <w:tcPr>
            <w:tcW w:w="560" w:type="dxa"/>
            <w:vAlign w:val="bottom"/>
            <w:tcBorders>
              <w:top w:val="single" w:sz="8" w:color="auto"/>
            </w:tcBorders>
          </w:tcPr>
          <w:p>
            <w:pPr>
              <w:jc w:val="right"/>
              <w:ind w:right="42"/>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160" w:type="dxa"/>
            <w:vAlign w:val="bottom"/>
          </w:tcPr>
          <w:p>
            <w:pPr>
              <w:spacing w:after="0"/>
              <w:rPr>
                <w:sz w:val="10"/>
                <w:szCs w:val="10"/>
                <w:color w:val="auto"/>
              </w:rPr>
            </w:pPr>
          </w:p>
        </w:tc>
        <w:tc>
          <w:tcPr>
            <w:tcW w:w="560" w:type="dxa"/>
            <w:vAlign w:val="bottom"/>
            <w:tcBorders>
              <w:top w:val="single" w:sz="8" w:color="auto"/>
            </w:tcBorders>
          </w:tcPr>
          <w:p>
            <w:pPr>
              <w:jc w:val="right"/>
              <w:ind w:right="77"/>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c>
          <w:tcPr>
            <w:tcW w:w="60" w:type="dxa"/>
            <w:vAlign w:val="bottom"/>
          </w:tcPr>
          <w:p>
            <w:pPr>
              <w:spacing w:after="0"/>
              <w:rPr>
                <w:sz w:val="10"/>
                <w:szCs w:val="10"/>
                <w:color w:val="auto"/>
              </w:rPr>
            </w:pPr>
          </w:p>
        </w:tc>
      </w:tr>
      <w:tr>
        <w:trPr>
          <w:trHeight w:val="173"/>
        </w:trPr>
        <w:tc>
          <w:tcPr>
            <w:tcW w:w="3760" w:type="dxa"/>
            <w:vAlign w:val="bottom"/>
          </w:tcPr>
          <w:p>
            <w:pPr>
              <w:spacing w:after="0"/>
              <w:rPr>
                <w:sz w:val="15"/>
                <w:szCs w:val="15"/>
                <w:color w:val="auto"/>
              </w:rPr>
            </w:pPr>
          </w:p>
        </w:tc>
        <w:tc>
          <w:tcPr>
            <w:tcW w:w="5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in 1 year through 2 years</w:t>
            </w:r>
          </w:p>
        </w:tc>
        <w:tc>
          <w:tcPr>
            <w:tcW w:w="57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30,556</w:t>
            </w:r>
          </w:p>
        </w:tc>
        <w:tc>
          <w:tcPr>
            <w:tcW w:w="9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91,795</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13,126</w:t>
            </w: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Due in 2 years through 3 years</w:t>
            </w:r>
          </w:p>
        </w:tc>
        <w:tc>
          <w:tcPr>
            <w:tcW w:w="57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67,979</w:t>
            </w:r>
          </w:p>
        </w:tc>
        <w:tc>
          <w:tcPr>
            <w:tcW w:w="9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8,165</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1,168</w:t>
            </w: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in 3 years through 5 years</w:t>
            </w:r>
          </w:p>
        </w:tc>
        <w:tc>
          <w:tcPr>
            <w:tcW w:w="5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23,902</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3,418</w:t>
            </w:r>
          </w:p>
        </w:tc>
      </w:tr>
      <w:tr>
        <w:trPr>
          <w:trHeight w:val="223"/>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51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98,535</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123,862</w:t>
            </w:r>
          </w:p>
        </w:tc>
        <w:tc>
          <w:tcPr>
            <w:tcW w:w="16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17,712</w:t>
            </w:r>
          </w:p>
        </w:tc>
        <w:tc>
          <w:tcPr>
            <w:tcW w:w="60" w:type="dxa"/>
            <w:vAlign w:val="bottom"/>
          </w:tcPr>
          <w:p>
            <w:pPr>
              <w:spacing w:after="0"/>
              <w:rPr>
                <w:sz w:val="19"/>
                <w:szCs w:val="19"/>
                <w:color w:val="auto"/>
              </w:rPr>
            </w:pPr>
          </w:p>
        </w:tc>
      </w:tr>
      <w:tr>
        <w:trPr>
          <w:trHeight w:val="20"/>
        </w:trPr>
        <w:tc>
          <w:tcPr>
            <w:tcW w:w="376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3760" w:type="dxa"/>
            <w:vAlign w:val="bottom"/>
          </w:tcPr>
          <w:p>
            <w:pPr>
              <w:spacing w:after="0"/>
              <w:rPr>
                <w:sz w:val="24"/>
                <w:szCs w:val="24"/>
                <w:color w:val="auto"/>
              </w:rPr>
            </w:pPr>
          </w:p>
        </w:tc>
        <w:tc>
          <w:tcPr>
            <w:tcW w:w="5720" w:type="dxa"/>
            <w:vAlign w:val="bottom"/>
            <w:gridSpan w:val="3"/>
          </w:tcPr>
          <w:p>
            <w:pPr>
              <w:ind w:left="1580"/>
              <w:spacing w:after="0"/>
              <w:rPr>
                <w:sz w:val="20"/>
                <w:szCs w:val="20"/>
                <w:color w:val="auto"/>
              </w:rPr>
            </w:pPr>
            <w:r>
              <w:rPr>
                <w:rFonts w:ascii="Times New Roman" w:cs="Times New Roman" w:eastAsia="Times New Roman" w:hAnsi="Times New Roman"/>
                <w:sz w:val="18"/>
                <w:szCs w:val="18"/>
                <w:color w:val="auto"/>
              </w:rPr>
              <w:t>F-33</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258" w:name="page259"/>
    <w:bookmarkEnd w:id="2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43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BAIDU, INC.</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THE YEARS ENDED DECEMBER 31, 2023, 2024 AND 2025</w:t>
      </w:r>
    </w:p>
    <w:p>
      <w:pPr>
        <w:spacing w:after="0" w:line="230" w:lineRule="exact"/>
        <w:rPr>
          <w:sz w:val="20"/>
          <w:szCs w:val="20"/>
          <w:color w:val="auto"/>
        </w:rPr>
      </w:pPr>
    </w:p>
    <w:p>
      <w:pPr>
        <w:ind w:left="540" w:hanging="424"/>
        <w:spacing w:after="0"/>
        <w:tabs>
          <w:tab w:leader="none" w:pos="540" w:val="left"/>
        </w:tabs>
        <w:numPr>
          <w:ilvl w:val="0"/>
          <w:numId w:val="1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LICENSED COPYRIGHTS, NET</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690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7"/>
          </w:tcPr>
          <w:p>
            <w:pPr>
              <w:jc w:val="center"/>
              <w:ind w:left="4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2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900" w:type="dxa"/>
            <w:vAlign w:val="bottom"/>
          </w:tcPr>
          <w:p>
            <w:pPr>
              <w:spacing w:after="0"/>
              <w:rPr>
                <w:sz w:val="10"/>
                <w:szCs w:val="10"/>
                <w:color w:val="auto"/>
              </w:rPr>
            </w:pPr>
          </w:p>
        </w:tc>
        <w:tc>
          <w:tcPr>
            <w:tcW w:w="820" w:type="dxa"/>
            <w:vAlign w:val="bottom"/>
            <w:gridSpan w:val="3"/>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00" w:type="dxa"/>
            <w:vAlign w:val="bottom"/>
          </w:tcPr>
          <w:p>
            <w:pPr>
              <w:spacing w:after="0"/>
              <w:rPr>
                <w:sz w:val="10"/>
                <w:szCs w:val="10"/>
                <w:color w:val="auto"/>
              </w:rPr>
            </w:pPr>
          </w:p>
        </w:tc>
        <w:tc>
          <w:tcPr>
            <w:tcW w:w="104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0"/>
                <w:szCs w:val="10"/>
                <w:color w:val="auto"/>
              </w:rPr>
            </w:pPr>
          </w:p>
        </w:tc>
        <w:tc>
          <w:tcPr>
            <w:tcW w:w="90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Impairment</w:t>
            </w:r>
          </w:p>
        </w:tc>
        <w:tc>
          <w:tcPr>
            <w:tcW w:w="260" w:type="dxa"/>
            <w:vAlign w:val="bottom"/>
          </w:tcPr>
          <w:p>
            <w:pPr>
              <w:spacing w:after="0"/>
              <w:rPr>
                <w:sz w:val="10"/>
                <w:szCs w:val="10"/>
                <w:color w:val="auto"/>
              </w:rPr>
            </w:pPr>
          </w:p>
        </w:tc>
        <w:tc>
          <w:tcPr>
            <w:tcW w:w="840" w:type="dxa"/>
            <w:vAlign w:val="bottom"/>
            <w:gridSpan w:val="4"/>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0" w:type="dxa"/>
            <w:vAlign w:val="bottom"/>
          </w:tcPr>
          <w:p>
            <w:pPr>
              <w:spacing w:after="0"/>
              <w:rPr>
                <w:sz w:val="1"/>
                <w:szCs w:val="1"/>
                <w:color w:val="auto"/>
              </w:rPr>
            </w:pPr>
          </w:p>
        </w:tc>
      </w:tr>
      <w:tr>
        <w:trPr>
          <w:trHeight w:val="148"/>
        </w:trPr>
        <w:tc>
          <w:tcPr>
            <w:tcW w:w="6900" w:type="dxa"/>
            <w:vAlign w:val="bottom"/>
          </w:tcPr>
          <w:p>
            <w:pPr>
              <w:spacing w:after="0"/>
              <w:rPr>
                <w:sz w:val="12"/>
                <w:szCs w:val="12"/>
                <w:color w:val="auto"/>
              </w:rPr>
            </w:pPr>
          </w:p>
        </w:tc>
        <w:tc>
          <w:tcPr>
            <w:tcW w:w="82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900" w:type="dxa"/>
            <w:vAlign w:val="bottom"/>
          </w:tcPr>
          <w:p>
            <w:pPr>
              <w:spacing w:after="0"/>
              <w:rPr>
                <w:sz w:val="15"/>
                <w:szCs w:val="15"/>
                <w:color w:val="auto"/>
              </w:rPr>
            </w:pPr>
          </w:p>
        </w:tc>
        <w:tc>
          <w:tcPr>
            <w:tcW w:w="82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5"/>
                <w:szCs w:val="15"/>
                <w:color w:val="auto"/>
              </w:rPr>
            </w:pPr>
          </w:p>
        </w:tc>
        <w:tc>
          <w:tcPr>
            <w:tcW w:w="104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5"/>
                <w:szCs w:val="15"/>
                <w:color w:val="auto"/>
              </w:rPr>
            </w:pPr>
          </w:p>
        </w:tc>
        <w:tc>
          <w:tcPr>
            <w:tcW w:w="90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17"/>
        </w:trPr>
        <w:tc>
          <w:tcPr>
            <w:tcW w:w="6900" w:type="dxa"/>
            <w:vAlign w:val="bottom"/>
          </w:tcPr>
          <w:p>
            <w:pPr>
              <w:spacing w:after="0"/>
              <w:rPr>
                <w:sz w:val="10"/>
                <w:szCs w:val="10"/>
                <w:color w:val="auto"/>
              </w:rPr>
            </w:pPr>
          </w:p>
        </w:tc>
        <w:tc>
          <w:tcPr>
            <w:tcW w:w="5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gridSpan w:val="2"/>
          </w:tcPr>
          <w:p>
            <w:pPr>
              <w:jc w:val="center"/>
              <w:ind w:right="112"/>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9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380" w:type="dxa"/>
            <w:vAlign w:val="bottom"/>
            <w:gridSpan w:val="6"/>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Licensed copyrights</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—Broadcasting rights</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46,579</w:t>
            </w:r>
          </w:p>
        </w:tc>
        <w:tc>
          <w:tcPr>
            <w:tcW w:w="240" w:type="dxa"/>
            <w:vAlign w:val="bottom"/>
          </w:tcPr>
          <w:p>
            <w:pPr>
              <w:spacing w:after="0"/>
              <w:rPr>
                <w:sz w:val="18"/>
                <w:szCs w:val="18"/>
                <w:color w:val="auto"/>
              </w:rPr>
            </w:pPr>
          </w:p>
        </w:tc>
        <w:tc>
          <w:tcPr>
            <w:tcW w:w="114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(39,059)</w:t>
            </w:r>
          </w:p>
        </w:tc>
        <w:tc>
          <w:tcPr>
            <w:tcW w:w="10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(201)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7,319</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—Sublicensing rights</w:t>
            </w: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8,338</w:t>
            </w:r>
          </w:p>
        </w:tc>
        <w:tc>
          <w:tcPr>
            <w:tcW w:w="24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(8,338)</w:t>
            </w:r>
          </w:p>
        </w:tc>
        <w:tc>
          <w:tcPr>
            <w:tcW w:w="1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69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54,917</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(47,397)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7,319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Less: current portion:</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—Broadcasting rights</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7,601</w:t>
            </w:r>
          </w:p>
        </w:tc>
        <w:tc>
          <w:tcPr>
            <w:tcW w:w="240" w:type="dxa"/>
            <w:vAlign w:val="bottom"/>
          </w:tcPr>
          <w:p>
            <w:pPr>
              <w:spacing w:after="0"/>
              <w:rPr>
                <w:sz w:val="18"/>
                <w:szCs w:val="18"/>
                <w:color w:val="auto"/>
              </w:rPr>
            </w:pPr>
          </w:p>
        </w:tc>
        <w:tc>
          <w:tcPr>
            <w:tcW w:w="114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(7,203)</w:t>
            </w:r>
          </w:p>
        </w:tc>
        <w:tc>
          <w:tcPr>
            <w:tcW w:w="10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389</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—Sublicensing rights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8,338</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(8,338)</w:t>
            </w:r>
          </w:p>
        </w:tc>
        <w:tc>
          <w:tcPr>
            <w:tcW w:w="1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9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15,939</w:t>
            </w:r>
          </w:p>
        </w:tc>
        <w:tc>
          <w:tcPr>
            <w:tcW w:w="2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(15,541)</w:t>
            </w:r>
          </w:p>
        </w:tc>
        <w:tc>
          <w:tcPr>
            <w:tcW w:w="220" w:type="dxa"/>
            <w:vAlign w:val="bottom"/>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9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Licensed copyrights—non-current</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—Broadcasting rights</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38,978</w:t>
            </w:r>
          </w:p>
        </w:tc>
        <w:tc>
          <w:tcPr>
            <w:tcW w:w="240" w:type="dxa"/>
            <w:vAlign w:val="bottom"/>
          </w:tcPr>
          <w:p>
            <w:pPr>
              <w:spacing w:after="0"/>
              <w:rPr>
                <w:sz w:val="18"/>
                <w:szCs w:val="18"/>
                <w:color w:val="auto"/>
              </w:rPr>
            </w:pPr>
          </w:p>
        </w:tc>
        <w:tc>
          <w:tcPr>
            <w:tcW w:w="114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(31,856)</w:t>
            </w:r>
          </w:p>
        </w:tc>
        <w:tc>
          <w:tcPr>
            <w:tcW w:w="10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(192)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6,930</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—Sublicensing rights</w:t>
            </w:r>
          </w:p>
        </w:tc>
        <w:tc>
          <w:tcPr>
            <w:tcW w:w="82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69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38,978</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(31,856)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6,930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690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7"/>
          </w:tcPr>
          <w:p>
            <w:pPr>
              <w:jc w:val="center"/>
              <w:ind w:left="40"/>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6900" w:type="dxa"/>
            <w:vAlign w:val="bottom"/>
          </w:tcPr>
          <w:p>
            <w:pPr>
              <w:spacing w:after="0"/>
              <w:rPr>
                <w:sz w:val="10"/>
                <w:szCs w:val="10"/>
                <w:color w:val="auto"/>
              </w:rPr>
            </w:pPr>
          </w:p>
        </w:tc>
        <w:tc>
          <w:tcPr>
            <w:tcW w:w="820" w:type="dxa"/>
            <w:vAlign w:val="bottom"/>
            <w:gridSpan w:val="3"/>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140" w:type="dxa"/>
            <w:vAlign w:val="bottom"/>
            <w:gridSpan w:val="4"/>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60" w:type="dxa"/>
            <w:vAlign w:val="bottom"/>
            <w:gridSpan w:val="4"/>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Impairment</w:t>
            </w:r>
          </w:p>
        </w:tc>
        <w:tc>
          <w:tcPr>
            <w:tcW w:w="1100" w:type="dxa"/>
            <w:vAlign w:val="bottom"/>
            <w:gridSpan w:val="5"/>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0" w:type="dxa"/>
            <w:vAlign w:val="bottom"/>
          </w:tcPr>
          <w:p>
            <w:pPr>
              <w:spacing w:after="0"/>
              <w:rPr>
                <w:sz w:val="1"/>
                <w:szCs w:val="1"/>
                <w:color w:val="auto"/>
              </w:rPr>
            </w:pPr>
          </w:p>
        </w:tc>
      </w:tr>
      <w:tr>
        <w:trPr>
          <w:trHeight w:val="148"/>
        </w:trPr>
        <w:tc>
          <w:tcPr>
            <w:tcW w:w="6900" w:type="dxa"/>
            <w:vAlign w:val="bottom"/>
          </w:tcPr>
          <w:p>
            <w:pPr>
              <w:spacing w:after="0"/>
              <w:rPr>
                <w:sz w:val="12"/>
                <w:szCs w:val="12"/>
                <w:color w:val="auto"/>
              </w:rPr>
            </w:pPr>
          </w:p>
        </w:tc>
        <w:tc>
          <w:tcPr>
            <w:tcW w:w="82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140" w:type="dxa"/>
            <w:vAlign w:val="bottom"/>
            <w:gridSpan w:val="4"/>
            <w:vMerge w:val="continue"/>
          </w:tcPr>
          <w:p>
            <w:pPr>
              <w:spacing w:after="0"/>
              <w:rPr>
                <w:sz w:val="12"/>
                <w:szCs w:val="12"/>
                <w:color w:val="auto"/>
              </w:rPr>
            </w:pPr>
          </w:p>
        </w:tc>
        <w:tc>
          <w:tcPr>
            <w:tcW w:w="1060" w:type="dxa"/>
            <w:vAlign w:val="bottom"/>
            <w:gridSpan w:val="4"/>
            <w:vMerge w:val="continue"/>
          </w:tcPr>
          <w:p>
            <w:pPr>
              <w:spacing w:after="0"/>
              <w:rPr>
                <w:sz w:val="12"/>
                <w:szCs w:val="12"/>
                <w:color w:val="auto"/>
              </w:rPr>
            </w:pPr>
          </w:p>
        </w:tc>
        <w:tc>
          <w:tcPr>
            <w:tcW w:w="110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900" w:type="dxa"/>
            <w:vAlign w:val="bottom"/>
          </w:tcPr>
          <w:p>
            <w:pPr>
              <w:spacing w:after="0"/>
              <w:rPr>
                <w:sz w:val="15"/>
                <w:szCs w:val="15"/>
                <w:color w:val="auto"/>
              </w:rPr>
            </w:pPr>
          </w:p>
        </w:tc>
        <w:tc>
          <w:tcPr>
            <w:tcW w:w="82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14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6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5"/>
                <w:szCs w:val="15"/>
                <w:color w:val="auto"/>
              </w:rPr>
            </w:pPr>
          </w:p>
        </w:tc>
        <w:tc>
          <w:tcPr>
            <w:tcW w:w="84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17"/>
        </w:trPr>
        <w:tc>
          <w:tcPr>
            <w:tcW w:w="6900" w:type="dxa"/>
            <w:vAlign w:val="bottom"/>
          </w:tcPr>
          <w:p>
            <w:pPr>
              <w:spacing w:after="0"/>
              <w:rPr>
                <w:sz w:val="10"/>
                <w:szCs w:val="10"/>
                <w:color w:val="auto"/>
              </w:rPr>
            </w:pPr>
          </w:p>
        </w:tc>
        <w:tc>
          <w:tcPr>
            <w:tcW w:w="5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260" w:type="dxa"/>
            <w:vAlign w:val="bottom"/>
            <w:gridSpan w:val="2"/>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center"/>
              <w:ind w:right="20"/>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320" w:type="dxa"/>
            <w:vAlign w:val="bottom"/>
            <w:gridSpan w:val="2"/>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center"/>
              <w:ind w:right="76"/>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320" w:type="dxa"/>
            <w:vAlign w:val="bottom"/>
            <w:gridSpan w:val="2"/>
          </w:tcPr>
          <w:p>
            <w:pPr>
              <w:spacing w:after="0"/>
              <w:rPr>
                <w:sz w:val="10"/>
                <w:szCs w:val="10"/>
                <w:color w:val="auto"/>
              </w:rPr>
            </w:pPr>
          </w:p>
        </w:tc>
        <w:tc>
          <w:tcPr>
            <w:tcW w:w="46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26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9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380" w:type="dxa"/>
            <w:vAlign w:val="bottom"/>
            <w:gridSpan w:val="6"/>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Licensed copyrights</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—Broadcasting rights</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46,814</w:t>
            </w:r>
          </w:p>
        </w:tc>
        <w:tc>
          <w:tcPr>
            <w:tcW w:w="24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(40,222)</w:t>
            </w:r>
          </w:p>
        </w:tc>
        <w:tc>
          <w:tcPr>
            <w:tcW w:w="220" w:type="dxa"/>
            <w:vAlign w:val="bottom"/>
          </w:tcPr>
          <w:p>
            <w:pPr>
              <w:spacing w:after="0"/>
              <w:rPr>
                <w:sz w:val="18"/>
                <w:szCs w:val="18"/>
                <w:color w:val="auto"/>
              </w:rPr>
            </w:pPr>
          </w:p>
        </w:tc>
        <w:tc>
          <w:tcPr>
            <w:tcW w:w="9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(182)</w:t>
            </w:r>
          </w:p>
        </w:tc>
        <w:tc>
          <w:tcPr>
            <w:tcW w:w="14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6,411</w:t>
            </w:r>
          </w:p>
        </w:tc>
        <w:tc>
          <w:tcPr>
            <w:tcW w:w="6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917</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—Sublicensing rights</w:t>
            </w: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8,273</w:t>
            </w:r>
          </w:p>
        </w:tc>
        <w:tc>
          <w:tcPr>
            <w:tcW w:w="2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69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55,087</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(48,495)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6,411</w:t>
            </w:r>
          </w:p>
        </w:tc>
        <w:tc>
          <w:tcPr>
            <w:tcW w:w="26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Less: current portion:</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—Broadcasting rights</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7,788</w:t>
            </w:r>
          </w:p>
        </w:tc>
        <w:tc>
          <w:tcPr>
            <w:tcW w:w="24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(7,331)</w:t>
            </w:r>
          </w:p>
        </w:tc>
        <w:tc>
          <w:tcPr>
            <w:tcW w:w="220" w:type="dxa"/>
            <w:vAlign w:val="bottom"/>
          </w:tcPr>
          <w:p>
            <w:pPr>
              <w:spacing w:after="0"/>
              <w:rPr>
                <w:sz w:val="18"/>
                <w:szCs w:val="18"/>
                <w:color w:val="auto"/>
              </w:rPr>
            </w:pPr>
          </w:p>
        </w:tc>
        <w:tc>
          <w:tcPr>
            <w:tcW w:w="9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6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—Sublicensing rights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8,273</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9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16,061</w:t>
            </w:r>
          </w:p>
        </w:tc>
        <w:tc>
          <w:tcPr>
            <w:tcW w:w="2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(15,604)</w:t>
            </w:r>
          </w:p>
        </w:tc>
        <w:tc>
          <w:tcPr>
            <w:tcW w:w="10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260" w:type="dxa"/>
            <w:vAlign w:val="bottom"/>
            <w:vMerge w:val="continue"/>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Licensed copyrights—non-current</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—Broadcasting rights</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39,026</w:t>
            </w:r>
          </w:p>
        </w:tc>
        <w:tc>
          <w:tcPr>
            <w:tcW w:w="24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(32,891)</w:t>
            </w:r>
          </w:p>
        </w:tc>
        <w:tc>
          <w:tcPr>
            <w:tcW w:w="220" w:type="dxa"/>
            <w:vAlign w:val="bottom"/>
          </w:tcPr>
          <w:p>
            <w:pPr>
              <w:spacing w:after="0"/>
              <w:rPr>
                <w:sz w:val="18"/>
                <w:szCs w:val="18"/>
                <w:color w:val="auto"/>
              </w:rPr>
            </w:pPr>
          </w:p>
        </w:tc>
        <w:tc>
          <w:tcPr>
            <w:tcW w:w="9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(173)</w:t>
            </w:r>
          </w:p>
        </w:tc>
        <w:tc>
          <w:tcPr>
            <w:tcW w:w="14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5,963</w:t>
            </w:r>
          </w:p>
        </w:tc>
        <w:tc>
          <w:tcPr>
            <w:tcW w:w="6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853</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—Sublicensing rights</w:t>
            </w:r>
          </w:p>
        </w:tc>
        <w:tc>
          <w:tcPr>
            <w:tcW w:w="82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69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39,026</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(32,891)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5,963</w:t>
            </w:r>
          </w:p>
        </w:tc>
        <w:tc>
          <w:tcPr>
            <w:tcW w:w="26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Amortization expense of RMB7.1 billion, RMB7.5 billion and RMB6.1 billion (US$878 million) was recognized as cost of revenue for the years ended December 31, 2023, 2024 and 2025, respectively.</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Estimated amortization expense relating to the existing licensed copyrights for each of the next three years is as follow:</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480" w:type="dxa"/>
            <w:vAlign w:val="bottom"/>
          </w:tcPr>
          <w:p>
            <w:pPr>
              <w:spacing w:after="0"/>
              <w:rPr>
                <w:sz w:val="15"/>
                <w:szCs w:val="15"/>
                <w:color w:val="auto"/>
              </w:rPr>
            </w:pPr>
          </w:p>
        </w:tc>
        <w:tc>
          <w:tcPr>
            <w:tcW w:w="6540" w:type="dxa"/>
            <w:vAlign w:val="bottom"/>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Pr>
          <w:p>
            <w:pPr>
              <w:spacing w:after="0"/>
              <w:rPr>
                <w:sz w:val="15"/>
                <w:szCs w:val="15"/>
                <w:color w:val="auto"/>
              </w:rPr>
            </w:pPr>
          </w:p>
        </w:tc>
        <w:tc>
          <w:tcPr>
            <w:tcW w:w="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u w:val="single" w:color="auto"/>
                <w:color w:val="auto"/>
              </w:rPr>
              <w:t>US</w:t>
            </w:r>
            <w:r>
              <w:rPr>
                <w:rFonts w:ascii="Times New Roman" w:cs="Times New Roman" w:eastAsia="Times New Roman" w:hAnsi="Times New Roman"/>
                <w:sz w:val="14"/>
                <w:szCs w:val="14"/>
                <w:b w:val="1"/>
                <w:bCs w:val="1"/>
                <w:color w:val="auto"/>
              </w:rPr>
              <w:t>$</w:t>
            </w:r>
          </w:p>
        </w:tc>
        <w:tc>
          <w:tcPr>
            <w:tcW w:w="60" w:type="dxa"/>
            <w:vAlign w:val="bottom"/>
          </w:tcPr>
          <w:p>
            <w:pPr>
              <w:spacing w:after="0"/>
              <w:rPr>
                <w:sz w:val="15"/>
                <w:szCs w:val="15"/>
                <w:color w:val="auto"/>
              </w:rPr>
            </w:pPr>
          </w:p>
        </w:tc>
      </w:tr>
      <w:tr>
        <w:trPr>
          <w:trHeight w:val="155"/>
        </w:trPr>
        <w:tc>
          <w:tcPr>
            <w:tcW w:w="3480" w:type="dxa"/>
            <w:vAlign w:val="bottom"/>
          </w:tcPr>
          <w:p>
            <w:pPr>
              <w:spacing w:after="0"/>
              <w:rPr>
                <w:sz w:val="13"/>
                <w:szCs w:val="13"/>
                <w:color w:val="auto"/>
              </w:rPr>
            </w:pPr>
          </w:p>
        </w:tc>
        <w:tc>
          <w:tcPr>
            <w:tcW w:w="6540" w:type="dxa"/>
            <w:vAlign w:val="bottom"/>
          </w:tcPr>
          <w:p>
            <w:pPr>
              <w:spacing w:after="0"/>
              <w:rPr>
                <w:sz w:val="13"/>
                <w:szCs w:val="13"/>
                <w:color w:val="auto"/>
              </w:rPr>
            </w:pPr>
          </w:p>
        </w:tc>
        <w:tc>
          <w:tcPr>
            <w:tcW w:w="940" w:type="dxa"/>
            <w:vAlign w:val="bottom"/>
            <w:gridSpan w:val="3"/>
          </w:tcPr>
          <w:p>
            <w:pPr>
              <w:ind w:left="80"/>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60" w:type="dxa"/>
            <w:vAlign w:val="bottom"/>
          </w:tcPr>
          <w:p>
            <w:pPr>
              <w:spacing w:after="0"/>
              <w:rPr>
                <w:sz w:val="13"/>
                <w:szCs w:val="13"/>
                <w:color w:val="auto"/>
              </w:rPr>
            </w:pPr>
          </w:p>
        </w:tc>
      </w:tr>
      <w:tr>
        <w:trPr>
          <w:trHeight w:val="216"/>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Within 1 year</w:t>
            </w:r>
          </w:p>
        </w:tc>
        <w:tc>
          <w:tcPr>
            <w:tcW w:w="7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2,584</w:t>
            </w: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370</w:t>
            </w: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Between 1 and 2 years</w:t>
            </w:r>
          </w:p>
        </w:tc>
        <w:tc>
          <w:tcPr>
            <w:tcW w:w="7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1,389</w:t>
            </w: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199</w:t>
            </w:r>
          </w:p>
        </w:tc>
      </w:tr>
      <w:tr>
        <w:trPr>
          <w:trHeight w:val="216"/>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Between 2 and 3 years</w:t>
            </w:r>
          </w:p>
        </w:tc>
        <w:tc>
          <w:tcPr>
            <w:tcW w:w="7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919</w:t>
            </w: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131</w:t>
            </w:r>
          </w:p>
        </w:tc>
      </w:tr>
      <w:tr>
        <w:trPr>
          <w:trHeight w:val="364"/>
        </w:trPr>
        <w:tc>
          <w:tcPr>
            <w:tcW w:w="3480" w:type="dxa"/>
            <w:vAlign w:val="bottom"/>
          </w:tcPr>
          <w:p>
            <w:pPr>
              <w:spacing w:after="0"/>
              <w:rPr>
                <w:sz w:val="24"/>
                <w:szCs w:val="24"/>
                <w:color w:val="auto"/>
              </w:rPr>
            </w:pPr>
          </w:p>
        </w:tc>
        <w:tc>
          <w:tcPr>
            <w:tcW w:w="7160" w:type="dxa"/>
            <w:vAlign w:val="bottom"/>
            <w:gridSpan w:val="3"/>
          </w:tcPr>
          <w:p>
            <w:pPr>
              <w:ind w:left="1860"/>
              <w:spacing w:after="0"/>
              <w:rPr>
                <w:sz w:val="20"/>
                <w:szCs w:val="20"/>
                <w:color w:val="auto"/>
              </w:rPr>
            </w:pPr>
            <w:r>
              <w:rPr>
                <w:rFonts w:ascii="Times New Roman" w:cs="Times New Roman" w:eastAsia="Times New Roman" w:hAnsi="Times New Roman"/>
                <w:sz w:val="18"/>
                <w:szCs w:val="18"/>
                <w:color w:val="auto"/>
              </w:rPr>
              <w:t>F-34</w:t>
            </w: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259" w:name="page260"/>
    <w:bookmarkEnd w:id="25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431">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91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529"/>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BAIDU, INC.</w:t>
            </w:r>
          </w:p>
        </w:tc>
        <w:tc>
          <w:tcPr>
            <w:tcW w:w="7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120" w:type="dxa"/>
            <w:vAlign w:val="bottom"/>
          </w:tcPr>
          <w:p>
            <w:pPr>
              <w:spacing w:after="0"/>
              <w:rPr>
                <w:sz w:val="18"/>
                <w:szCs w:val="18"/>
                <w:color w:val="auto"/>
              </w:rPr>
            </w:pPr>
          </w:p>
        </w:tc>
        <w:tc>
          <w:tcPr>
            <w:tcW w:w="9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120" w:type="dxa"/>
            <w:vAlign w:val="bottom"/>
          </w:tcPr>
          <w:p>
            <w:pPr>
              <w:spacing w:after="0"/>
              <w:rPr>
                <w:sz w:val="20"/>
                <w:szCs w:val="20"/>
                <w:color w:val="auto"/>
              </w:rPr>
            </w:pPr>
          </w:p>
        </w:tc>
        <w:tc>
          <w:tcPr>
            <w:tcW w:w="9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 THE YEARS ENDED DECEMBER 31, 2023, 2024 AND 2025</w:t>
            </w: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59"/>
        </w:trPr>
        <w:tc>
          <w:tcPr>
            <w:tcW w:w="120" w:type="dxa"/>
            <w:vAlign w:val="bottom"/>
          </w:tcPr>
          <w:p>
            <w:pPr>
              <w:spacing w:after="0"/>
              <w:rPr>
                <w:sz w:val="24"/>
                <w:szCs w:val="24"/>
                <w:color w:val="auto"/>
              </w:rPr>
            </w:pPr>
          </w:p>
        </w:tc>
        <w:tc>
          <w:tcPr>
            <w:tcW w:w="9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7.     PRODUCED CONTENT, NET</w:t>
            </w: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92"/>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820" w:type="dxa"/>
            <w:vAlign w:val="bottom"/>
          </w:tcPr>
          <w:p>
            <w:pPr>
              <w:spacing w:after="0"/>
              <w:rPr>
                <w:sz w:val="24"/>
                <w:szCs w:val="24"/>
                <w:color w:val="auto"/>
              </w:rPr>
            </w:pPr>
          </w:p>
        </w:tc>
        <w:tc>
          <w:tcPr>
            <w:tcW w:w="1960" w:type="dxa"/>
            <w:vAlign w:val="bottom"/>
            <w:gridSpan w:val="6"/>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42"/>
        </w:trPr>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820" w:type="dxa"/>
            <w:vAlign w:val="bottom"/>
          </w:tcPr>
          <w:p>
            <w:pPr>
              <w:spacing w:after="0"/>
              <w:rPr>
                <w:sz w:val="12"/>
                <w:szCs w:val="12"/>
                <w:color w:val="auto"/>
              </w:rPr>
            </w:pPr>
          </w:p>
        </w:tc>
        <w:tc>
          <w:tcPr>
            <w:tcW w:w="560" w:type="dxa"/>
            <w:vAlign w:val="bottom"/>
            <w:tcBorders>
              <w:top w:val="single" w:sz="8" w:color="auto"/>
            </w:tcBorders>
          </w:tcPr>
          <w:p>
            <w:pPr>
              <w:jc w:val="right"/>
              <w:ind w:right="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720" w:type="dxa"/>
            <w:vAlign w:val="bottom"/>
            <w:tcBorders>
              <w:top w:val="single" w:sz="8" w:color="auto"/>
            </w:tcBorders>
            <w:gridSpan w:val="2"/>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2"/>
                <w:szCs w:val="12"/>
                <w:color w:val="auto"/>
              </w:rPr>
            </w:pPr>
          </w:p>
        </w:tc>
      </w:tr>
      <w:tr>
        <w:trPr>
          <w:trHeight w:val="117"/>
        </w:trPr>
        <w:tc>
          <w:tcPr>
            <w:tcW w:w="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7820" w:type="dxa"/>
            <w:vAlign w:val="bottom"/>
          </w:tcPr>
          <w:p>
            <w:pPr>
              <w:spacing w:after="0"/>
              <w:rPr>
                <w:sz w:val="10"/>
                <w:szCs w:val="10"/>
                <w:color w:val="auto"/>
              </w:rPr>
            </w:pPr>
          </w:p>
        </w:tc>
        <w:tc>
          <w:tcPr>
            <w:tcW w:w="560" w:type="dxa"/>
            <w:vAlign w:val="bottom"/>
            <w:tcBorders>
              <w:top w:val="single" w:sz="8" w:color="auto"/>
            </w:tcBorders>
          </w:tcPr>
          <w:p>
            <w:pPr>
              <w:jc w:val="right"/>
              <w:ind w:right="15"/>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160" w:type="dxa"/>
            <w:vAlign w:val="bottom"/>
          </w:tcPr>
          <w:p>
            <w:pPr>
              <w:spacing w:after="0"/>
              <w:rPr>
                <w:sz w:val="10"/>
                <w:szCs w:val="10"/>
                <w:color w:val="auto"/>
              </w:rPr>
            </w:pPr>
          </w:p>
        </w:tc>
        <w:tc>
          <w:tcPr>
            <w:tcW w:w="560" w:type="dxa"/>
            <w:vAlign w:val="bottom"/>
            <w:tcBorders>
              <w:top w:val="single" w:sz="8" w:color="auto"/>
            </w:tcBorders>
          </w:tcPr>
          <w:p>
            <w:pPr>
              <w:jc w:val="right"/>
              <w:ind w:right="36"/>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160" w:type="dxa"/>
            <w:vAlign w:val="bottom"/>
          </w:tcPr>
          <w:p>
            <w:pPr>
              <w:spacing w:after="0"/>
              <w:rPr>
                <w:sz w:val="10"/>
                <w:szCs w:val="10"/>
                <w:color w:val="auto"/>
              </w:rPr>
            </w:pPr>
          </w:p>
        </w:tc>
        <w:tc>
          <w:tcPr>
            <w:tcW w:w="460" w:type="dxa"/>
            <w:vAlign w:val="bottom"/>
            <w:tcBorders>
              <w:top w:val="single" w:sz="8" w:color="auto"/>
            </w:tcBorders>
          </w:tcPr>
          <w:p>
            <w:pPr>
              <w:jc w:val="right"/>
              <w:ind w:right="13"/>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c>
          <w:tcPr>
            <w:tcW w:w="60" w:type="dxa"/>
            <w:vAlign w:val="bottom"/>
          </w:tcPr>
          <w:p>
            <w:pPr>
              <w:spacing w:after="0"/>
              <w:rPr>
                <w:sz w:val="10"/>
                <w:szCs w:val="10"/>
                <w:color w:val="auto"/>
              </w:rPr>
            </w:pPr>
          </w:p>
        </w:tc>
      </w:tr>
      <w:tr>
        <w:trPr>
          <w:trHeight w:val="173"/>
        </w:trPr>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78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16"/>
        </w:trPr>
        <w:tc>
          <w:tcPr>
            <w:tcW w:w="120" w:type="dxa"/>
            <w:vAlign w:val="bottom"/>
          </w:tcPr>
          <w:p>
            <w:pPr>
              <w:spacing w:after="0"/>
              <w:rPr>
                <w:sz w:val="18"/>
                <w:szCs w:val="18"/>
                <w:color w:val="auto"/>
              </w:rPr>
            </w:pPr>
          </w:p>
        </w:tc>
        <w:tc>
          <w:tcPr>
            <w:tcW w:w="9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Released, less amortization and impairment</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9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Predominantly monetized with other contents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5,113</w:t>
            </w: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6,131</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877</w:t>
            </w:r>
          </w:p>
        </w:tc>
      </w:tr>
      <w:tr>
        <w:trPr>
          <w:trHeight w:val="216"/>
        </w:trPr>
        <w:tc>
          <w:tcPr>
            <w:tcW w:w="120" w:type="dxa"/>
            <w:vAlign w:val="bottom"/>
          </w:tcPr>
          <w:p>
            <w:pPr>
              <w:spacing w:after="0"/>
              <w:rPr>
                <w:sz w:val="18"/>
                <w:szCs w:val="18"/>
                <w:color w:val="auto"/>
              </w:rPr>
            </w:pPr>
          </w:p>
        </w:tc>
        <w:tc>
          <w:tcPr>
            <w:tcW w:w="9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Predominantly monetized on its own</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82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5,134</w:t>
            </w:r>
          </w:p>
        </w:tc>
        <w:tc>
          <w:tcPr>
            <w:tcW w:w="16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6,189</w:t>
            </w:r>
          </w:p>
        </w:tc>
        <w:tc>
          <w:tcPr>
            <w:tcW w:w="16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60" w:type="dxa"/>
            <w:vAlign w:val="bottom"/>
          </w:tcPr>
          <w:p>
            <w:pPr>
              <w:spacing w:after="0"/>
              <w:rPr>
                <w:sz w:val="20"/>
                <w:szCs w:val="20"/>
                <w:color w:val="auto"/>
              </w:rPr>
            </w:pPr>
          </w:p>
        </w:tc>
      </w:tr>
      <w:tr>
        <w:trPr>
          <w:trHeight w:val="216"/>
        </w:trPr>
        <w:tc>
          <w:tcPr>
            <w:tcW w:w="120" w:type="dxa"/>
            <w:vAlign w:val="bottom"/>
          </w:tcPr>
          <w:p>
            <w:pPr>
              <w:spacing w:after="0"/>
              <w:rPr>
                <w:sz w:val="18"/>
                <w:szCs w:val="18"/>
                <w:color w:val="auto"/>
              </w:rPr>
            </w:pPr>
          </w:p>
        </w:tc>
        <w:tc>
          <w:tcPr>
            <w:tcW w:w="9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 production, less impairment</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9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Predominantly monetized with other contents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8,099</w:t>
            </w: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6,813</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974</w:t>
            </w:r>
          </w:p>
        </w:tc>
      </w:tr>
      <w:tr>
        <w:trPr>
          <w:trHeight w:val="216"/>
        </w:trPr>
        <w:tc>
          <w:tcPr>
            <w:tcW w:w="120" w:type="dxa"/>
            <w:vAlign w:val="bottom"/>
          </w:tcPr>
          <w:p>
            <w:pPr>
              <w:spacing w:after="0"/>
              <w:rPr>
                <w:sz w:val="18"/>
                <w:szCs w:val="18"/>
                <w:color w:val="auto"/>
              </w:rPr>
            </w:pPr>
          </w:p>
        </w:tc>
        <w:tc>
          <w:tcPr>
            <w:tcW w:w="9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Predominantly monetized on its own</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8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236</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w:t>
            </w:r>
          </w:p>
        </w:tc>
      </w:tr>
      <w:tr>
        <w:trPr>
          <w:trHeight w:val="230"/>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82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8,354</w:t>
            </w:r>
          </w:p>
        </w:tc>
        <w:tc>
          <w:tcPr>
            <w:tcW w:w="16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7,049</w:t>
            </w:r>
          </w:p>
        </w:tc>
        <w:tc>
          <w:tcPr>
            <w:tcW w:w="16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60" w:type="dxa"/>
            <w:vAlign w:val="bottom"/>
          </w:tcPr>
          <w:p>
            <w:pPr>
              <w:spacing w:after="0"/>
              <w:rPr>
                <w:sz w:val="20"/>
                <w:szCs w:val="20"/>
                <w:color w:val="auto"/>
              </w:rPr>
            </w:pPr>
          </w:p>
        </w:tc>
      </w:tr>
      <w:tr>
        <w:trPr>
          <w:trHeight w:val="216"/>
        </w:trPr>
        <w:tc>
          <w:tcPr>
            <w:tcW w:w="120" w:type="dxa"/>
            <w:vAlign w:val="bottom"/>
          </w:tcPr>
          <w:p>
            <w:pPr>
              <w:spacing w:after="0"/>
              <w:rPr>
                <w:sz w:val="18"/>
                <w:szCs w:val="18"/>
                <w:color w:val="auto"/>
              </w:rPr>
            </w:pPr>
          </w:p>
        </w:tc>
        <w:tc>
          <w:tcPr>
            <w:tcW w:w="9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 development, less impairment</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9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Predominantly monetized with other contents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w:t>
            </w: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1,300</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186</w:t>
            </w:r>
          </w:p>
        </w:tc>
      </w:tr>
      <w:tr>
        <w:trPr>
          <w:trHeight w:val="216"/>
        </w:trPr>
        <w:tc>
          <w:tcPr>
            <w:tcW w:w="120" w:type="dxa"/>
            <w:vAlign w:val="bottom"/>
          </w:tcPr>
          <w:p>
            <w:pPr>
              <w:spacing w:after="0"/>
              <w:rPr>
                <w:sz w:val="18"/>
                <w:szCs w:val="18"/>
                <w:color w:val="auto"/>
              </w:rPr>
            </w:pPr>
          </w:p>
        </w:tc>
        <w:tc>
          <w:tcPr>
            <w:tcW w:w="9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Predominantly monetized on its own</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8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82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1,207</w:t>
            </w:r>
          </w:p>
        </w:tc>
        <w:tc>
          <w:tcPr>
            <w:tcW w:w="16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1,337</w:t>
            </w:r>
          </w:p>
        </w:tc>
        <w:tc>
          <w:tcPr>
            <w:tcW w:w="16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60" w:type="dxa"/>
            <w:vAlign w:val="bottom"/>
          </w:tcPr>
          <w:p>
            <w:pPr>
              <w:spacing w:after="0"/>
              <w:rPr>
                <w:sz w:val="20"/>
                <w:szCs w:val="20"/>
                <w:color w:val="auto"/>
              </w:rPr>
            </w:pPr>
          </w:p>
        </w:tc>
      </w:tr>
      <w:tr>
        <w:trPr>
          <w:trHeight w:val="216"/>
        </w:trPr>
        <w:tc>
          <w:tcPr>
            <w:tcW w:w="120" w:type="dxa"/>
            <w:vAlign w:val="bottom"/>
          </w:tcPr>
          <w:p>
            <w:pPr>
              <w:spacing w:after="0"/>
              <w:rPr>
                <w:sz w:val="18"/>
                <w:szCs w:val="18"/>
                <w:color w:val="auto"/>
              </w:rPr>
            </w:pPr>
          </w:p>
        </w:tc>
        <w:tc>
          <w:tcPr>
            <w:tcW w:w="9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14,695</w:t>
            </w:r>
          </w:p>
        </w:tc>
        <w:tc>
          <w:tcPr>
            <w:tcW w:w="8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14,575</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2,084</w:t>
            </w: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Amortization expense for produced content predominantly monetized with other content assets of RMB5.2 billion, RMB5.3 billion and RMB6.2 billion (US$890 million) and for produced content predominantly monetized on its own of RMB1.1 billion, RMB544 million and RMB605 million (US$87 million) was recognized as “Cost of revenue” in the consolidated statements of comprehensive income for the years ended December 31, 2023, 2024 and 2025, respectively.</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Estimated amortization expense relating to the existing produced content for each of the next three years is as follows: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280" w:type="dxa"/>
            <w:vAlign w:val="bottom"/>
          </w:tcPr>
          <w:p>
            <w:pPr>
              <w:spacing w:after="0"/>
              <w:rPr>
                <w:sz w:val="15"/>
                <w:szCs w:val="15"/>
                <w:color w:val="auto"/>
              </w:rPr>
            </w:pPr>
          </w:p>
        </w:tc>
        <w:tc>
          <w:tcPr>
            <w:tcW w:w="8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RMB</w:t>
            </w:r>
          </w:p>
        </w:tc>
        <w:tc>
          <w:tcPr>
            <w:tcW w:w="80" w:type="dxa"/>
            <w:vAlign w:val="bottom"/>
          </w:tcPr>
          <w:p>
            <w:pPr>
              <w:spacing w:after="0"/>
              <w:rPr>
                <w:sz w:val="15"/>
                <w:szCs w:val="15"/>
                <w:color w:val="auto"/>
              </w:rPr>
            </w:pPr>
          </w:p>
        </w:tc>
        <w:tc>
          <w:tcPr>
            <w:tcW w:w="44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US$</w:t>
            </w:r>
          </w:p>
        </w:tc>
        <w:tc>
          <w:tcPr>
            <w:tcW w:w="0" w:type="dxa"/>
            <w:vAlign w:val="bottom"/>
          </w:tcPr>
          <w:p>
            <w:pPr>
              <w:spacing w:after="0"/>
              <w:rPr>
                <w:sz w:val="1"/>
                <w:szCs w:val="1"/>
                <w:color w:val="auto"/>
              </w:rPr>
            </w:pPr>
          </w:p>
        </w:tc>
      </w:tr>
      <w:tr>
        <w:trPr>
          <w:trHeight w:val="142"/>
        </w:trPr>
        <w:tc>
          <w:tcPr>
            <w:tcW w:w="280" w:type="dxa"/>
            <w:vAlign w:val="bottom"/>
          </w:tcPr>
          <w:p>
            <w:pPr>
              <w:spacing w:after="0"/>
              <w:rPr>
                <w:sz w:val="12"/>
                <w:szCs w:val="12"/>
                <w:color w:val="auto"/>
              </w:rPr>
            </w:pPr>
          </w:p>
        </w:tc>
        <w:tc>
          <w:tcPr>
            <w:tcW w:w="8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Borders>
              <w:top w:val="single" w:sz="8" w:color="auto"/>
            </w:tcBorders>
            <w:gridSpan w:val="6"/>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Within 1 year</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740" w:type="dxa"/>
            <w:vAlign w:val="bottom"/>
            <w:tcBorders>
              <w:right w:val="single" w:sz="8" w:color="CCEEFF"/>
            </w:tcBorders>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2,021</w:t>
            </w:r>
          </w:p>
        </w:tc>
        <w:tc>
          <w:tcPr>
            <w:tcW w:w="5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289</w:t>
            </w:r>
          </w:p>
        </w:tc>
        <w:tc>
          <w:tcPr>
            <w:tcW w:w="0" w:type="dxa"/>
            <w:vAlign w:val="bottom"/>
          </w:tcPr>
          <w:p>
            <w:pPr>
              <w:spacing w:after="0"/>
              <w:rPr>
                <w:sz w:val="1"/>
                <w:szCs w:val="1"/>
                <w:color w:val="auto"/>
              </w:rPr>
            </w:pPr>
          </w:p>
        </w:tc>
      </w:tr>
      <w:tr>
        <w:trPr>
          <w:trHeight w:val="216"/>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Between 1 and 2 years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1,028</w:t>
            </w:r>
          </w:p>
        </w:tc>
        <w:tc>
          <w:tcPr>
            <w:tcW w:w="5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16"/>
        </w:trPr>
        <w:tc>
          <w:tcPr>
            <w:tcW w:w="8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Between 2 and 3 years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740" w:type="dxa"/>
            <w:vAlign w:val="bottom"/>
            <w:tcBorders>
              <w:right w:val="single" w:sz="8" w:color="CCEEFF"/>
            </w:tcBorders>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788</w:t>
            </w:r>
          </w:p>
        </w:tc>
        <w:tc>
          <w:tcPr>
            <w:tcW w:w="5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581"/>
        </w:trPr>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8.</w:t>
            </w:r>
          </w:p>
        </w:tc>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  ACCOUNTS RECEIVABLE</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280" w:type="dxa"/>
            <w:vAlign w:val="bottom"/>
          </w:tcPr>
          <w:p>
            <w:pPr>
              <w:spacing w:after="0"/>
              <w:rPr>
                <w:sz w:val="24"/>
                <w:szCs w:val="24"/>
                <w:color w:val="auto"/>
              </w:rPr>
            </w:pPr>
          </w:p>
        </w:tc>
        <w:tc>
          <w:tcPr>
            <w:tcW w:w="8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7"/>
          </w:tcPr>
          <w:p>
            <w:pPr>
              <w:ind w:left="100"/>
              <w:spacing w:after="0"/>
              <w:rPr>
                <w:sz w:val="20"/>
                <w:szCs w:val="20"/>
                <w:color w:val="auto"/>
              </w:rPr>
            </w:pPr>
            <w:r>
              <w:rPr>
                <w:rFonts w:ascii="Times New Roman" w:cs="Times New Roman" w:eastAsia="Times New Roman" w:hAnsi="Times New Roman"/>
                <w:sz w:val="14"/>
                <w:szCs w:val="14"/>
                <w:b w:val="1"/>
                <w:bCs w:val="1"/>
                <w:color w:val="auto"/>
                <w:w w:val="98"/>
              </w:rPr>
              <w:t>As of December 31,</w:t>
            </w: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80" w:type="dxa"/>
            <w:vAlign w:val="bottom"/>
          </w:tcPr>
          <w:p>
            <w:pPr>
              <w:spacing w:after="0"/>
              <w:rPr>
                <w:sz w:val="12"/>
                <w:szCs w:val="12"/>
                <w:color w:val="auto"/>
              </w:rPr>
            </w:pPr>
          </w:p>
        </w:tc>
        <w:tc>
          <w:tcPr>
            <w:tcW w:w="8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Borders>
              <w:bottom w:val="single" w:sz="8" w:color="auto"/>
            </w:tcBorders>
            <w:gridSpan w:val="4"/>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2"/>
                <w:szCs w:val="12"/>
                <w:color w:val="auto"/>
              </w:rPr>
            </w:pPr>
          </w:p>
        </w:tc>
        <w:tc>
          <w:tcPr>
            <w:tcW w:w="460" w:type="dxa"/>
            <w:vAlign w:val="bottom"/>
            <w:tcBorders>
              <w:bottom w:val="single" w:sz="8" w:color="auto"/>
            </w:tcBorders>
            <w:gridSpan w:val="3"/>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Borders>
              <w:bottom w:val="single" w:sz="8" w:color="auto"/>
            </w:tcBorders>
            <w:gridSpan w:val="2"/>
          </w:tcPr>
          <w:p>
            <w:pPr>
              <w:jc w:val="right"/>
              <w:ind w:right="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82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gridSpan w:val="2"/>
          </w:tcPr>
          <w:p>
            <w:pPr>
              <w:jc w:val="right"/>
              <w:ind w:right="20"/>
              <w:spacing w:after="0" w:line="118"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300" w:type="dxa"/>
            <w:vAlign w:val="bottom"/>
          </w:tcPr>
          <w:p>
            <w:pPr>
              <w:spacing w:after="0"/>
              <w:rPr>
                <w:sz w:val="10"/>
                <w:szCs w:val="10"/>
                <w:color w:val="auto"/>
              </w:rPr>
            </w:pPr>
          </w:p>
        </w:tc>
        <w:tc>
          <w:tcPr>
            <w:tcW w:w="460" w:type="dxa"/>
            <w:vAlign w:val="bottom"/>
            <w:gridSpan w:val="3"/>
          </w:tcPr>
          <w:p>
            <w:pPr>
              <w:jc w:val="right"/>
              <w:ind w:right="28"/>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gridSpan w:val="2"/>
          </w:tcPr>
          <w:p>
            <w:pPr>
              <w:jc w:val="right"/>
              <w:ind w:right="24"/>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c>
          <w:tcPr>
            <w:tcW w:w="12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80" w:type="dxa"/>
            <w:vAlign w:val="bottom"/>
          </w:tcPr>
          <w:p>
            <w:pPr>
              <w:spacing w:after="0"/>
              <w:rPr>
                <w:sz w:val="15"/>
                <w:szCs w:val="15"/>
                <w:color w:val="auto"/>
              </w:rPr>
            </w:pPr>
          </w:p>
        </w:tc>
        <w:tc>
          <w:tcPr>
            <w:tcW w:w="8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gridSpan w:val="6"/>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200" w:type="dxa"/>
            <w:vAlign w:val="bottom"/>
            <w:tcBorders>
              <w:right w:val="single" w:sz="8" w:color="CCEEFF"/>
            </w:tcBorders>
            <w:gridSpan w:val="6"/>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13,621</w:t>
            </w:r>
          </w:p>
        </w:tc>
        <w:tc>
          <w:tcPr>
            <w:tcW w:w="60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88"/>
              </w:rPr>
              <w:t>17,973</w:t>
            </w:r>
          </w:p>
        </w:tc>
        <w:tc>
          <w:tcPr>
            <w:tcW w:w="140" w:type="dxa"/>
            <w:vAlign w:val="bottom"/>
            <w:tcBorders>
              <w:right w:val="single" w:sz="8" w:color="CCEEFF"/>
            </w:tcBorders>
            <w:shd w:val="clear" w:color="auto" w:fill="CCEEFF"/>
          </w:tcPr>
          <w:p>
            <w:pPr>
              <w:spacing w:after="0"/>
              <w:rPr>
                <w:sz w:val="18"/>
                <w:szCs w:val="18"/>
                <w:color w:val="auto"/>
              </w:rPr>
            </w:pPr>
          </w:p>
        </w:tc>
        <w:tc>
          <w:tcPr>
            <w:tcW w:w="4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3"/>
              </w:rPr>
              <w:t>2,570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340" w:type="dxa"/>
            <w:vAlign w:val="bottom"/>
          </w:tcPr>
          <w:p>
            <w:pPr>
              <w:spacing w:after="0"/>
              <w:rPr>
                <w:sz w:val="18"/>
                <w:szCs w:val="18"/>
                <w:color w:val="auto"/>
              </w:rPr>
            </w:pPr>
          </w:p>
        </w:tc>
        <w:tc>
          <w:tcPr>
            <w:tcW w:w="860" w:type="dxa"/>
            <w:vAlign w:val="bottom"/>
            <w:gridSpan w:val="5"/>
          </w:tcPr>
          <w:p>
            <w:pPr>
              <w:jc w:val="right"/>
              <w:ind w:right="168"/>
              <w:spacing w:after="0"/>
              <w:rPr>
                <w:sz w:val="20"/>
                <w:szCs w:val="20"/>
                <w:color w:val="auto"/>
              </w:rPr>
            </w:pPr>
            <w:r>
              <w:rPr>
                <w:rFonts w:ascii="Times New Roman" w:cs="Times New Roman" w:eastAsia="Times New Roman" w:hAnsi="Times New Roman"/>
                <w:sz w:val="18"/>
                <w:szCs w:val="18"/>
                <w:color w:val="auto"/>
              </w:rPr>
              <w:t>(3,517)</w:t>
            </w:r>
          </w:p>
        </w:tc>
        <w:tc>
          <w:tcPr>
            <w:tcW w:w="60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w w:val="95"/>
              </w:rPr>
              <w:t>(5,001)</w:t>
            </w:r>
          </w:p>
        </w:tc>
        <w:tc>
          <w:tcPr>
            <w:tcW w:w="140" w:type="dxa"/>
            <w:vAlign w:val="bottom"/>
          </w:tcPr>
          <w:p>
            <w:pPr>
              <w:spacing w:after="0"/>
              <w:rPr>
                <w:sz w:val="18"/>
                <w:szCs w:val="18"/>
                <w:color w:val="auto"/>
              </w:rPr>
            </w:pPr>
          </w:p>
        </w:tc>
        <w:tc>
          <w:tcPr>
            <w:tcW w:w="5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(715)</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8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0" w:type="dxa"/>
            <w:vAlign w:val="bottom"/>
            <w:shd w:val="clear" w:color="auto" w:fill="CCEEFF"/>
          </w:tcPr>
          <w:p>
            <w:pPr>
              <w:spacing w:after="0"/>
              <w:rPr>
                <w:sz w:val="18"/>
                <w:szCs w:val="18"/>
                <w:color w:val="auto"/>
              </w:rPr>
            </w:pPr>
          </w:p>
        </w:tc>
        <w:tc>
          <w:tcPr>
            <w:tcW w:w="8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10,104</w:t>
            </w:r>
          </w:p>
        </w:tc>
        <w:tc>
          <w:tcPr>
            <w:tcW w:w="300" w:type="dxa"/>
            <w:vAlign w:val="bottom"/>
            <w:tcBorders>
              <w:right w:val="single" w:sz="8" w:color="CCEEFF"/>
            </w:tcBorders>
            <w:shd w:val="clear" w:color="auto" w:fill="CCEEFF"/>
          </w:tcPr>
          <w:p>
            <w:pPr>
              <w:spacing w:after="0"/>
              <w:rPr>
                <w:sz w:val="18"/>
                <w:szCs w:val="18"/>
                <w:color w:val="auto"/>
              </w:rPr>
            </w:pPr>
          </w:p>
        </w:tc>
        <w:tc>
          <w:tcPr>
            <w:tcW w:w="60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88"/>
              </w:rPr>
              <w:t>12,972</w:t>
            </w:r>
          </w:p>
        </w:tc>
        <w:tc>
          <w:tcPr>
            <w:tcW w:w="140" w:type="dxa"/>
            <w:vAlign w:val="bottom"/>
            <w:tcBorders>
              <w:right w:val="single" w:sz="8" w:color="CCEEFF"/>
            </w:tcBorders>
            <w:shd w:val="clear" w:color="auto" w:fill="CCEEFF"/>
          </w:tcPr>
          <w:p>
            <w:pPr>
              <w:spacing w:after="0"/>
              <w:rPr>
                <w:sz w:val="18"/>
                <w:szCs w:val="18"/>
                <w:color w:val="auto"/>
              </w:rPr>
            </w:pPr>
          </w:p>
        </w:tc>
        <w:tc>
          <w:tcPr>
            <w:tcW w:w="4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3"/>
              </w:rPr>
              <w:t>1,855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The movements in the allowance for credit losses were as follows:</w:t>
            </w: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56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280" w:type="dxa"/>
            <w:vAlign w:val="bottom"/>
          </w:tcPr>
          <w:p>
            <w:pPr>
              <w:spacing w:after="0"/>
              <w:rPr>
                <w:sz w:val="24"/>
                <w:szCs w:val="24"/>
                <w:color w:val="auto"/>
              </w:rPr>
            </w:pPr>
          </w:p>
        </w:tc>
        <w:tc>
          <w:tcPr>
            <w:tcW w:w="8280" w:type="dxa"/>
            <w:vAlign w:val="bottom"/>
          </w:tcPr>
          <w:p>
            <w:pPr>
              <w:spacing w:after="0"/>
              <w:rPr>
                <w:sz w:val="24"/>
                <w:szCs w:val="24"/>
                <w:color w:val="auto"/>
              </w:rPr>
            </w:pPr>
          </w:p>
        </w:tc>
        <w:tc>
          <w:tcPr>
            <w:tcW w:w="460" w:type="dxa"/>
            <w:vAlign w:val="bottom"/>
            <w:gridSpan w:val="2"/>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8280" w:type="dxa"/>
            <w:vAlign w:val="bottom"/>
          </w:tcPr>
          <w:p>
            <w:pPr>
              <w:spacing w:after="0"/>
              <w:rPr>
                <w:sz w:val="10"/>
                <w:szCs w:val="10"/>
                <w:color w:val="auto"/>
              </w:rPr>
            </w:pPr>
          </w:p>
        </w:tc>
        <w:tc>
          <w:tcPr>
            <w:tcW w:w="46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200" w:type="dxa"/>
            <w:vAlign w:val="bottom"/>
            <w:gridSpan w:val="2"/>
          </w:tcPr>
          <w:p>
            <w:pPr>
              <w:spacing w:after="0"/>
              <w:rPr>
                <w:sz w:val="10"/>
                <w:szCs w:val="10"/>
                <w:color w:val="auto"/>
              </w:rPr>
            </w:pPr>
          </w:p>
        </w:tc>
        <w:tc>
          <w:tcPr>
            <w:tcW w:w="540" w:type="dxa"/>
            <w:vAlign w:val="bottom"/>
            <w:tcBorders>
              <w:top w:val="single" w:sz="8" w:color="auto"/>
            </w:tcBorders>
            <w:gridSpan w:val="2"/>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140" w:type="dxa"/>
            <w:vAlign w:val="bottom"/>
          </w:tcPr>
          <w:p>
            <w:pPr>
              <w:spacing w:after="0"/>
              <w:rPr>
                <w:sz w:val="10"/>
                <w:szCs w:val="10"/>
                <w:color w:val="auto"/>
              </w:rPr>
            </w:pPr>
          </w:p>
        </w:tc>
        <w:tc>
          <w:tcPr>
            <w:tcW w:w="460" w:type="dxa"/>
            <w:vAlign w:val="bottom"/>
            <w:tcBorders>
              <w:top w:val="single" w:sz="8" w:color="auto"/>
            </w:tcBorders>
            <w:gridSpan w:val="3"/>
          </w:tcPr>
          <w:p>
            <w:pPr>
              <w:jc w:val="right"/>
              <w:ind w:right="60"/>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c>
          <w:tcPr>
            <w:tcW w:w="12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80" w:type="dxa"/>
            <w:vAlign w:val="bottom"/>
          </w:tcPr>
          <w:p>
            <w:pPr>
              <w:spacing w:after="0"/>
              <w:rPr>
                <w:sz w:val="15"/>
                <w:szCs w:val="15"/>
                <w:color w:val="auto"/>
              </w:rPr>
            </w:pPr>
          </w:p>
        </w:tc>
        <w:tc>
          <w:tcPr>
            <w:tcW w:w="8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7"/>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w:t>
            </w:r>
          </w:p>
        </w:tc>
        <w:tc>
          <w:tcPr>
            <w:tcW w:w="4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2,554</w:t>
            </w:r>
          </w:p>
        </w:tc>
        <w:tc>
          <w:tcPr>
            <w:tcW w:w="180" w:type="dxa"/>
            <w:vAlign w:val="bottom"/>
            <w:shd w:val="clear" w:color="auto" w:fill="CCEEFF"/>
          </w:tcPr>
          <w:p>
            <w:pPr>
              <w:spacing w:after="0"/>
              <w:rPr>
                <w:sz w:val="18"/>
                <w:szCs w:val="18"/>
                <w:color w:val="auto"/>
              </w:rPr>
            </w:pPr>
          </w:p>
        </w:tc>
        <w:tc>
          <w:tcPr>
            <w:tcW w:w="540" w:type="dxa"/>
            <w:vAlign w:val="bottom"/>
            <w:tcBorders>
              <w:right w:val="single" w:sz="8" w:color="CCEEFF"/>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3,176</w:t>
            </w:r>
          </w:p>
        </w:tc>
        <w:tc>
          <w:tcPr>
            <w:tcW w:w="740" w:type="dxa"/>
            <w:vAlign w:val="bottom"/>
            <w:tcBorders>
              <w:right w:val="single" w:sz="8" w:color="CCEEFF"/>
            </w:tcBorders>
            <w:gridSpan w:val="5"/>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3,517</w:t>
            </w:r>
          </w:p>
        </w:tc>
        <w:tc>
          <w:tcPr>
            <w:tcW w:w="4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Amounts charged to expenses</w:t>
            </w:r>
          </w:p>
        </w:tc>
        <w:tc>
          <w:tcPr>
            <w:tcW w:w="660" w:type="dxa"/>
            <w:vAlign w:val="bottom"/>
            <w:gridSpan w:val="4"/>
          </w:tcPr>
          <w:p>
            <w:pPr>
              <w:jc w:val="right"/>
              <w:ind w:right="133"/>
              <w:spacing w:after="0"/>
              <w:rPr>
                <w:sz w:val="20"/>
                <w:szCs w:val="20"/>
                <w:color w:val="auto"/>
              </w:rPr>
            </w:pPr>
            <w:r>
              <w:rPr>
                <w:rFonts w:ascii="Times New Roman" w:cs="Times New Roman" w:eastAsia="Times New Roman" w:hAnsi="Times New Roman"/>
                <w:sz w:val="18"/>
                <w:szCs w:val="18"/>
                <w:color w:val="auto"/>
              </w:rPr>
              <w:t>669</w:t>
            </w:r>
          </w:p>
        </w:tc>
        <w:tc>
          <w:tcPr>
            <w:tcW w:w="54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404</w:t>
            </w:r>
          </w:p>
        </w:tc>
        <w:tc>
          <w:tcPr>
            <w:tcW w:w="740" w:type="dxa"/>
            <w:vAlign w:val="bottom"/>
            <w:gridSpan w:val="5"/>
          </w:tcPr>
          <w:p>
            <w:pPr>
              <w:jc w:val="right"/>
              <w:ind w:right="140"/>
              <w:spacing w:after="0"/>
              <w:rPr>
                <w:sz w:val="20"/>
                <w:szCs w:val="20"/>
                <w:color w:val="auto"/>
              </w:rPr>
            </w:pPr>
            <w:r>
              <w:rPr>
                <w:rFonts w:ascii="Times New Roman" w:cs="Times New Roman" w:eastAsia="Times New Roman" w:hAnsi="Times New Roman"/>
                <w:sz w:val="18"/>
                <w:szCs w:val="18"/>
                <w:color w:val="auto"/>
              </w:rPr>
              <w:t>1,713</w:t>
            </w:r>
          </w:p>
        </w:tc>
        <w:tc>
          <w:tcPr>
            <w:tcW w:w="4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written off</w:t>
            </w:r>
          </w:p>
        </w:tc>
        <w:tc>
          <w:tcPr>
            <w:tcW w:w="660" w:type="dxa"/>
            <w:vAlign w:val="bottom"/>
            <w:gridSpan w:val="4"/>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(47)</w:t>
            </w:r>
          </w:p>
        </w:tc>
        <w:tc>
          <w:tcPr>
            <w:tcW w:w="5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740" w:type="dxa"/>
            <w:vAlign w:val="bottom"/>
            <w:tcBorders>
              <w:right w:val="single" w:sz="8" w:color="CCEEFF"/>
            </w:tcBorders>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(229)</w:t>
            </w:r>
          </w:p>
        </w:tc>
        <w:tc>
          <w:tcPr>
            <w:tcW w:w="5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23"/>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as of December 31</w:t>
            </w:r>
          </w:p>
        </w:tc>
        <w:tc>
          <w:tcPr>
            <w:tcW w:w="4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3,176</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Borders>
              <w:top w:val="single" w:sz="8" w:color="auto"/>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3,517</w:t>
            </w:r>
          </w:p>
        </w:tc>
        <w:tc>
          <w:tcPr>
            <w:tcW w:w="140" w:type="dxa"/>
            <w:vAlign w:val="bottom"/>
          </w:tcPr>
          <w:p>
            <w:pPr>
              <w:spacing w:after="0"/>
              <w:rPr>
                <w:sz w:val="19"/>
                <w:szCs w:val="19"/>
                <w:color w:val="auto"/>
              </w:rPr>
            </w:pPr>
          </w:p>
        </w:tc>
        <w:tc>
          <w:tcPr>
            <w:tcW w:w="4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5,001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40"/>
          </w:cols>
          <w:pgMar w:left="320" w:top="473" w:right="439" w:bottom="1440" w:gutter="0" w:footer="0" w:header="0"/>
        </w:sectPr>
      </w:pPr>
    </w:p>
    <w:p>
      <w:pPr>
        <w:spacing w:after="0" w:line="3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F-35</w:t>
      </w:r>
    </w:p>
    <w:p>
      <w:pPr>
        <w:sectPr>
          <w:pgSz w:w="11900" w:h="16838" w:orient="portrait"/>
          <w:cols w:equalWidth="0" w:num="1">
            <w:col w:w="11140"/>
          </w:cols>
          <w:pgMar w:left="320" w:top="473" w:right="439" w:bottom="1440" w:gutter="0" w:footer="0" w:header="0"/>
          <w:type w:val="continuous"/>
        </w:sectPr>
      </w:pPr>
    </w:p>
    <w:bookmarkStart w:id="260" w:name="page261"/>
    <w:bookmarkEnd w:id="2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43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BAIDU, INC.</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THE YEARS ENDED DECEMBER 31, 2023, 2024 AND 2025</w:t>
      </w:r>
    </w:p>
    <w:p>
      <w:pPr>
        <w:spacing w:after="0" w:line="230"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9.</w:t>
            </w:r>
          </w:p>
        </w:tc>
        <w:tc>
          <w:tcPr>
            <w:tcW w:w="87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  OTHER ASSETS</w:t>
            </w: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80" w:type="dxa"/>
            <w:vAlign w:val="bottom"/>
          </w:tcPr>
          <w:p>
            <w:pPr>
              <w:spacing w:after="0"/>
              <w:rPr>
                <w:sz w:val="24"/>
                <w:szCs w:val="24"/>
                <w:color w:val="auto"/>
              </w:rPr>
            </w:pPr>
          </w:p>
        </w:tc>
        <w:tc>
          <w:tcPr>
            <w:tcW w:w="8780" w:type="dxa"/>
            <w:vAlign w:val="bottom"/>
          </w:tcPr>
          <w:p>
            <w:pPr>
              <w:spacing w:after="0"/>
              <w:rPr>
                <w:sz w:val="24"/>
                <w:szCs w:val="24"/>
                <w:color w:val="auto"/>
              </w:rPr>
            </w:pPr>
          </w:p>
        </w:tc>
        <w:tc>
          <w:tcPr>
            <w:tcW w:w="1960" w:type="dxa"/>
            <w:vAlign w:val="bottom"/>
            <w:gridSpan w:val="7"/>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280" w:type="dxa"/>
            <w:vAlign w:val="bottom"/>
          </w:tcPr>
          <w:p>
            <w:pPr>
              <w:spacing w:after="0"/>
              <w:rPr>
                <w:sz w:val="12"/>
                <w:szCs w:val="12"/>
                <w:color w:val="auto"/>
              </w:rPr>
            </w:pPr>
          </w:p>
        </w:tc>
        <w:tc>
          <w:tcPr>
            <w:tcW w:w="8780" w:type="dxa"/>
            <w:vAlign w:val="bottom"/>
          </w:tcPr>
          <w:p>
            <w:pPr>
              <w:spacing w:after="0"/>
              <w:rPr>
                <w:sz w:val="12"/>
                <w:szCs w:val="12"/>
                <w:color w:val="auto"/>
              </w:rPr>
            </w:pPr>
          </w:p>
        </w:tc>
        <w:tc>
          <w:tcPr>
            <w:tcW w:w="560" w:type="dxa"/>
            <w:vAlign w:val="bottom"/>
            <w:tcBorders>
              <w:top w:val="single" w:sz="8" w:color="auto"/>
            </w:tcBorders>
          </w:tcPr>
          <w:p>
            <w:pPr>
              <w:jc w:val="right"/>
              <w:ind w:right="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jc w:val="right"/>
              <w:ind w:right="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8780" w:type="dxa"/>
            <w:vAlign w:val="bottom"/>
          </w:tcPr>
          <w:p>
            <w:pPr>
              <w:spacing w:after="0"/>
              <w:rPr>
                <w:sz w:val="10"/>
                <w:szCs w:val="10"/>
                <w:color w:val="auto"/>
              </w:rPr>
            </w:pPr>
          </w:p>
        </w:tc>
        <w:tc>
          <w:tcPr>
            <w:tcW w:w="560" w:type="dxa"/>
            <w:vAlign w:val="bottom"/>
            <w:tcBorders>
              <w:top w:val="single" w:sz="8" w:color="auto"/>
            </w:tcBorders>
          </w:tcPr>
          <w:p>
            <w:pPr>
              <w:jc w:val="right"/>
              <w:ind w:right="14"/>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Borders>
              <w:top w:val="single" w:sz="8" w:color="auto"/>
            </w:tcBorders>
          </w:tcPr>
          <w:p>
            <w:pPr>
              <w:jc w:val="right"/>
              <w:ind w:right="35"/>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160" w:type="dxa"/>
            <w:vAlign w:val="bottom"/>
          </w:tcPr>
          <w:p>
            <w:pPr>
              <w:spacing w:after="0"/>
              <w:rPr>
                <w:sz w:val="10"/>
                <w:szCs w:val="10"/>
                <w:color w:val="auto"/>
              </w:rPr>
            </w:pPr>
          </w:p>
        </w:tc>
        <w:tc>
          <w:tcPr>
            <w:tcW w:w="460" w:type="dxa"/>
            <w:vAlign w:val="bottom"/>
            <w:tcBorders>
              <w:top w:val="single" w:sz="8" w:color="auto"/>
            </w:tcBorders>
          </w:tcPr>
          <w:p>
            <w:pPr>
              <w:jc w:val="right"/>
              <w:ind w:right="13"/>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80" w:type="dxa"/>
            <w:vAlign w:val="bottom"/>
          </w:tcPr>
          <w:p>
            <w:pPr>
              <w:spacing w:after="0"/>
              <w:rPr>
                <w:sz w:val="15"/>
                <w:szCs w:val="15"/>
                <w:color w:val="auto"/>
              </w:rPr>
            </w:pPr>
          </w:p>
        </w:tc>
        <w:tc>
          <w:tcPr>
            <w:tcW w:w="8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9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w:t>
            </w: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5,989</w:t>
            </w: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6,200</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887</w:t>
            </w:r>
          </w:p>
        </w:tc>
        <w:tc>
          <w:tcPr>
            <w:tcW w:w="0" w:type="dxa"/>
            <w:vAlign w:val="bottom"/>
          </w:tcPr>
          <w:p>
            <w:pPr>
              <w:spacing w:after="0"/>
              <w:rPr>
                <w:sz w:val="1"/>
                <w:szCs w:val="1"/>
                <w:color w:val="auto"/>
              </w:rPr>
            </w:pPr>
          </w:p>
        </w:tc>
      </w:tr>
      <w:tr>
        <w:trPr>
          <w:trHeight w:val="216"/>
        </w:trPr>
        <w:tc>
          <w:tcPr>
            <w:tcW w:w="9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Advances to suppliers</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3,048</w:t>
            </w: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5,180</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741</w:t>
            </w:r>
          </w:p>
        </w:tc>
        <w:tc>
          <w:tcPr>
            <w:tcW w:w="0" w:type="dxa"/>
            <w:vAlign w:val="bottom"/>
          </w:tcPr>
          <w:p>
            <w:pPr>
              <w:spacing w:after="0"/>
              <w:rPr>
                <w:sz w:val="1"/>
                <w:szCs w:val="1"/>
                <w:color w:val="auto"/>
              </w:rPr>
            </w:pPr>
          </w:p>
        </w:tc>
      </w:tr>
      <w:tr>
        <w:trPr>
          <w:trHeight w:val="216"/>
        </w:trPr>
        <w:tc>
          <w:tcPr>
            <w:tcW w:w="9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VAT prepayments</w:t>
            </w: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2,262</w:t>
            </w: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3,215</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460</w:t>
            </w:r>
          </w:p>
        </w:tc>
        <w:tc>
          <w:tcPr>
            <w:tcW w:w="0" w:type="dxa"/>
            <w:vAlign w:val="bottom"/>
          </w:tcPr>
          <w:p>
            <w:pPr>
              <w:spacing w:after="0"/>
              <w:rPr>
                <w:sz w:val="1"/>
                <w:szCs w:val="1"/>
                <w:color w:val="auto"/>
              </w:rPr>
            </w:pPr>
          </w:p>
        </w:tc>
      </w:tr>
      <w:tr>
        <w:trPr>
          <w:trHeight w:val="216"/>
        </w:trPr>
        <w:tc>
          <w:tcPr>
            <w:tcW w:w="9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Contract assets, net</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2,353</w:t>
            </w: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1,904</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272</w:t>
            </w:r>
          </w:p>
        </w:tc>
        <w:tc>
          <w:tcPr>
            <w:tcW w:w="0" w:type="dxa"/>
            <w:vAlign w:val="bottom"/>
          </w:tcPr>
          <w:p>
            <w:pPr>
              <w:spacing w:after="0"/>
              <w:rPr>
                <w:sz w:val="1"/>
                <w:szCs w:val="1"/>
                <w:color w:val="auto"/>
              </w:rPr>
            </w:pPr>
          </w:p>
        </w:tc>
      </w:tr>
      <w:tr>
        <w:trPr>
          <w:trHeight w:val="216"/>
        </w:trPr>
        <w:tc>
          <w:tcPr>
            <w:tcW w:w="9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Receivables from online payment agencies</w:t>
            </w: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1,033</w:t>
            </w: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1,144</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23"/>
        </w:trPr>
        <w:tc>
          <w:tcPr>
            <w:tcW w:w="9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Others</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4,133</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5,102</w:t>
            </w:r>
          </w:p>
        </w:tc>
        <w:tc>
          <w:tcPr>
            <w:tcW w:w="16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other current assets</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22,745</w:t>
            </w:r>
          </w:p>
        </w:tc>
        <w:tc>
          <w:tcPr>
            <w:tcW w:w="16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Long-term advances to suppliers</w:t>
            </w:r>
          </w:p>
        </w:tc>
        <w:tc>
          <w:tcPr>
            <w:tcW w:w="580" w:type="dxa"/>
            <w:vAlign w:val="bottom"/>
            <w:gridSpan w:val="2"/>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60" w:type="dxa"/>
            <w:vAlign w:val="bottom"/>
            <w:gridSpan w:val="2"/>
            <w:vMerge w:val="continue"/>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8,870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17,997</w:t>
            </w:r>
          </w:p>
        </w:tc>
        <w:tc>
          <w:tcPr>
            <w:tcW w:w="160" w:type="dxa"/>
            <w:vAlign w:val="bottom"/>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 xml:space="preserve">Loan due from PAG </w:t>
            </w:r>
            <w:r>
              <w:rPr>
                <w:rFonts w:ascii="Times New Roman" w:cs="Times New Roman" w:eastAsia="Times New Roman" w:hAnsi="Times New Roman"/>
                <w:sz w:val="22"/>
                <w:szCs w:val="22"/>
                <w:color w:val="auto"/>
                <w:vertAlign w:val="superscript"/>
              </w:rPr>
              <w:t>(i)</w:t>
            </w: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3,814</w:t>
            </w: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4,474</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640</w:t>
            </w:r>
          </w:p>
        </w:tc>
        <w:tc>
          <w:tcPr>
            <w:tcW w:w="0" w:type="dxa"/>
            <w:vAlign w:val="bottom"/>
          </w:tcPr>
          <w:p>
            <w:pPr>
              <w:spacing w:after="0"/>
              <w:rPr>
                <w:sz w:val="1"/>
                <w:szCs w:val="1"/>
                <w:color w:val="auto"/>
              </w:rPr>
            </w:pPr>
          </w:p>
        </w:tc>
      </w:tr>
      <w:tr>
        <w:trPr>
          <w:trHeight w:val="216"/>
        </w:trPr>
        <w:tc>
          <w:tcPr>
            <w:tcW w:w="9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licensed copyrights</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2,289</w:t>
            </w: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3,507</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501</w:t>
            </w:r>
          </w:p>
        </w:tc>
        <w:tc>
          <w:tcPr>
            <w:tcW w:w="0" w:type="dxa"/>
            <w:vAlign w:val="bottom"/>
          </w:tcPr>
          <w:p>
            <w:pPr>
              <w:spacing w:after="0"/>
              <w:rPr>
                <w:sz w:val="1"/>
                <w:szCs w:val="1"/>
                <w:color w:val="auto"/>
              </w:rPr>
            </w:pPr>
          </w:p>
        </w:tc>
      </w:tr>
      <w:tr>
        <w:trPr>
          <w:trHeight w:val="216"/>
        </w:trPr>
        <w:tc>
          <w:tcPr>
            <w:tcW w:w="9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1,842</w:t>
            </w: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1,577</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23"/>
        </w:trPr>
        <w:tc>
          <w:tcPr>
            <w:tcW w:w="9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other non-current assets</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16,815</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27,555</w:t>
            </w:r>
          </w:p>
        </w:tc>
        <w:tc>
          <w:tcPr>
            <w:tcW w:w="16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left="540" w:hanging="424"/>
        <w:spacing w:after="0" w:line="261" w:lineRule="auto"/>
        <w:tabs>
          <w:tab w:leader="none" w:pos="54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2024, iQIYI entered into facility agreement with PAG and provided PAG loan facilities up to US$523 million in aggregate, with an interest rate of 6% per annum. In October 2025, iQIYI entered into another facility agreement with PAG which provided an additional loan facility of US$114 million, with an interest rate of 4.5% per annum. Both loans will due on the date which PAG and its affiliates cease to hold any portion of the iQIYI PAG Convertible Notes (Note 15).</w:t>
      </w:r>
    </w:p>
    <w:p>
      <w:pPr>
        <w:spacing w:after="0" w:line="324"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10.</w:t>
        <w:tab/>
        <w:t>  FIXED ASSETS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680" w:type="dxa"/>
            <w:vAlign w:val="bottom"/>
          </w:tcPr>
          <w:p>
            <w:pPr>
              <w:spacing w:after="0"/>
              <w:rPr>
                <w:sz w:val="15"/>
                <w:szCs w:val="15"/>
                <w:color w:val="auto"/>
              </w:rPr>
            </w:pPr>
          </w:p>
        </w:tc>
        <w:tc>
          <w:tcPr>
            <w:tcW w:w="1720" w:type="dxa"/>
            <w:vAlign w:val="bottom"/>
            <w:tcBorders>
              <w:bottom w:val="single" w:sz="8" w:color="auto"/>
            </w:tcBorders>
            <w:gridSpan w:val="7"/>
          </w:tcPr>
          <w:p>
            <w:pPr>
              <w:jc w:val="center"/>
              <w:ind w:left="415"/>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5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8680" w:type="dxa"/>
            <w:vAlign w:val="bottom"/>
          </w:tcPr>
          <w:p>
            <w:pPr>
              <w:spacing w:after="0"/>
              <w:rPr>
                <w:sz w:val="12"/>
                <w:szCs w:val="12"/>
                <w:color w:val="auto"/>
              </w:rPr>
            </w:pPr>
          </w:p>
        </w:tc>
        <w:tc>
          <w:tcPr>
            <w:tcW w:w="620" w:type="dxa"/>
            <w:vAlign w:val="bottom"/>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9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jc w:val="right"/>
              <w:ind w:right="3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r>
      <w:tr>
        <w:trPr>
          <w:trHeight w:val="117"/>
        </w:trPr>
        <w:tc>
          <w:tcPr>
            <w:tcW w:w="8680" w:type="dxa"/>
            <w:vAlign w:val="bottom"/>
          </w:tcPr>
          <w:p>
            <w:pPr>
              <w:spacing w:after="0"/>
              <w:rPr>
                <w:sz w:val="10"/>
                <w:szCs w:val="10"/>
                <w:color w:val="auto"/>
              </w:rPr>
            </w:pPr>
          </w:p>
        </w:tc>
        <w:tc>
          <w:tcPr>
            <w:tcW w:w="620" w:type="dxa"/>
            <w:vAlign w:val="bottom"/>
            <w:tcBorders>
              <w:top w:val="single" w:sz="8" w:color="auto"/>
            </w:tcBorders>
          </w:tcPr>
          <w:p>
            <w:pPr>
              <w:jc w:val="right"/>
              <w:ind w:right="55"/>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80" w:type="dxa"/>
            <w:vAlign w:val="bottom"/>
            <w:gridSpan w:val="2"/>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Borders>
              <w:top w:val="single" w:sz="8" w:color="auto"/>
            </w:tcBorders>
          </w:tcPr>
          <w:p>
            <w:pPr>
              <w:jc w:val="right"/>
              <w:ind w:right="58"/>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22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jc w:val="right"/>
              <w:ind w:right="53"/>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c>
          <w:tcPr>
            <w:tcW w:w="120" w:type="dxa"/>
            <w:vAlign w:val="bottom"/>
          </w:tcPr>
          <w:p>
            <w:pPr>
              <w:spacing w:after="0"/>
              <w:rPr>
                <w:sz w:val="10"/>
                <w:szCs w:val="10"/>
                <w:color w:val="auto"/>
              </w:rPr>
            </w:pPr>
          </w:p>
        </w:tc>
      </w:tr>
      <w:tr>
        <w:trPr>
          <w:trHeight w:val="173"/>
        </w:trPr>
        <w:tc>
          <w:tcPr>
            <w:tcW w:w="8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55,636</w:t>
            </w:r>
          </w:p>
        </w:tc>
        <w:tc>
          <w:tcPr>
            <w:tcW w:w="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63,453</w:t>
            </w:r>
          </w:p>
        </w:tc>
        <w:tc>
          <w:tcPr>
            <w:tcW w:w="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9,074</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Office building</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5,309</w:t>
            </w:r>
          </w:p>
        </w:tc>
        <w:tc>
          <w:tcPr>
            <w:tcW w:w="60" w:type="dxa"/>
            <w:vAlign w:val="bottom"/>
          </w:tcPr>
          <w:p>
            <w:pPr>
              <w:spacing w:after="0"/>
              <w:rPr>
                <w:sz w:val="18"/>
                <w:szCs w:val="18"/>
                <w:color w:val="auto"/>
              </w:rPr>
            </w:pPr>
          </w:p>
        </w:tc>
        <w:tc>
          <w:tcPr>
            <w:tcW w:w="9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5,444</w:t>
            </w:r>
          </w:p>
        </w:tc>
        <w:tc>
          <w:tcPr>
            <w:tcW w:w="4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778</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building related facility, machinery and equipment</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4,222</w:t>
            </w:r>
          </w:p>
        </w:tc>
        <w:tc>
          <w:tcPr>
            <w:tcW w:w="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4,347</w:t>
            </w:r>
          </w:p>
        </w:tc>
        <w:tc>
          <w:tcPr>
            <w:tcW w:w="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622</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Vehicles and related machinery and equipment</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1,604</w:t>
            </w:r>
          </w:p>
        </w:tc>
        <w:tc>
          <w:tcPr>
            <w:tcW w:w="60" w:type="dxa"/>
            <w:vAlign w:val="bottom"/>
          </w:tcPr>
          <w:p>
            <w:pPr>
              <w:spacing w:after="0"/>
              <w:rPr>
                <w:sz w:val="18"/>
                <w:szCs w:val="18"/>
                <w:color w:val="auto"/>
              </w:rPr>
            </w:pPr>
          </w:p>
        </w:tc>
        <w:tc>
          <w:tcPr>
            <w:tcW w:w="9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1,931</w:t>
            </w:r>
          </w:p>
        </w:tc>
        <w:tc>
          <w:tcPr>
            <w:tcW w:w="4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276</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equipment</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1,138</w:t>
            </w:r>
          </w:p>
        </w:tc>
        <w:tc>
          <w:tcPr>
            <w:tcW w:w="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1,142</w:t>
            </w:r>
          </w:p>
        </w:tc>
        <w:tc>
          <w:tcPr>
            <w:tcW w:w="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163</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549</w:t>
            </w:r>
          </w:p>
        </w:tc>
        <w:tc>
          <w:tcPr>
            <w:tcW w:w="60" w:type="dxa"/>
            <w:vAlign w:val="bottom"/>
          </w:tcPr>
          <w:p>
            <w:pPr>
              <w:spacing w:after="0"/>
              <w:rPr>
                <w:sz w:val="18"/>
                <w:szCs w:val="18"/>
                <w:color w:val="auto"/>
              </w:rPr>
            </w:pPr>
          </w:p>
        </w:tc>
        <w:tc>
          <w:tcPr>
            <w:tcW w:w="9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505</w:t>
            </w:r>
          </w:p>
        </w:tc>
        <w:tc>
          <w:tcPr>
            <w:tcW w:w="4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621</w:t>
            </w:r>
          </w:p>
        </w:tc>
        <w:tc>
          <w:tcPr>
            <w:tcW w:w="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563</w:t>
            </w:r>
          </w:p>
        </w:tc>
        <w:tc>
          <w:tcPr>
            <w:tcW w:w="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81</w:t>
            </w:r>
          </w:p>
        </w:tc>
      </w:tr>
      <w:tr>
        <w:trPr>
          <w:trHeight w:val="223"/>
        </w:trPr>
        <w:tc>
          <w:tcPr>
            <w:tcW w:w="868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69,079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77,385</w:t>
            </w:r>
          </w:p>
        </w:tc>
        <w:tc>
          <w:tcPr>
            <w:tcW w:w="22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11,066</w:t>
            </w:r>
          </w:p>
        </w:tc>
        <w:tc>
          <w:tcPr>
            <w:tcW w:w="12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depreciation and impairment</w:t>
            </w:r>
          </w:p>
        </w:tc>
        <w:tc>
          <w:tcPr>
            <w:tcW w:w="7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(38,977)</w:t>
            </w:r>
          </w:p>
        </w:tc>
        <w:tc>
          <w:tcPr>
            <w:tcW w:w="9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(51,104)</w:t>
            </w:r>
          </w:p>
        </w:tc>
        <w:tc>
          <w:tcPr>
            <w:tcW w:w="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(7,308)</w:t>
            </w:r>
          </w:p>
        </w:tc>
      </w:tr>
      <w:tr>
        <w:trPr>
          <w:trHeight w:val="223"/>
        </w:trPr>
        <w:tc>
          <w:tcPr>
            <w:tcW w:w="868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30,102</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26,281</w:t>
            </w:r>
          </w:p>
        </w:tc>
        <w:tc>
          <w:tcPr>
            <w:tcW w:w="22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3,758</w:t>
            </w:r>
          </w:p>
        </w:tc>
        <w:tc>
          <w:tcPr>
            <w:tcW w:w="120" w:type="dxa"/>
            <w:vAlign w:val="bottom"/>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Depreciation expense for the years ended December 31, 2023, 2024 and 2025, was RMB7.1 billion, RMB6.6 billion and RMB7.4 billion (US$1.1 billion), respectively.</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F-36</w:t>
      </w:r>
    </w:p>
    <w:p>
      <w:pPr>
        <w:sectPr>
          <w:pgSz w:w="11900" w:h="16838" w:orient="portrait"/>
          <w:cols w:equalWidth="0" w:num="1">
            <w:col w:w="11140"/>
          </w:cols>
          <w:pgMar w:left="320" w:top="482" w:right="439" w:bottom="1440" w:gutter="0" w:footer="0" w:header="0"/>
        </w:sectPr>
      </w:pPr>
    </w:p>
    <w:bookmarkStart w:id="261" w:name="page262"/>
    <w:bookmarkEnd w:id="2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43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BAIDU, INC.</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THE YEARS ENDED DECEMBER 31, 2023, 2024 AND 2025</w:t>
      </w:r>
    </w:p>
    <w:p>
      <w:pPr>
        <w:spacing w:after="0" w:line="230" w:lineRule="exact"/>
        <w:rPr>
          <w:sz w:val="20"/>
          <w:szCs w:val="20"/>
          <w:color w:val="auto"/>
        </w:rPr>
      </w:pPr>
    </w:p>
    <w:p>
      <w:pPr>
        <w:ind w:left="540" w:hanging="424"/>
        <w:spacing w:after="0"/>
        <w:tabs>
          <w:tab w:leader="none" w:pos="540" w:val="left"/>
        </w:tabs>
        <w:numPr>
          <w:ilvl w:val="0"/>
          <w:numId w:val="1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INTANGIBLE ASSETS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Group had three reporting units, consisting of Baidu General Business excluding SLG, SLG and iQIYI as of December 31, 2024 and 2025.</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changes in the carrying amount of goodwill for each reporting unit from 2023 to 2025 was as follows:</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40" w:type="dxa"/>
            <w:vAlign w:val="bottom"/>
          </w:tcPr>
          <w:p>
            <w:pPr>
              <w:spacing w:after="0"/>
              <w:rPr>
                <w:sz w:val="13"/>
                <w:szCs w:val="13"/>
                <w:color w:val="auto"/>
              </w:rPr>
            </w:pPr>
          </w:p>
        </w:tc>
        <w:tc>
          <w:tcPr>
            <w:tcW w:w="5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Baidu General</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5"/>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Business</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5"/>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excluding</w:t>
            </w:r>
          </w:p>
        </w:tc>
        <w:tc>
          <w:tcPr>
            <w:tcW w:w="760" w:type="dxa"/>
            <w:vAlign w:val="bottom"/>
            <w:gridSpan w:val="4"/>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SLG</w:t>
            </w:r>
          </w:p>
        </w:tc>
        <w:tc>
          <w:tcPr>
            <w:tcW w:w="4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iQIYI</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40" w:type="dxa"/>
            <w:vAlign w:val="bottom"/>
          </w:tcPr>
          <w:p>
            <w:pPr>
              <w:spacing w:after="0"/>
              <w:rPr>
                <w:sz w:val="15"/>
                <w:szCs w:val="15"/>
                <w:color w:val="auto"/>
              </w:rPr>
            </w:pPr>
          </w:p>
        </w:tc>
        <w:tc>
          <w:tcPr>
            <w:tcW w:w="59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gridSpan w:val="4"/>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9"/>
              </w:rPr>
              <w:t>SLG</w:t>
            </w:r>
          </w:p>
        </w:tc>
        <w:tc>
          <w:tcPr>
            <w:tcW w:w="760" w:type="dxa"/>
            <w:vAlign w:val="bottom"/>
            <w:gridSpan w:val="4"/>
            <w:vMerge w:val="continue"/>
          </w:tcPr>
          <w:p>
            <w:pPr>
              <w:spacing w:after="0"/>
              <w:rPr>
                <w:sz w:val="15"/>
                <w:szCs w:val="15"/>
                <w:color w:val="auto"/>
              </w:rPr>
            </w:pPr>
          </w:p>
        </w:tc>
        <w:tc>
          <w:tcPr>
            <w:tcW w:w="480" w:type="dxa"/>
            <w:vAlign w:val="bottom"/>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center"/>
              <w:ind w:right="129"/>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00" w:type="dxa"/>
            <w:vAlign w:val="bottom"/>
            <w:tcBorders>
              <w:bottom w:val="single" w:sz="8" w:color="auto"/>
            </w:tcBorders>
            <w:gridSpan w:val="2"/>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60" w:type="dxa"/>
            <w:vAlign w:val="bottom"/>
            <w:tcBorders>
              <w:top w:val="single" w:sz="8" w:color="auto"/>
              <w:bottom w:val="single" w:sz="8" w:color="auto"/>
            </w:tcBorders>
            <w:gridSpan w:val="3"/>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300" w:type="dxa"/>
            <w:vAlign w:val="bottom"/>
            <w:tcBorders>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7"/>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36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2023 and 2024</w:t>
            </w:r>
          </w:p>
        </w:tc>
        <w:tc>
          <w:tcPr>
            <w:tcW w:w="88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12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16,988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4"/>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1,777</w:t>
            </w:r>
          </w:p>
        </w:tc>
        <w:tc>
          <w:tcPr>
            <w:tcW w:w="4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3,821</w:t>
            </w:r>
          </w:p>
        </w:tc>
        <w:tc>
          <w:tcPr>
            <w:tcW w:w="84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22,586</w:t>
            </w:r>
          </w:p>
        </w:tc>
        <w:tc>
          <w:tcPr>
            <w:tcW w:w="0" w:type="dxa"/>
            <w:vAlign w:val="bottom"/>
          </w:tcPr>
          <w:p>
            <w:pPr>
              <w:spacing w:after="0"/>
              <w:rPr>
                <w:sz w:val="1"/>
                <w:szCs w:val="1"/>
                <w:color w:val="auto"/>
              </w:rPr>
            </w:pPr>
          </w:p>
        </w:tc>
      </w:tr>
      <w:tr>
        <w:trPr>
          <w:trHeight w:val="230"/>
        </w:trPr>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Goodwill acquired </w:t>
            </w:r>
            <w:r>
              <w:rPr>
                <w:rFonts w:ascii="Times New Roman" w:cs="Times New Roman" w:eastAsia="Times New Roman" w:hAnsi="Times New Roman"/>
                <w:sz w:val="18"/>
                <w:szCs w:val="18"/>
                <w:i w:val="1"/>
                <w:iCs w:val="1"/>
                <w:color w:val="auto"/>
              </w:rPr>
              <w:t>(Note 3)</w:t>
            </w: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14,197</w:t>
            </w:r>
          </w:p>
        </w:tc>
        <w:tc>
          <w:tcPr>
            <w:tcW w:w="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w w:val="96"/>
              </w:rPr>
              <w:t>— </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14,197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36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88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31,185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1,777</w:t>
            </w:r>
          </w:p>
        </w:tc>
        <w:tc>
          <w:tcPr>
            <w:tcW w:w="300" w:type="dxa"/>
            <w:vAlign w:val="bottom"/>
            <w:tcBorders>
              <w:right w:val="single" w:sz="8" w:color="CCEEFF"/>
            </w:tcBorders>
            <w:shd w:val="clear" w:color="auto" w:fill="CCEEFF"/>
          </w:tcPr>
          <w:p>
            <w:pPr>
              <w:spacing w:after="0"/>
              <w:rPr>
                <w:sz w:val="18"/>
                <w:szCs w:val="18"/>
                <w:color w:val="auto"/>
              </w:rPr>
            </w:pPr>
          </w:p>
        </w:tc>
        <w:tc>
          <w:tcPr>
            <w:tcW w:w="4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3,821</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Balance at December 31, 2025, in US$</w:t>
            </w: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60" w:type="dxa"/>
            <w:vAlign w:val="bottom"/>
            <w:gridSpan w:val="2"/>
            <w:vMerge w:val="continue"/>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4,460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300" w:type="dxa"/>
            <w:vAlign w:val="bottom"/>
          </w:tcPr>
          <w:p>
            <w:pPr>
              <w:spacing w:after="0"/>
              <w:rPr>
                <w:sz w:val="18"/>
                <w:szCs w:val="18"/>
                <w:color w:val="auto"/>
              </w:rPr>
            </w:pPr>
          </w:p>
        </w:tc>
        <w:tc>
          <w:tcPr>
            <w:tcW w:w="4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5,260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6360" w:type="dxa"/>
            <w:vAlign w:val="bottom"/>
            <w:gridSpan w:val="2"/>
            <w:vMerge w:val="continue"/>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4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10"/>
          </w:tcPr>
          <w:p>
            <w:pPr>
              <w:jc w:val="center"/>
              <w:ind w:right="248"/>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440" w:type="dxa"/>
            <w:vAlign w:val="bottom"/>
          </w:tcPr>
          <w:p>
            <w:pPr>
              <w:spacing w:after="0"/>
              <w:rPr>
                <w:sz w:val="10"/>
                <w:szCs w:val="10"/>
                <w:color w:val="auto"/>
              </w:rPr>
            </w:pPr>
          </w:p>
        </w:tc>
        <w:tc>
          <w:tcPr>
            <w:tcW w:w="5920" w:type="dxa"/>
            <w:vAlign w:val="bottom"/>
          </w:tcPr>
          <w:p>
            <w:pPr>
              <w:spacing w:after="0"/>
              <w:rPr>
                <w:sz w:val="10"/>
                <w:szCs w:val="10"/>
                <w:color w:val="auto"/>
              </w:rPr>
            </w:pPr>
          </w:p>
        </w:tc>
        <w:tc>
          <w:tcPr>
            <w:tcW w:w="11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gridSpan w:val="4"/>
          </w:tcPr>
          <w:p>
            <w:pPr>
              <w:jc w:val="center"/>
              <w:ind w:left="49"/>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00" w:type="dxa"/>
            <w:vAlign w:val="bottom"/>
            <w:gridSpan w:val="7"/>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20" w:type="dxa"/>
            <w:vAlign w:val="bottom"/>
            <w:gridSpan w:val="8"/>
          </w:tcPr>
          <w:p>
            <w:pPr>
              <w:jc w:val="center"/>
              <w:ind w:right="548"/>
              <w:spacing w:after="0" w:line="149" w:lineRule="exact"/>
              <w:rPr>
                <w:sz w:val="20"/>
                <w:szCs w:val="20"/>
                <w:color w:val="auto"/>
              </w:rPr>
            </w:pPr>
            <w:r>
              <w:rPr>
                <w:rFonts w:ascii="Times New Roman" w:cs="Times New Roman" w:eastAsia="Times New Roman" w:hAnsi="Times New Roman"/>
                <w:sz w:val="14"/>
                <w:szCs w:val="14"/>
                <w:b w:val="1"/>
                <w:bCs w:val="1"/>
                <w:color w:val="auto"/>
              </w:rPr>
              <w:t>amortization and</w:t>
            </w:r>
          </w:p>
        </w:tc>
        <w:tc>
          <w:tcPr>
            <w:tcW w:w="20" w:type="dxa"/>
            <w:vAlign w:val="bottom"/>
          </w:tcPr>
          <w:p>
            <w:pPr>
              <w:spacing w:after="0"/>
              <w:rPr>
                <w:sz w:val="12"/>
                <w:szCs w:val="12"/>
                <w:color w:val="auto"/>
              </w:rPr>
            </w:pPr>
          </w:p>
        </w:tc>
        <w:tc>
          <w:tcPr>
            <w:tcW w:w="1300" w:type="dxa"/>
            <w:vAlign w:val="bottom"/>
            <w:gridSpan w:val="7"/>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40" w:type="dxa"/>
            <w:vAlign w:val="bottom"/>
          </w:tcPr>
          <w:p>
            <w:pPr>
              <w:spacing w:after="0"/>
              <w:rPr>
                <w:sz w:val="15"/>
                <w:szCs w:val="15"/>
                <w:color w:val="auto"/>
              </w:rPr>
            </w:pPr>
          </w:p>
        </w:tc>
        <w:tc>
          <w:tcPr>
            <w:tcW w:w="5920" w:type="dxa"/>
            <w:vAlign w:val="bottom"/>
          </w:tcPr>
          <w:p>
            <w:pPr>
              <w:spacing w:after="0"/>
              <w:rPr>
                <w:sz w:val="15"/>
                <w:szCs w:val="15"/>
                <w:color w:val="auto"/>
              </w:rPr>
            </w:pP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gridSpan w:val="4"/>
          </w:tcPr>
          <w:p>
            <w:pPr>
              <w:jc w:val="center"/>
              <w:ind w:left="49"/>
              <w:spacing w:after="0"/>
              <w:rPr>
                <w:sz w:val="20"/>
                <w:szCs w:val="20"/>
                <w:color w:val="auto"/>
              </w:rPr>
            </w:pPr>
            <w:r>
              <w:rPr>
                <w:rFonts w:ascii="Times New Roman" w:cs="Times New Roman" w:eastAsia="Times New Roman" w:hAnsi="Times New Roman"/>
                <w:sz w:val="14"/>
                <w:szCs w:val="14"/>
                <w:b w:val="1"/>
                <w:bCs w:val="1"/>
                <w:color w:val="auto"/>
              </w:rPr>
              <w:t>impairment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gridSpan w:val="7"/>
          </w:tcPr>
          <w:p>
            <w:pPr>
              <w:ind w:left="2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17"/>
        </w:trPr>
        <w:tc>
          <w:tcPr>
            <w:tcW w:w="440" w:type="dxa"/>
            <w:vAlign w:val="bottom"/>
          </w:tcPr>
          <w:p>
            <w:pPr>
              <w:spacing w:after="0"/>
              <w:rPr>
                <w:sz w:val="10"/>
                <w:szCs w:val="10"/>
                <w:color w:val="auto"/>
              </w:rPr>
            </w:pPr>
          </w:p>
        </w:tc>
        <w:tc>
          <w:tcPr>
            <w:tcW w:w="5920" w:type="dxa"/>
            <w:vAlign w:val="bottom"/>
          </w:tcPr>
          <w:p>
            <w:pPr>
              <w:spacing w:after="0"/>
              <w:rPr>
                <w:sz w:val="10"/>
                <w:szCs w:val="10"/>
                <w:color w:val="auto"/>
              </w:rPr>
            </w:pPr>
          </w:p>
        </w:tc>
        <w:tc>
          <w:tcPr>
            <w:tcW w:w="880" w:type="dxa"/>
            <w:vAlign w:val="bottom"/>
            <w:tcBorders>
              <w:top w:val="single" w:sz="8" w:color="auto"/>
            </w:tcBorders>
          </w:tcPr>
          <w:p>
            <w:pPr>
              <w:jc w:val="right"/>
              <w:ind w:right="177"/>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Borders>
              <w:top w:val="single" w:sz="8" w:color="auto"/>
            </w:tcBorders>
            <w:gridSpan w:val="4"/>
          </w:tcPr>
          <w:p>
            <w:pPr>
              <w:jc w:val="center"/>
              <w:ind w:left="49"/>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12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Borders>
              <w:top w:val="single" w:sz="8" w:color="auto"/>
            </w:tcBorders>
            <w:gridSpan w:val="4"/>
          </w:tcPr>
          <w:p>
            <w:pPr>
              <w:ind w:left="240"/>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50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40" w:type="dxa"/>
            <w:vAlign w:val="bottom"/>
          </w:tcPr>
          <w:p>
            <w:pPr>
              <w:spacing w:after="0"/>
              <w:rPr>
                <w:sz w:val="15"/>
                <w:szCs w:val="15"/>
                <w:color w:val="auto"/>
              </w:rPr>
            </w:pPr>
          </w:p>
        </w:tc>
        <w:tc>
          <w:tcPr>
            <w:tcW w:w="59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9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Trademarks</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966</w:t>
            </w:r>
          </w:p>
        </w:tc>
        <w:tc>
          <w:tcPr>
            <w:tcW w:w="1760" w:type="dxa"/>
            <w:vAlign w:val="bottom"/>
            <w:gridSpan w:val="8"/>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(683)</w:t>
            </w:r>
          </w:p>
        </w:tc>
        <w:tc>
          <w:tcPr>
            <w:tcW w:w="16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Technology</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1,062</w:t>
            </w:r>
          </w:p>
        </w:tc>
        <w:tc>
          <w:tcPr>
            <w:tcW w:w="1760" w:type="dxa"/>
            <w:vAlign w:val="bottom"/>
            <w:gridSpan w:val="8"/>
          </w:tcPr>
          <w:p>
            <w:pPr>
              <w:jc w:val="right"/>
              <w:ind w:right="30"/>
              <w:spacing w:after="0"/>
              <w:rPr>
                <w:sz w:val="20"/>
                <w:szCs w:val="20"/>
                <w:color w:val="auto"/>
              </w:rPr>
            </w:pPr>
            <w:r>
              <w:rPr>
                <w:rFonts w:ascii="Times New Roman" w:cs="Times New Roman" w:eastAsia="Times New Roman" w:hAnsi="Times New Roman"/>
                <w:sz w:val="18"/>
                <w:szCs w:val="18"/>
                <w:color w:val="auto"/>
              </w:rPr>
              <w:t>(990)</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9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Intellectual property right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1,572</w:t>
            </w:r>
          </w:p>
        </w:tc>
        <w:tc>
          <w:tcPr>
            <w:tcW w:w="1760" w:type="dxa"/>
            <w:vAlign w:val="bottom"/>
            <w:gridSpan w:val="8"/>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(1,294)</w:t>
            </w:r>
          </w:p>
        </w:tc>
        <w:tc>
          <w:tcPr>
            <w:tcW w:w="16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489</w:t>
            </w:r>
          </w:p>
        </w:tc>
        <w:tc>
          <w:tcPr>
            <w:tcW w:w="1760" w:type="dxa"/>
            <w:vAlign w:val="bottom"/>
            <w:gridSpan w:val="8"/>
          </w:tcPr>
          <w:p>
            <w:pPr>
              <w:jc w:val="right"/>
              <w:ind w:right="30"/>
              <w:spacing w:after="0"/>
              <w:rPr>
                <w:sz w:val="20"/>
                <w:szCs w:val="20"/>
                <w:color w:val="auto"/>
              </w:rPr>
            </w:pPr>
            <w:r>
              <w:rPr>
                <w:rFonts w:ascii="Times New Roman" w:cs="Times New Roman" w:eastAsia="Times New Roman" w:hAnsi="Times New Roman"/>
                <w:sz w:val="18"/>
                <w:szCs w:val="18"/>
                <w:color w:val="auto"/>
              </w:rPr>
              <w:t>(350)</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59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Borders>
              <w:lef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tcPr>
          <w:p>
            <w:pPr>
              <w:spacing w:after="0"/>
              <w:rPr>
                <w:sz w:val="18"/>
                <w:szCs w:val="18"/>
                <w:color w:val="auto"/>
              </w:rPr>
            </w:pPr>
          </w:p>
        </w:tc>
        <w:tc>
          <w:tcPr>
            <w:tcW w:w="5920" w:type="dxa"/>
            <w:vAlign w:val="bottom"/>
            <w:tcBorders>
              <w:right w:val="single" w:sz="8" w:color="CCEEFF"/>
            </w:tcBorders>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4,089</w:t>
            </w:r>
          </w:p>
        </w:tc>
        <w:tc>
          <w:tcPr>
            <w:tcW w:w="1760" w:type="dxa"/>
            <w:vAlign w:val="bottom"/>
            <w:gridSpan w:val="8"/>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(3,317)</w:t>
            </w:r>
          </w:p>
        </w:tc>
        <w:tc>
          <w:tcPr>
            <w:tcW w:w="16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gridSpan w:val="3"/>
          </w:tcPr>
          <w:p>
            <w:pPr>
              <w:spacing w:after="0" w:line="20" w:lineRule="exact"/>
              <w:rPr>
                <w:sz w:val="1"/>
                <w:szCs w:val="1"/>
                <w:color w:val="auto"/>
              </w:rPr>
            </w:pPr>
          </w:p>
        </w:tc>
        <w:tc>
          <w:tcPr>
            <w:tcW w:w="28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44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10"/>
          </w:tcPr>
          <w:p>
            <w:pPr>
              <w:jc w:val="center"/>
              <w:ind w:right="288"/>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440" w:type="dxa"/>
            <w:vAlign w:val="bottom"/>
          </w:tcPr>
          <w:p>
            <w:pPr>
              <w:spacing w:after="0"/>
              <w:rPr>
                <w:sz w:val="10"/>
                <w:szCs w:val="10"/>
                <w:color w:val="auto"/>
              </w:rPr>
            </w:pPr>
          </w:p>
        </w:tc>
        <w:tc>
          <w:tcPr>
            <w:tcW w:w="5920" w:type="dxa"/>
            <w:vAlign w:val="bottom"/>
          </w:tcPr>
          <w:p>
            <w:pPr>
              <w:spacing w:after="0"/>
              <w:rPr>
                <w:sz w:val="10"/>
                <w:szCs w:val="10"/>
                <w:color w:val="auto"/>
              </w:rPr>
            </w:pPr>
          </w:p>
        </w:tc>
        <w:tc>
          <w:tcPr>
            <w:tcW w:w="11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5"/>
              </w:rPr>
              <w:t>Gross carrying</w:t>
            </w:r>
          </w:p>
        </w:tc>
        <w:tc>
          <w:tcPr>
            <w:tcW w:w="300" w:type="dxa"/>
            <w:vAlign w:val="bottom"/>
          </w:tcPr>
          <w:p>
            <w:pPr>
              <w:spacing w:after="0"/>
              <w:rPr>
                <w:sz w:val="10"/>
                <w:szCs w:val="10"/>
                <w:color w:val="auto"/>
              </w:rPr>
            </w:pPr>
          </w:p>
        </w:tc>
        <w:tc>
          <w:tcPr>
            <w:tcW w:w="1160" w:type="dxa"/>
            <w:vAlign w:val="bottom"/>
            <w:gridSpan w:val="5"/>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20" w:type="dxa"/>
            <w:vAlign w:val="bottom"/>
            <w:gridSpan w:val="9"/>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5"/>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amortization and</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gridSpan w:val="9"/>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40" w:type="dxa"/>
            <w:vAlign w:val="bottom"/>
          </w:tcPr>
          <w:p>
            <w:pPr>
              <w:spacing w:after="0"/>
              <w:rPr>
                <w:sz w:val="15"/>
                <w:szCs w:val="15"/>
                <w:color w:val="auto"/>
              </w:rPr>
            </w:pPr>
          </w:p>
        </w:tc>
        <w:tc>
          <w:tcPr>
            <w:tcW w:w="5920" w:type="dxa"/>
            <w:vAlign w:val="bottom"/>
          </w:tcPr>
          <w:p>
            <w:pPr>
              <w:spacing w:after="0"/>
              <w:rPr>
                <w:sz w:val="15"/>
                <w:szCs w:val="15"/>
                <w:color w:val="auto"/>
              </w:rPr>
            </w:pPr>
          </w:p>
        </w:tc>
        <w:tc>
          <w:tcPr>
            <w:tcW w:w="112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300" w:type="dxa"/>
            <w:vAlign w:val="bottom"/>
          </w:tcPr>
          <w:p>
            <w:pPr>
              <w:spacing w:after="0"/>
              <w:rPr>
                <w:sz w:val="15"/>
                <w:szCs w:val="15"/>
                <w:color w:val="auto"/>
              </w:rPr>
            </w:pPr>
          </w:p>
        </w:tc>
        <w:tc>
          <w:tcPr>
            <w:tcW w:w="116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impairment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440" w:type="dxa"/>
            <w:vAlign w:val="bottom"/>
          </w:tcPr>
          <w:p>
            <w:pPr>
              <w:spacing w:after="0"/>
              <w:rPr>
                <w:sz w:val="11"/>
                <w:szCs w:val="11"/>
                <w:color w:val="auto"/>
              </w:rPr>
            </w:pPr>
          </w:p>
        </w:tc>
        <w:tc>
          <w:tcPr>
            <w:tcW w:w="5920" w:type="dxa"/>
            <w:vAlign w:val="bottom"/>
          </w:tcPr>
          <w:p>
            <w:pPr>
              <w:spacing w:after="0"/>
              <w:rPr>
                <w:sz w:val="11"/>
                <w:szCs w:val="11"/>
                <w:color w:val="auto"/>
              </w:rPr>
            </w:pPr>
          </w:p>
        </w:tc>
        <w:tc>
          <w:tcPr>
            <w:tcW w:w="880" w:type="dxa"/>
            <w:vAlign w:val="bottom"/>
            <w:tcBorders>
              <w:top w:val="single" w:sz="8" w:color="auto"/>
            </w:tcBorders>
          </w:tcPr>
          <w:p>
            <w:pPr>
              <w:jc w:val="right"/>
              <w:ind w:right="217"/>
              <w:spacing w:after="0" w:line="131" w:lineRule="exact"/>
              <w:rPr>
                <w:sz w:val="20"/>
                <w:szCs w:val="20"/>
                <w:color w:val="auto"/>
              </w:rPr>
            </w:pPr>
            <w:r>
              <w:rPr>
                <w:rFonts w:ascii="Times New Roman" w:cs="Times New Roman" w:eastAsia="Times New Roman" w:hAnsi="Times New Roman"/>
                <w:sz w:val="14"/>
                <w:szCs w:val="14"/>
                <w:b w:val="1"/>
                <w:bCs w:val="1"/>
                <w:color w:val="auto"/>
              </w:rPr>
              <w:t>RMB</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3"/>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Borders>
              <w:top w:val="single" w:sz="8" w:color="auto"/>
            </w:tcBorders>
            <w:gridSpan w:val="2"/>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RMB</w:t>
            </w:r>
          </w:p>
        </w:tc>
        <w:tc>
          <w:tcPr>
            <w:tcW w:w="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gridSpan w:val="2"/>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US$</w:t>
            </w:r>
          </w:p>
        </w:tc>
        <w:tc>
          <w:tcPr>
            <w:tcW w:w="500" w:type="dxa"/>
            <w:vAlign w:val="bottom"/>
            <w:gridSpan w:val="3"/>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40" w:type="dxa"/>
            <w:vAlign w:val="bottom"/>
          </w:tcPr>
          <w:p>
            <w:pPr>
              <w:spacing w:after="0"/>
              <w:rPr>
                <w:sz w:val="15"/>
                <w:szCs w:val="15"/>
                <w:color w:val="auto"/>
              </w:rPr>
            </w:pPr>
          </w:p>
        </w:tc>
        <w:tc>
          <w:tcPr>
            <w:tcW w:w="59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9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Trademarks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w:t>
            </w:r>
          </w:p>
        </w:tc>
        <w:tc>
          <w:tcPr>
            <w:tcW w:w="240" w:type="dxa"/>
            <w:vAlign w:val="bottom"/>
            <w:tcBorders>
              <w:left w:val="single" w:sz="8" w:color="CCEEFF"/>
            </w:tcBorders>
            <w:shd w:val="clear" w:color="auto" w:fill="CCEEFF"/>
          </w:tcPr>
          <w:p>
            <w:pPr>
              <w:spacing w:after="0"/>
              <w:rPr>
                <w:sz w:val="18"/>
                <w:szCs w:val="18"/>
                <w:color w:val="auto"/>
              </w:rPr>
            </w:pPr>
          </w:p>
        </w:tc>
        <w:tc>
          <w:tcPr>
            <w:tcW w:w="1460" w:type="dxa"/>
            <w:vAlign w:val="bottom"/>
            <w:gridSpan w:val="6"/>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(902)</w:t>
            </w:r>
          </w:p>
        </w:tc>
        <w:tc>
          <w:tcPr>
            <w:tcW w:w="76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Technology and software</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4,574</w:t>
            </w:r>
          </w:p>
        </w:tc>
        <w:tc>
          <w:tcPr>
            <w:tcW w:w="240" w:type="dxa"/>
            <w:vAlign w:val="bottom"/>
          </w:tcPr>
          <w:p>
            <w:pPr>
              <w:spacing w:after="0"/>
              <w:rPr>
                <w:sz w:val="18"/>
                <w:szCs w:val="18"/>
                <w:color w:val="auto"/>
              </w:rPr>
            </w:pPr>
          </w:p>
        </w:tc>
        <w:tc>
          <w:tcPr>
            <w:tcW w:w="1460" w:type="dxa"/>
            <w:vAlign w:val="bottom"/>
            <w:gridSpan w:val="6"/>
          </w:tcPr>
          <w:p>
            <w:pPr>
              <w:jc w:val="right"/>
              <w:ind w:right="100"/>
              <w:spacing w:after="0"/>
              <w:rPr>
                <w:sz w:val="20"/>
                <w:szCs w:val="20"/>
                <w:color w:val="auto"/>
              </w:rPr>
            </w:pPr>
            <w:r>
              <w:rPr>
                <w:rFonts w:ascii="Times New Roman" w:cs="Times New Roman" w:eastAsia="Times New Roman" w:hAnsi="Times New Roman"/>
                <w:sz w:val="18"/>
                <w:szCs w:val="18"/>
                <w:color w:val="auto"/>
              </w:rPr>
              <w:t>(1,770)</w:t>
            </w: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2,804</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9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Intellectual property right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w:t>
            </w:r>
          </w:p>
        </w:tc>
        <w:tc>
          <w:tcPr>
            <w:tcW w:w="240" w:type="dxa"/>
            <w:vAlign w:val="bottom"/>
            <w:tcBorders>
              <w:left w:val="single" w:sz="8" w:color="CCEEFF"/>
            </w:tcBorders>
            <w:shd w:val="clear" w:color="auto" w:fill="CCEEFF"/>
          </w:tcPr>
          <w:p>
            <w:pPr>
              <w:spacing w:after="0"/>
              <w:rPr>
                <w:sz w:val="18"/>
                <w:szCs w:val="18"/>
                <w:color w:val="auto"/>
              </w:rPr>
            </w:pPr>
          </w:p>
        </w:tc>
        <w:tc>
          <w:tcPr>
            <w:tcW w:w="1460" w:type="dxa"/>
            <w:vAlign w:val="bottom"/>
            <w:gridSpan w:val="6"/>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(1,281)</w:t>
            </w:r>
          </w:p>
        </w:tc>
        <w:tc>
          <w:tcPr>
            <w:tcW w:w="76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240" w:type="dxa"/>
            <w:vAlign w:val="bottom"/>
          </w:tcPr>
          <w:p>
            <w:pPr>
              <w:spacing w:after="0"/>
              <w:rPr>
                <w:sz w:val="18"/>
                <w:szCs w:val="18"/>
                <w:color w:val="auto"/>
              </w:rPr>
            </w:pPr>
          </w:p>
        </w:tc>
        <w:tc>
          <w:tcPr>
            <w:tcW w:w="1460" w:type="dxa"/>
            <w:vAlign w:val="bottom"/>
            <w:gridSpan w:val="6"/>
          </w:tcPr>
          <w:p>
            <w:pPr>
              <w:jc w:val="right"/>
              <w:ind w:right="100"/>
              <w:spacing w:after="0"/>
              <w:rPr>
                <w:sz w:val="20"/>
                <w:szCs w:val="20"/>
                <w:color w:val="auto"/>
              </w:rPr>
            </w:pPr>
            <w:r>
              <w:rPr>
                <w:rFonts w:ascii="Times New Roman" w:cs="Times New Roman" w:eastAsia="Times New Roman" w:hAnsi="Times New Roman"/>
                <w:sz w:val="18"/>
                <w:szCs w:val="18"/>
                <w:color w:val="auto"/>
              </w:rPr>
              <w:t>(201)</w:t>
            </w: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5920" w:type="dxa"/>
            <w:vAlign w:val="bottom"/>
            <w:tcBorders>
              <w:right w:val="single" w:sz="8" w:color="auto"/>
            </w:tcBorders>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00" w:type="dxa"/>
            <w:vAlign w:val="bottom"/>
            <w:tcBorders>
              <w:right w:val="single" w:sz="8" w:color="auto"/>
            </w:tcBorders>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tcPr>
          <w:p>
            <w:pPr>
              <w:spacing w:after="0"/>
              <w:rPr>
                <w:sz w:val="18"/>
                <w:szCs w:val="18"/>
                <w:color w:val="auto"/>
              </w:rPr>
            </w:pPr>
          </w:p>
        </w:tc>
        <w:tc>
          <w:tcPr>
            <w:tcW w:w="5920" w:type="dxa"/>
            <w:vAlign w:val="bottom"/>
            <w:tcBorders>
              <w:right w:val="single" w:sz="8" w:color="CCEEFF"/>
            </w:tcBorders>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8,045</w:t>
            </w:r>
          </w:p>
        </w:tc>
        <w:tc>
          <w:tcPr>
            <w:tcW w:w="240" w:type="dxa"/>
            <w:vAlign w:val="bottom"/>
            <w:tcBorders>
              <w:left w:val="single" w:sz="8" w:color="CCEEFF"/>
            </w:tcBorders>
            <w:shd w:val="clear" w:color="auto" w:fill="CCEEFF"/>
          </w:tcPr>
          <w:p>
            <w:pPr>
              <w:spacing w:after="0"/>
              <w:rPr>
                <w:sz w:val="18"/>
                <w:szCs w:val="18"/>
                <w:color w:val="auto"/>
              </w:rPr>
            </w:pPr>
          </w:p>
        </w:tc>
        <w:tc>
          <w:tcPr>
            <w:tcW w:w="1460" w:type="dxa"/>
            <w:vAlign w:val="bottom"/>
            <w:gridSpan w:val="6"/>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(4,154)</w:t>
            </w:r>
          </w:p>
        </w:tc>
        <w:tc>
          <w:tcPr>
            <w:tcW w:w="76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3,891</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Amortization expense of intangible assets were RMB403 million, RMB295 million and RMB519 million (US$74 million), for the years ended December 31, 2023, 2024 and 2025, respectively.</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Estimated amortization expense relating to the existing intangible assets with finite lives for each of the next five years is as follow:</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328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4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RMB</w:t>
            </w:r>
          </w:p>
        </w:tc>
        <w:tc>
          <w:tcPr>
            <w:tcW w:w="300" w:type="dxa"/>
            <w:vAlign w:val="bottom"/>
          </w:tcPr>
          <w:p>
            <w:pPr>
              <w:spacing w:after="0"/>
              <w:rPr>
                <w:sz w:val="15"/>
                <w:szCs w:val="15"/>
                <w:color w:val="auto"/>
              </w:rPr>
            </w:pPr>
          </w:p>
        </w:tc>
        <w:tc>
          <w:tcPr>
            <w:tcW w:w="3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US$</w:t>
            </w:r>
          </w:p>
        </w:tc>
        <w:tc>
          <w:tcPr>
            <w:tcW w:w="60" w:type="dxa"/>
            <w:vAlign w:val="bottom"/>
          </w:tcPr>
          <w:p>
            <w:pPr>
              <w:spacing w:after="0"/>
              <w:rPr>
                <w:sz w:val="15"/>
                <w:szCs w:val="15"/>
                <w:color w:val="auto"/>
              </w:rPr>
            </w:pPr>
          </w:p>
        </w:tc>
      </w:tr>
      <w:tr>
        <w:trPr>
          <w:trHeight w:val="156"/>
        </w:trPr>
        <w:tc>
          <w:tcPr>
            <w:tcW w:w="328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1120" w:type="dxa"/>
            <w:vAlign w:val="bottom"/>
            <w:gridSpan w:val="3"/>
          </w:tcPr>
          <w:p>
            <w:pPr>
              <w:ind w:left="180"/>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60" w:type="dxa"/>
            <w:vAlign w:val="bottom"/>
          </w:tcPr>
          <w:p>
            <w:pPr>
              <w:spacing w:after="0"/>
              <w:rPr>
                <w:sz w:val="13"/>
                <w:szCs w:val="13"/>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 the years ending December 31,</w:t>
            </w:r>
          </w:p>
        </w:tc>
        <w:tc>
          <w:tcPr>
            <w:tcW w:w="3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46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1,710</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245</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46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1,499</w:t>
            </w:r>
          </w:p>
        </w:tc>
        <w:tc>
          <w:tcPr>
            <w:tcW w:w="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214</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46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243</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46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206</w:t>
            </w:r>
          </w:p>
        </w:tc>
        <w:tc>
          <w:tcPr>
            <w:tcW w:w="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w:t>
            </w:r>
          </w:p>
        </w:tc>
      </w:tr>
      <w:tr>
        <w:trPr>
          <w:trHeight w:val="234"/>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2030</w:t>
            </w:r>
          </w:p>
        </w:tc>
        <w:tc>
          <w:tcPr>
            <w:tcW w:w="46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150</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w:t>
            </w:r>
          </w:p>
        </w:tc>
      </w:tr>
      <w:tr>
        <w:trPr>
          <w:trHeight w:val="346"/>
        </w:trPr>
        <w:tc>
          <w:tcPr>
            <w:tcW w:w="3280" w:type="dxa"/>
            <w:vAlign w:val="bottom"/>
          </w:tcPr>
          <w:p>
            <w:pPr>
              <w:spacing w:after="0"/>
              <w:rPr>
                <w:sz w:val="24"/>
                <w:szCs w:val="24"/>
                <w:color w:val="auto"/>
              </w:rPr>
            </w:pPr>
          </w:p>
        </w:tc>
        <w:tc>
          <w:tcPr>
            <w:tcW w:w="468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F-37</w:t>
            </w: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262" w:name="page263"/>
    <w:bookmarkEnd w:id="2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43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BAIDU, INC.</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THE YEARS ENDED DECEMBER 31, 2023, 2024 AND 2025</w:t>
      </w:r>
    </w:p>
    <w:p>
      <w:pPr>
        <w:spacing w:after="0" w:line="230" w:lineRule="exact"/>
        <w:rPr>
          <w:sz w:val="20"/>
          <w:szCs w:val="20"/>
          <w:color w:val="auto"/>
        </w:rPr>
      </w:pPr>
    </w:p>
    <w:p>
      <w:pPr>
        <w:ind w:left="540" w:hanging="424"/>
        <w:spacing w:after="0"/>
        <w:tabs>
          <w:tab w:leader="none" w:pos="540" w:val="left"/>
        </w:tabs>
        <w:numPr>
          <w:ilvl w:val="0"/>
          <w:numId w:val="1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ACCOUNTS PAYABLE AND ACCRUED LIABILITIES</w:t>
      </w:r>
    </w:p>
    <w:p>
      <w:pPr>
        <w:spacing w:after="0" w:line="250"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1840" w:type="dxa"/>
            <w:vAlign w:val="bottom"/>
            <w:tcBorders>
              <w:bottom w:val="single" w:sz="8" w:color="auto"/>
            </w:tcBorders>
            <w:gridSpan w:val="4"/>
          </w:tcPr>
          <w:p>
            <w:pPr>
              <w:jc w:val="center"/>
              <w:ind w:left="414"/>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5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6820" w:type="dxa"/>
            <w:vAlign w:val="bottom"/>
          </w:tcPr>
          <w:p>
            <w:pPr>
              <w:spacing w:after="0"/>
              <w:rPr>
                <w:sz w:val="12"/>
                <w:szCs w:val="12"/>
                <w:color w:val="auto"/>
              </w:rPr>
            </w:pPr>
          </w:p>
        </w:tc>
        <w:tc>
          <w:tcPr>
            <w:tcW w:w="600" w:type="dxa"/>
            <w:vAlign w:val="bottom"/>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900" w:type="dxa"/>
            <w:vAlign w:val="bottom"/>
            <w:gridSpan w:val="2"/>
          </w:tcPr>
          <w:p>
            <w:pPr>
              <w:jc w:val="right"/>
              <w:ind w:right="6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Pr>
          <w:p>
            <w:pPr>
              <w:spacing w:after="0"/>
              <w:rPr>
                <w:sz w:val="12"/>
                <w:szCs w:val="12"/>
                <w:color w:val="auto"/>
              </w:rPr>
            </w:pPr>
          </w:p>
        </w:tc>
        <w:tc>
          <w:tcPr>
            <w:tcW w:w="500" w:type="dxa"/>
            <w:vAlign w:val="bottom"/>
          </w:tcPr>
          <w:p>
            <w:pPr>
              <w:jc w:val="right"/>
              <w:ind w:right="3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r>
      <w:tr>
        <w:trPr>
          <w:trHeight w:val="117"/>
        </w:trPr>
        <w:tc>
          <w:tcPr>
            <w:tcW w:w="2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600" w:type="dxa"/>
            <w:vAlign w:val="bottom"/>
            <w:tcBorders>
              <w:top w:val="single" w:sz="8" w:color="auto"/>
            </w:tcBorders>
          </w:tcPr>
          <w:p>
            <w:pPr>
              <w:jc w:val="right"/>
              <w:ind w:right="54"/>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320" w:type="dxa"/>
            <w:vAlign w:val="bottom"/>
          </w:tcPr>
          <w:p>
            <w:pPr>
              <w:spacing w:after="0"/>
              <w:rPr>
                <w:sz w:val="10"/>
                <w:szCs w:val="10"/>
                <w:color w:val="auto"/>
              </w:rPr>
            </w:pPr>
          </w:p>
        </w:tc>
        <w:tc>
          <w:tcPr>
            <w:tcW w:w="580" w:type="dxa"/>
            <w:vAlign w:val="bottom"/>
            <w:tcBorders>
              <w:top w:val="single" w:sz="8" w:color="auto"/>
            </w:tcBorders>
          </w:tcPr>
          <w:p>
            <w:pPr>
              <w:jc w:val="right"/>
              <w:ind w:right="42"/>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340" w:type="dxa"/>
            <w:vAlign w:val="bottom"/>
          </w:tcPr>
          <w:p>
            <w:pPr>
              <w:spacing w:after="0"/>
              <w:rPr>
                <w:sz w:val="10"/>
                <w:szCs w:val="10"/>
                <w:color w:val="auto"/>
              </w:rPr>
            </w:pPr>
          </w:p>
        </w:tc>
        <w:tc>
          <w:tcPr>
            <w:tcW w:w="500" w:type="dxa"/>
            <w:vAlign w:val="bottom"/>
            <w:tcBorders>
              <w:top w:val="single" w:sz="8" w:color="auto"/>
            </w:tcBorders>
          </w:tcPr>
          <w:p>
            <w:pPr>
              <w:jc w:val="right"/>
              <w:ind w:right="33"/>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c>
          <w:tcPr>
            <w:tcW w:w="80" w:type="dxa"/>
            <w:vAlign w:val="bottom"/>
          </w:tcPr>
          <w:p>
            <w:pPr>
              <w:spacing w:after="0"/>
              <w:rPr>
                <w:sz w:val="10"/>
                <w:szCs w:val="10"/>
                <w:color w:val="auto"/>
              </w:rPr>
            </w:pPr>
          </w:p>
        </w:tc>
      </w:tr>
      <w:tr>
        <w:trPr>
          <w:trHeight w:val="173"/>
        </w:trPr>
        <w:tc>
          <w:tcPr>
            <w:tcW w:w="2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operating expenses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8,747</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8,962</w:t>
            </w: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Content acquisition costs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6,771</w:t>
            </w:r>
          </w:p>
        </w:tc>
        <w:tc>
          <w:tcPr>
            <w:tcW w:w="3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payroll and welfare</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3,703</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3,918</w:t>
            </w: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Bandwidth costs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2,548</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3,701</w:t>
            </w:r>
          </w:p>
        </w:tc>
        <w:tc>
          <w:tcPr>
            <w:tcW w:w="3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Traffic acquisition costs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3,301</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2,934</w:t>
            </w: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Tax payable</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3,527</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2,627</w:t>
            </w:r>
          </w:p>
        </w:tc>
        <w:tc>
          <w:tcPr>
            <w:tcW w:w="3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Accruals for purchases of fixed assets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2,395</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2,420</w:t>
            </w: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Payables for purchasing inventory</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3,553</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1,482</w:t>
            </w:r>
          </w:p>
        </w:tc>
        <w:tc>
          <w:tcPr>
            <w:tcW w:w="3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Payable for investments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5,569</w:t>
            </w:r>
          </w:p>
        </w:tc>
        <w:tc>
          <w:tcPr>
            <w:tcW w:w="3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6,058</w:t>
            </w:r>
          </w:p>
        </w:tc>
        <w:tc>
          <w:tcPr>
            <w:tcW w:w="34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accounts payable and accrued liabilities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41,443</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38,891</w:t>
            </w: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5,561</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56"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13.</w:t>
        <w:tab/>
        <w:t>LOANS PAYABLE</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Short-term Loans</w:t>
      </w:r>
    </w:p>
    <w:p>
      <w:pPr>
        <w:spacing w:after="0" w:line="121"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Short-term loans primarily consisted of RMB denominated borrowing from financial institutions in Chinese mainland that were repayable within one year.</w:t>
      </w:r>
    </w:p>
    <w:p>
      <w:pPr>
        <w:spacing w:after="0" w:line="162"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As of December 31, 2024 and 2025, the Group factored certain notes receivables, which mainly comprised of intercompany notes, for cash proceeds. These notes receivable factoring transactions did not qualify as a sale of financial assets under ASC 860 as these notes receivables were transferred with recourse. The factoring transactions were accounted for as secured borrowings and were included in “Short-term loans”. The factored intercompany notes receivables were RMB6.7 billion and RMB5.0 billion (US$711 million) as of December 31, 2024 and 2025, respectively.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Structured Payable Arrangements</w:t>
      </w:r>
    </w:p>
    <w:p>
      <w:pPr>
        <w:spacing w:after="0" w:line="121" w:lineRule="exact"/>
        <w:rPr>
          <w:sz w:val="20"/>
          <w:szCs w:val="20"/>
          <w:color w:val="auto"/>
        </w:rPr>
      </w:pPr>
    </w:p>
    <w:p>
      <w:pPr>
        <w:jc w:val="both"/>
        <w:ind w:left="120"/>
        <w:spacing w:after="0" w:line="258" w:lineRule="auto"/>
        <w:rPr>
          <w:sz w:val="20"/>
          <w:szCs w:val="20"/>
          <w:color w:val="auto"/>
        </w:rPr>
      </w:pPr>
      <w:r>
        <w:rPr>
          <w:rFonts w:ascii="Times New Roman" w:cs="Times New Roman" w:eastAsia="Times New Roman" w:hAnsi="Times New Roman"/>
          <w:sz w:val="18"/>
          <w:szCs w:val="18"/>
          <w:color w:val="auto"/>
        </w:rPr>
        <w:t>In 2023, 2024 and 2025, iQIYI entered into structured payable arrangements with banks or other financial institutions (“factoring arrangements”). Under the factoring arrangements, the suppliers’ receivables collection process was accelerated through selling its receivables from iQIYI to the banks or other financial institutions at a discount. For the years ended December 31, 2023, 2024 and 2025, iQIYI was legally obligated to pay the banks or other financial institutions in the amount totaling RMB1.8 billion, RMB1.1 billion and RMB812 million (US$116 million), respectively, which will mature within one year.</w:t>
      </w:r>
    </w:p>
    <w:p>
      <w:pPr>
        <w:spacing w:after="0" w:line="183" w:lineRule="exact"/>
        <w:rPr>
          <w:sz w:val="20"/>
          <w:szCs w:val="20"/>
          <w:color w:val="auto"/>
        </w:rPr>
      </w:pPr>
    </w:p>
    <w:p>
      <w:pPr>
        <w:jc w:val="both"/>
        <w:ind w:left="120"/>
        <w:spacing w:after="0" w:line="256" w:lineRule="auto"/>
        <w:rPr>
          <w:sz w:val="20"/>
          <w:szCs w:val="20"/>
          <w:color w:val="auto"/>
        </w:rPr>
      </w:pPr>
      <w:r>
        <w:rPr>
          <w:rFonts w:ascii="Times New Roman" w:cs="Times New Roman" w:eastAsia="Times New Roman" w:hAnsi="Times New Roman"/>
          <w:sz w:val="18"/>
          <w:szCs w:val="18"/>
          <w:color w:val="auto"/>
        </w:rPr>
        <w:t>As a result of the factoring arrangements, the payment terms of the iQIYI’s original accounts payable were substantially modified and considered extinguished as the nature of the original liability has changed from accounts payable to loan borrowings from banks or other financial institutions. The proceeds from borrowings from banks or other financial institutions is a financing activity and is reported as “Proceeds from short-term loans” in the consolidated statements of cash flows. As of December 31, 2024 and 2025, the outstanding borrowings from the factoring arrangements were RMB718 million and RMB693 million (US$99 million), respectively, which are repayable within one year and are included in “Short-term loans” on the consolidated balance sheets.</w:t>
      </w:r>
    </w:p>
    <w:p>
      <w:pPr>
        <w:spacing w:after="0" w:line="187"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As of December 31, 2024 and 2025, the weighted average interest rates for the outstanding borrowings were approximately 1.79% and 1.31% respectively, and the aggregate amounts of unused lines of credit for short-term loans were RMB17.2 billion and RMB17.8 billion (US$2.2 billion), respectively.</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F-38</w:t>
      </w:r>
    </w:p>
    <w:p>
      <w:pPr>
        <w:sectPr>
          <w:pgSz w:w="11900" w:h="16838" w:orient="portrait"/>
          <w:cols w:equalWidth="0" w:num="1">
            <w:col w:w="11140"/>
          </w:cols>
          <w:pgMar w:left="320" w:top="482" w:right="439" w:bottom="1440" w:gutter="0" w:footer="0" w:header="0"/>
        </w:sectPr>
      </w:pPr>
    </w:p>
    <w:bookmarkStart w:id="263" w:name="page264"/>
    <w:bookmarkEnd w:id="2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43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BAIDU, INC.</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THE YEARS ENDED DECEMBER 31, 2023, 2024 AND 2025</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Long-term Loans</w:t>
      </w:r>
    </w:p>
    <w:p>
      <w:pPr>
        <w:spacing w:after="0" w:line="121" w:lineRule="exact"/>
        <w:rPr>
          <w:sz w:val="20"/>
          <w:szCs w:val="20"/>
          <w:color w:val="auto"/>
        </w:rPr>
      </w:pPr>
    </w:p>
    <w:p>
      <w:pPr>
        <w:jc w:val="both"/>
        <w:ind w:left="120"/>
        <w:spacing w:after="0" w:line="254" w:lineRule="auto"/>
        <w:rPr>
          <w:sz w:val="20"/>
          <w:szCs w:val="20"/>
          <w:color w:val="auto"/>
        </w:rPr>
      </w:pPr>
      <w:r>
        <w:rPr>
          <w:rFonts w:ascii="Times New Roman" w:cs="Times New Roman" w:eastAsia="Times New Roman" w:hAnsi="Times New Roman"/>
          <w:sz w:val="18"/>
          <w:szCs w:val="18"/>
          <w:color w:val="auto"/>
        </w:rPr>
        <w:t>In April 2021, the Company entered into a five-year US$3.0 billion term and revolving facilities agreement with a group of 22 arrangers. The facilities consist of a US$1.5 billion five-year bullet maturity term loan and a US$1.5 billion five-year revolving facility. The facility was priced at 85 basis points over LIBOR and is intended for the general corporate purposes. In June 2021, the Company drew down US$1.5 billion term loan and US$500 million revolving loan under the facility commitment. In June 2023, the facilities were modified and priced at 93 basis points over SOFR (secured overnight financing rate). In connection with the drawdowns and the modification, the Company entered into and restructured the two interest rate swap agreements, pursuant to which each of the loans would be settled with a fixed annual interest rate of 1.71%, during the respective term of the loans. In 2024, the Company canceled US$1.0 billion unused revolving loan lines under the facility commitment. As of December 31, 2025, the total outstanding borrowings under the facilities were reclassified as “Long-term loans, current portion”.</w:t>
      </w:r>
    </w:p>
    <w:p>
      <w:pPr>
        <w:spacing w:after="0" w:line="192" w:lineRule="exact"/>
        <w:rPr>
          <w:sz w:val="20"/>
          <w:szCs w:val="20"/>
          <w:color w:val="auto"/>
        </w:rPr>
      </w:pPr>
    </w:p>
    <w:p>
      <w:pPr>
        <w:jc w:val="both"/>
        <w:ind w:left="120"/>
        <w:spacing w:after="0" w:line="256" w:lineRule="auto"/>
        <w:rPr>
          <w:sz w:val="20"/>
          <w:szCs w:val="20"/>
          <w:color w:val="auto"/>
        </w:rPr>
      </w:pPr>
      <w:r>
        <w:rPr>
          <w:rFonts w:ascii="Times New Roman" w:cs="Times New Roman" w:eastAsia="Times New Roman" w:hAnsi="Times New Roman"/>
          <w:sz w:val="18"/>
          <w:szCs w:val="18"/>
          <w:color w:val="auto"/>
        </w:rPr>
        <w:t>The interest rate swap agreements met the definition of derivatives in accordance with ASC 815 and were designated as a cash flow hedge to hedge the variability of cash flows in the interest payments associated with its variable-rate debt. The derivatives related to the interest rate swap agreements are accounted for at fair value and included in “Other current assets” on the consolidated balance sheets (Note 26). As long as the derivative remain highly effective, the Company records the changes in fair value of the derivative instrument in other comprehensive income (loss) as described in Note 21. The gross notional amounts of derivatives designated as hedging instruments was US$2.0 billion and US$2.0 billion as of December 31, 2024 and 2025, respectively.</w:t>
      </w:r>
    </w:p>
    <w:p>
      <w:pPr>
        <w:spacing w:after="0" w:line="187" w:lineRule="exact"/>
        <w:rPr>
          <w:sz w:val="20"/>
          <w:szCs w:val="20"/>
          <w:color w:val="auto"/>
        </w:rPr>
      </w:pPr>
    </w:p>
    <w:p>
      <w:pPr>
        <w:jc w:val="both"/>
        <w:ind w:left="120"/>
        <w:spacing w:after="0" w:line="282" w:lineRule="auto"/>
        <w:rPr>
          <w:sz w:val="20"/>
          <w:szCs w:val="20"/>
          <w:color w:val="auto"/>
        </w:rPr>
      </w:pPr>
      <w:r>
        <w:rPr>
          <w:rFonts w:ascii="Times New Roman" w:cs="Times New Roman" w:eastAsia="Times New Roman" w:hAnsi="Times New Roman"/>
          <w:sz w:val="18"/>
          <w:szCs w:val="18"/>
          <w:color w:val="auto"/>
        </w:rPr>
        <w:t>As of December 31, 2024 and 2025, except for the aforementioned borrowings under the facilities, other long-term loans primarily consisted of RMB denominated borrowings from financial institutions in the PRC.</w:t>
      </w:r>
    </w:p>
    <w:p>
      <w:pPr>
        <w:spacing w:after="0" w:line="306" w:lineRule="exact"/>
        <w:rPr>
          <w:sz w:val="20"/>
          <w:szCs w:val="20"/>
          <w:color w:val="auto"/>
        </w:rPr>
      </w:pPr>
    </w:p>
    <w:p>
      <w:pPr>
        <w:ind w:left="540" w:hanging="424"/>
        <w:spacing w:after="0"/>
        <w:tabs>
          <w:tab w:leader="none" w:pos="540" w:val="left"/>
        </w:tabs>
        <w:numPr>
          <w:ilvl w:val="0"/>
          <w:numId w:val="1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NOTES PAYABLE</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 issued and publicly sold unsecured senior notes, and the details of the USD-denominated tranches are shown below:</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80" w:type="dxa"/>
            <w:vAlign w:val="bottom"/>
          </w:tcPr>
          <w:p>
            <w:pPr>
              <w:spacing w:after="0"/>
              <w:rPr>
                <w:sz w:val="13"/>
                <w:szCs w:val="13"/>
                <w:color w:val="auto"/>
              </w:rPr>
            </w:pPr>
          </w:p>
        </w:tc>
        <w:tc>
          <w:tcPr>
            <w:tcW w:w="45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6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Effective</w:t>
            </w: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600" w:type="dxa"/>
            <w:vAlign w:val="bottom"/>
            <w:vMerge w:val="restart"/>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Issue date</w:t>
            </w:r>
          </w:p>
        </w:tc>
        <w:tc>
          <w:tcPr>
            <w:tcW w:w="400" w:type="dxa"/>
            <w:vAlign w:val="bottom"/>
            <w:vMerge w:val="restart"/>
          </w:tcPr>
          <w:p>
            <w:pPr>
              <w:spacing w:after="0"/>
              <w:rPr>
                <w:sz w:val="12"/>
                <w:szCs w:val="12"/>
                <w:color w:val="auto"/>
              </w:rPr>
            </w:pPr>
          </w:p>
        </w:tc>
        <w:tc>
          <w:tcPr>
            <w:tcW w:w="126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1600" w:type="dxa"/>
            <w:vAlign w:val="bottom"/>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Mature date</w:t>
            </w:r>
          </w:p>
        </w:tc>
        <w:tc>
          <w:tcPr>
            <w:tcW w:w="400" w:type="dxa"/>
            <w:vAlign w:val="bottom"/>
            <w:vMerge w:val="restart"/>
          </w:tcPr>
          <w:p>
            <w:pPr>
              <w:spacing w:after="0"/>
              <w:rPr>
                <w:sz w:val="12"/>
                <w:szCs w:val="12"/>
                <w:color w:val="auto"/>
              </w:rPr>
            </w:pPr>
          </w:p>
        </w:tc>
        <w:tc>
          <w:tcPr>
            <w:tcW w:w="8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0" w:type="dxa"/>
            <w:vAlign w:val="bottom"/>
          </w:tcPr>
          <w:p>
            <w:pPr>
              <w:spacing w:after="0"/>
              <w:rPr>
                <w:sz w:val="1"/>
                <w:szCs w:val="1"/>
                <w:color w:val="auto"/>
              </w:rPr>
            </w:pPr>
          </w:p>
        </w:tc>
      </w:tr>
      <w:tr>
        <w:trPr>
          <w:trHeight w:val="173"/>
        </w:trPr>
        <w:tc>
          <w:tcPr>
            <w:tcW w:w="380" w:type="dxa"/>
            <w:vAlign w:val="bottom"/>
            <w:tcBorders>
              <w:bottom w:val="single" w:sz="8" w:color="CCEEFF"/>
            </w:tcBorders>
          </w:tcPr>
          <w:p>
            <w:pPr>
              <w:spacing w:after="0"/>
              <w:rPr>
                <w:sz w:val="15"/>
                <w:szCs w:val="15"/>
                <w:color w:val="auto"/>
              </w:rPr>
            </w:pPr>
          </w:p>
        </w:tc>
        <w:tc>
          <w:tcPr>
            <w:tcW w:w="4520" w:type="dxa"/>
            <w:vAlign w:val="bottom"/>
            <w:tcBorders>
              <w:bottom w:val="single" w:sz="8" w:color="CCEEFF"/>
            </w:tcBorders>
          </w:tcPr>
          <w:p>
            <w:pPr>
              <w:spacing w:after="0"/>
              <w:rPr>
                <w:sz w:val="15"/>
                <w:szCs w:val="15"/>
                <w:color w:val="auto"/>
              </w:rPr>
            </w:pPr>
          </w:p>
        </w:tc>
        <w:tc>
          <w:tcPr>
            <w:tcW w:w="1600" w:type="dxa"/>
            <w:vAlign w:val="bottom"/>
            <w:tcBorders>
              <w:bottom w:val="single" w:sz="8" w:color="auto"/>
            </w:tcBorders>
            <w:vMerge w:val="continue"/>
          </w:tcPr>
          <w:p>
            <w:pPr>
              <w:spacing w:after="0"/>
              <w:rPr>
                <w:sz w:val="15"/>
                <w:szCs w:val="15"/>
                <w:color w:val="auto"/>
              </w:rPr>
            </w:pPr>
          </w:p>
        </w:tc>
        <w:tc>
          <w:tcPr>
            <w:tcW w:w="400" w:type="dxa"/>
            <w:vAlign w:val="bottom"/>
            <w:tcBorders>
              <w:bottom w:val="single" w:sz="8" w:color="CCEEFF"/>
            </w:tcBorders>
            <w:vMerge w:val="continue"/>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u w:val="single" w:color="auto"/>
                <w:color w:val="auto"/>
              </w:rPr>
              <w:t>(US</w:t>
            </w:r>
            <w:r>
              <w:rPr>
                <w:rFonts w:ascii="Times New Roman" w:cs="Times New Roman" w:eastAsia="Times New Roman" w:hAnsi="Times New Roman"/>
                <w:sz w:val="14"/>
                <w:szCs w:val="14"/>
                <w:b w:val="1"/>
                <w:bCs w:val="1"/>
                <w:color w:val="auto"/>
              </w:rPr>
              <w:t>$ million)</w:t>
            </w:r>
          </w:p>
        </w:tc>
        <w:tc>
          <w:tcPr>
            <w:tcW w:w="440" w:type="dxa"/>
            <w:vAlign w:val="bottom"/>
            <w:tcBorders>
              <w:bottom w:val="single" w:sz="8" w:color="CCEEFF"/>
            </w:tcBorders>
          </w:tcPr>
          <w:p>
            <w:pPr>
              <w:spacing w:after="0"/>
              <w:rPr>
                <w:sz w:val="15"/>
                <w:szCs w:val="15"/>
                <w:color w:val="auto"/>
              </w:rPr>
            </w:pPr>
          </w:p>
        </w:tc>
        <w:tc>
          <w:tcPr>
            <w:tcW w:w="1600" w:type="dxa"/>
            <w:vAlign w:val="bottom"/>
            <w:tcBorders>
              <w:bottom w:val="single" w:sz="8" w:color="auto"/>
            </w:tcBorders>
            <w:vMerge w:val="continue"/>
          </w:tcPr>
          <w:p>
            <w:pPr>
              <w:spacing w:after="0"/>
              <w:rPr>
                <w:sz w:val="15"/>
                <w:szCs w:val="15"/>
                <w:color w:val="auto"/>
              </w:rPr>
            </w:pPr>
          </w:p>
        </w:tc>
        <w:tc>
          <w:tcPr>
            <w:tcW w:w="400" w:type="dxa"/>
            <w:vAlign w:val="bottom"/>
            <w:tcBorders>
              <w:bottom w:val="single" w:sz="8" w:color="CCEEFF"/>
            </w:tcBorders>
            <w:vMerge w:val="continue"/>
          </w:tcPr>
          <w:p>
            <w:pPr>
              <w:spacing w:after="0"/>
              <w:rPr>
                <w:sz w:val="15"/>
                <w:szCs w:val="15"/>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3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2025</w:t>
            </w:r>
          </w:p>
        </w:tc>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Ten-year Notes</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June 30, 2015</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440" w:type="dxa"/>
            <w:vAlign w:val="bottom"/>
            <w:shd w:val="clear" w:color="auto" w:fill="CCEEFF"/>
          </w:tcPr>
          <w:p>
            <w:pPr>
              <w:spacing w:after="0"/>
              <w:rPr>
                <w:sz w:val="18"/>
                <w:szCs w:val="18"/>
                <w:color w:val="auto"/>
              </w:rPr>
            </w:pPr>
          </w:p>
        </w:tc>
        <w:tc>
          <w:tcPr>
            <w:tcW w:w="16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97"/>
              </w:rPr>
              <w:t>June 30, 2025</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4.22%*</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w w:val="99"/>
              </w:rPr>
              <w:t>2027</w:t>
            </w:r>
          </w:p>
        </w:tc>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Ten-year Notes</w:t>
            </w:r>
          </w:p>
        </w:tc>
        <w:tc>
          <w:tcPr>
            <w:tcW w:w="20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July 6, 2017</w:t>
            </w:r>
          </w:p>
        </w:tc>
        <w:tc>
          <w:tcPr>
            <w:tcW w:w="12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600</w:t>
            </w:r>
          </w:p>
        </w:tc>
        <w:tc>
          <w:tcPr>
            <w:tcW w:w="20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July 6, 2027</w:t>
            </w:r>
          </w:p>
        </w:tc>
        <w:tc>
          <w:tcPr>
            <w:tcW w:w="8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3.73%</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2028</w:t>
            </w:r>
          </w:p>
        </w:tc>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Notes</w:t>
            </w:r>
          </w:p>
        </w:tc>
        <w:tc>
          <w:tcPr>
            <w:tcW w:w="20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March 29, 2018</w:t>
            </w:r>
          </w:p>
        </w:tc>
        <w:tc>
          <w:tcPr>
            <w:tcW w:w="12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500</w:t>
            </w:r>
          </w:p>
        </w:tc>
        <w:tc>
          <w:tcPr>
            <w:tcW w:w="20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March 29, 2028</w:t>
            </w:r>
          </w:p>
        </w:tc>
        <w:tc>
          <w:tcPr>
            <w:tcW w:w="8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4.50%</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w w:val="99"/>
              </w:rPr>
              <w:t>2024</w:t>
            </w:r>
          </w:p>
        </w:tc>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20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November 14, 2018</w:t>
            </w:r>
          </w:p>
        </w:tc>
        <w:tc>
          <w:tcPr>
            <w:tcW w:w="12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600</w:t>
            </w:r>
          </w:p>
        </w:tc>
        <w:tc>
          <w:tcPr>
            <w:tcW w:w="20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May 14, 2024</w:t>
            </w:r>
          </w:p>
        </w:tc>
        <w:tc>
          <w:tcPr>
            <w:tcW w:w="8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4.51%*</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2024</w:t>
            </w:r>
          </w:p>
        </w:tc>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20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December 10, 2018</w:t>
            </w:r>
          </w:p>
        </w:tc>
        <w:tc>
          <w:tcPr>
            <w:tcW w:w="12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250</w:t>
            </w:r>
          </w:p>
        </w:tc>
        <w:tc>
          <w:tcPr>
            <w:tcW w:w="20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May 14, 2024</w:t>
            </w:r>
          </w:p>
        </w:tc>
        <w:tc>
          <w:tcPr>
            <w:tcW w:w="8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4.54%*</w:t>
            </w: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2028 November Notes</w:t>
            </w:r>
          </w:p>
        </w:tc>
        <w:tc>
          <w:tcPr>
            <w:tcW w:w="20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November 14, 2018</w:t>
            </w:r>
          </w:p>
        </w:tc>
        <w:tc>
          <w:tcPr>
            <w:tcW w:w="12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400</w:t>
            </w:r>
          </w:p>
        </w:tc>
        <w:tc>
          <w:tcPr>
            <w:tcW w:w="20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November 14, 2028</w:t>
            </w:r>
          </w:p>
        </w:tc>
        <w:tc>
          <w:tcPr>
            <w:tcW w:w="8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4.99%</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2025</w:t>
            </w:r>
          </w:p>
        </w:tc>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Five-year Notes</w:t>
            </w:r>
          </w:p>
        </w:tc>
        <w:tc>
          <w:tcPr>
            <w:tcW w:w="20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April 7, 2020</w:t>
            </w:r>
          </w:p>
        </w:tc>
        <w:tc>
          <w:tcPr>
            <w:tcW w:w="12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600</w:t>
            </w:r>
          </w:p>
        </w:tc>
        <w:tc>
          <w:tcPr>
            <w:tcW w:w="20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April 7, 2025</w:t>
            </w:r>
          </w:p>
        </w:tc>
        <w:tc>
          <w:tcPr>
            <w:tcW w:w="8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3.22%*</w:t>
            </w: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2030 April Notes</w:t>
            </w:r>
          </w:p>
        </w:tc>
        <w:tc>
          <w:tcPr>
            <w:tcW w:w="20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April 7, 2020</w:t>
            </w:r>
          </w:p>
        </w:tc>
        <w:tc>
          <w:tcPr>
            <w:tcW w:w="12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400</w:t>
            </w:r>
          </w:p>
        </w:tc>
        <w:tc>
          <w:tcPr>
            <w:tcW w:w="20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April 7, 2030</w:t>
            </w:r>
          </w:p>
        </w:tc>
        <w:tc>
          <w:tcPr>
            <w:tcW w:w="8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3.54%</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2026</w:t>
            </w:r>
          </w:p>
        </w:tc>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20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October 9, 2020</w:t>
            </w:r>
          </w:p>
        </w:tc>
        <w:tc>
          <w:tcPr>
            <w:tcW w:w="12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650</w:t>
            </w:r>
          </w:p>
        </w:tc>
        <w:tc>
          <w:tcPr>
            <w:tcW w:w="20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April 9, 2026</w:t>
            </w:r>
          </w:p>
        </w:tc>
        <w:tc>
          <w:tcPr>
            <w:tcW w:w="8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w w:val="99"/>
              </w:rPr>
              <w:t>2030</w:t>
            </w:r>
          </w:p>
        </w:tc>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October Notes</w:t>
            </w:r>
          </w:p>
        </w:tc>
        <w:tc>
          <w:tcPr>
            <w:tcW w:w="20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October 9, 2020</w:t>
            </w:r>
          </w:p>
        </w:tc>
        <w:tc>
          <w:tcPr>
            <w:tcW w:w="12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300</w:t>
            </w:r>
          </w:p>
        </w:tc>
        <w:tc>
          <w:tcPr>
            <w:tcW w:w="20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October 9, 2030</w:t>
            </w:r>
          </w:p>
        </w:tc>
        <w:tc>
          <w:tcPr>
            <w:tcW w:w="8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2027</w:t>
            </w:r>
          </w:p>
        </w:tc>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Five-year Notes</w:t>
            </w:r>
          </w:p>
        </w:tc>
        <w:tc>
          <w:tcPr>
            <w:tcW w:w="20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August 23, 2021</w:t>
            </w:r>
          </w:p>
        </w:tc>
        <w:tc>
          <w:tcPr>
            <w:tcW w:w="12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300</w:t>
            </w:r>
          </w:p>
        </w:tc>
        <w:tc>
          <w:tcPr>
            <w:tcW w:w="20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February 23, 2027</w:t>
            </w:r>
          </w:p>
        </w:tc>
        <w:tc>
          <w:tcPr>
            <w:tcW w:w="8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34"/>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w w:val="99"/>
              </w:rPr>
              <w:t>2031</w:t>
            </w:r>
          </w:p>
        </w:tc>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20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August 23, 2021</w:t>
            </w:r>
          </w:p>
        </w:tc>
        <w:tc>
          <w:tcPr>
            <w:tcW w:w="12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700</w:t>
            </w:r>
          </w:p>
        </w:tc>
        <w:tc>
          <w:tcPr>
            <w:tcW w:w="20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August 23, 2031</w:t>
            </w:r>
          </w:p>
        </w:tc>
        <w:tc>
          <w:tcPr>
            <w:tcW w:w="8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2.49%</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20" w:right="3140" w:hanging="4"/>
        <w:spacing w:after="0" w:line="512" w:lineRule="auto"/>
        <w:tabs>
          <w:tab w:leader="none" w:pos="336"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2024 Notes, 2025 Five-year Notes and 2025 Ten-year Notes were fully repaid when they became due. The details of the RMB-denominated tranches are shown below:</w:t>
      </w:r>
    </w:p>
    <w:tbl>
      <w:tblPr>
        <w:tblLayout w:type="fixed"/>
        <w:tblInd w:w="560" w:type="dxa"/>
        <w:tblCellMar>
          <w:top w:w="0" w:type="dxa"/>
          <w:left w:w="0" w:type="dxa"/>
          <w:bottom w:w="0" w:type="dxa"/>
          <w:right w:w="0" w:type="dxa"/>
        </w:tblCellMar>
      </w:tblPr>
      <w:tr>
        <w:trPr>
          <w:trHeight w:val="150"/>
        </w:trPr>
        <w:tc>
          <w:tcPr>
            <w:tcW w:w="38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00" w:type="dxa"/>
            <w:vAlign w:val="bottom"/>
            <w:gridSpan w:val="2"/>
          </w:tcPr>
          <w:p>
            <w:pPr>
              <w:jc w:val="center"/>
              <w:ind w:right="420"/>
              <w:spacing w:after="0" w:line="150"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1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Effective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500" w:type="dxa"/>
            <w:vAlign w:val="bottom"/>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Issue date</w:t>
            </w:r>
          </w:p>
        </w:tc>
        <w:tc>
          <w:tcPr>
            <w:tcW w:w="420" w:type="dxa"/>
            <w:vAlign w:val="bottom"/>
            <w:vMerge w:val="restart"/>
          </w:tcPr>
          <w:p>
            <w:pPr>
              <w:spacing w:after="0"/>
              <w:rPr>
                <w:sz w:val="12"/>
                <w:szCs w:val="12"/>
                <w:color w:val="auto"/>
              </w:rPr>
            </w:pPr>
          </w:p>
        </w:tc>
        <w:tc>
          <w:tcPr>
            <w:tcW w:w="13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120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Mature date</w:t>
            </w:r>
          </w:p>
        </w:tc>
        <w:tc>
          <w:tcPr>
            <w:tcW w:w="400" w:type="dxa"/>
            <w:vAlign w:val="bottom"/>
            <w:vMerge w:val="restart"/>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80" w:type="dxa"/>
            <w:vAlign w:val="bottom"/>
            <w:tcBorders>
              <w:bottom w:val="single" w:sz="8" w:color="CCEEFF"/>
            </w:tcBorders>
          </w:tcPr>
          <w:p>
            <w:pPr>
              <w:spacing w:after="0"/>
              <w:rPr>
                <w:sz w:val="15"/>
                <w:szCs w:val="15"/>
                <w:color w:val="auto"/>
              </w:rPr>
            </w:pPr>
          </w:p>
        </w:tc>
        <w:tc>
          <w:tcPr>
            <w:tcW w:w="3960" w:type="dxa"/>
            <w:vAlign w:val="bottom"/>
            <w:tcBorders>
              <w:bottom w:val="single" w:sz="8" w:color="CCEEFF"/>
            </w:tcBorders>
          </w:tcPr>
          <w:p>
            <w:pPr>
              <w:spacing w:after="0"/>
              <w:rPr>
                <w:sz w:val="15"/>
                <w:szCs w:val="15"/>
                <w:color w:val="auto"/>
              </w:rPr>
            </w:pPr>
          </w:p>
        </w:tc>
        <w:tc>
          <w:tcPr>
            <w:tcW w:w="1500" w:type="dxa"/>
            <w:vAlign w:val="bottom"/>
            <w:tcBorders>
              <w:bottom w:val="single" w:sz="8" w:color="auto"/>
            </w:tcBorders>
            <w:vMerge w:val="continue"/>
          </w:tcPr>
          <w:p>
            <w:pPr>
              <w:spacing w:after="0"/>
              <w:rPr>
                <w:sz w:val="15"/>
                <w:szCs w:val="15"/>
                <w:color w:val="auto"/>
              </w:rPr>
            </w:pPr>
          </w:p>
        </w:tc>
        <w:tc>
          <w:tcPr>
            <w:tcW w:w="420" w:type="dxa"/>
            <w:vAlign w:val="bottom"/>
            <w:tcBorders>
              <w:bottom w:val="single" w:sz="8" w:color="CCEEFF"/>
            </w:tcBorders>
            <w:vMerge w:val="continue"/>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(RMB million)</w:t>
            </w:r>
          </w:p>
        </w:tc>
        <w:tc>
          <w:tcPr>
            <w:tcW w:w="40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400" w:type="dxa"/>
            <w:vAlign w:val="bottom"/>
            <w:tcBorders>
              <w:bottom w:val="single" w:sz="8" w:color="CCEEFF"/>
            </w:tcBorders>
            <w:vMerge w:val="continue"/>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2030</w:t>
            </w:r>
          </w:p>
        </w:tc>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Five-year Notes</w:t>
            </w:r>
          </w:p>
        </w:tc>
        <w:tc>
          <w:tcPr>
            <w:tcW w:w="1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97"/>
              </w:rPr>
              <w:t>March 12, 2025</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7"/>
              </w:rPr>
              <w:t>March 12, 2030</w:t>
            </w: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2.76%</w:t>
            </w:r>
          </w:p>
        </w:tc>
        <w:tc>
          <w:tcPr>
            <w:tcW w:w="0" w:type="dxa"/>
            <w:vAlign w:val="bottom"/>
          </w:tcPr>
          <w:p>
            <w:pPr>
              <w:spacing w:after="0"/>
              <w:rPr>
                <w:sz w:val="1"/>
                <w:szCs w:val="1"/>
                <w:color w:val="auto"/>
              </w:rPr>
            </w:pPr>
          </w:p>
        </w:tc>
      </w:tr>
      <w:tr>
        <w:trPr>
          <w:trHeight w:val="216"/>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2035</w:t>
            </w:r>
          </w:p>
        </w:tc>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19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March 12, 2025</w:t>
            </w:r>
          </w:p>
        </w:tc>
        <w:tc>
          <w:tcPr>
            <w:tcW w:w="13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2,500</w:t>
            </w:r>
          </w:p>
        </w:tc>
        <w:tc>
          <w:tcPr>
            <w:tcW w:w="16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March 12, 2035</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3.03%</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2029</w:t>
            </w:r>
          </w:p>
        </w:tc>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19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September 15, 2025</w:t>
            </w:r>
          </w:p>
        </w:tc>
        <w:tc>
          <w:tcPr>
            <w:tcW w:w="13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4,400</w:t>
            </w:r>
          </w:p>
        </w:tc>
        <w:tc>
          <w:tcPr>
            <w:tcW w:w="16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March 15, 2029</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notes listed above are collectively referred to as the “Notes”.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F-39</w:t>
      </w:r>
    </w:p>
    <w:p>
      <w:pPr>
        <w:sectPr>
          <w:pgSz w:w="11900" w:h="16838" w:orient="portrait"/>
          <w:cols w:equalWidth="0" w:num="1">
            <w:col w:w="11140"/>
          </w:cols>
          <w:pgMar w:left="320" w:top="482" w:right="439" w:bottom="1440" w:gutter="0" w:footer="0" w:header="0"/>
        </w:sectPr>
      </w:pPr>
    </w:p>
    <w:bookmarkStart w:id="264" w:name="page265"/>
    <w:bookmarkEnd w:id="2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43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BAIDU, INC.</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THE YEARS ENDED DECEMBER 31, 2023, 2024 AND 2025</w:t>
      </w:r>
    </w:p>
    <w:p>
      <w:pPr>
        <w:spacing w:after="0" w:line="234"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The 2025 Ten-year Notes bear interest at the rate of 4.125% per annum. Interest is payable semi-annually in arrears on and of each year, beginning on December 30, 2015.</w:t>
      </w:r>
    </w:p>
    <w:p>
      <w:pPr>
        <w:spacing w:after="0" w:line="162"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The 2027 Ten-year Notes bear interest at the rate of 3.625% per annum. Interest is payable semi-annually in arrears on and of each year, beginning on January 6, 2018.</w:t>
      </w:r>
    </w:p>
    <w:p>
      <w:pPr>
        <w:spacing w:after="0" w:line="162"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The 2028 March Notes bear interest at the rate of 4.375% per annum. Interest is payable semi-annually in arrears on and of each year, beginning on September 29, 2018.</w:t>
      </w:r>
    </w:p>
    <w:p>
      <w:pPr>
        <w:spacing w:after="0" w:line="162"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The 2024 Notes including US$600 million issued in November and US$250 million in December 2018, respectively, bear interest at the rate of 4.375% per annum and the 2028 November Notes bear interest at the rate of 4.875% per annum. Interest is payable semi-annually in arrears on and of each year, beginning on May 14, 2019.</w:t>
      </w:r>
    </w:p>
    <w:p>
      <w:pPr>
        <w:spacing w:after="0" w:line="176"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The 2025 Five-year Notes bear interest at the rate of 3.075% per annum and the 2030 April Notes bear interest at the rate of 3.425% per annum. Interest is payable semi-annually in arrears on and of each year, beginning on October 7, 2020.</w:t>
      </w:r>
    </w:p>
    <w:p>
      <w:pPr>
        <w:spacing w:after="0" w:line="162" w:lineRule="exact"/>
        <w:rPr>
          <w:sz w:val="20"/>
          <w:szCs w:val="20"/>
          <w:color w:val="auto"/>
        </w:rPr>
      </w:pPr>
    </w:p>
    <w:p>
      <w:pPr>
        <w:jc w:val="both"/>
        <w:ind w:left="120"/>
        <w:spacing w:after="0" w:line="282" w:lineRule="auto"/>
        <w:rPr>
          <w:sz w:val="20"/>
          <w:szCs w:val="20"/>
          <w:color w:val="auto"/>
        </w:rPr>
      </w:pPr>
      <w:r>
        <w:rPr>
          <w:rFonts w:ascii="Times New Roman" w:cs="Times New Roman" w:eastAsia="Times New Roman" w:hAnsi="Times New Roman"/>
          <w:sz w:val="18"/>
          <w:szCs w:val="18"/>
          <w:color w:val="auto"/>
        </w:rPr>
        <w:t>The 2026 Notes bear interest at the rate of 1.720% per annum and the 2030 October Notes bear interest at the rate of 2.375% per annum. Interest is payable semi-annually in arrears on and of each year, beginning on April 9, 2021.</w:t>
      </w:r>
    </w:p>
    <w:p>
      <w:pPr>
        <w:spacing w:after="0" w:line="162" w:lineRule="exact"/>
        <w:rPr>
          <w:sz w:val="20"/>
          <w:szCs w:val="20"/>
          <w:color w:val="auto"/>
        </w:rPr>
      </w:pPr>
    </w:p>
    <w:p>
      <w:pPr>
        <w:jc w:val="both"/>
        <w:ind w:left="120"/>
        <w:spacing w:after="0" w:line="282" w:lineRule="auto"/>
        <w:rPr>
          <w:sz w:val="20"/>
          <w:szCs w:val="20"/>
          <w:color w:val="auto"/>
        </w:rPr>
      </w:pPr>
      <w:r>
        <w:rPr>
          <w:rFonts w:ascii="Times New Roman" w:cs="Times New Roman" w:eastAsia="Times New Roman" w:hAnsi="Times New Roman"/>
          <w:sz w:val="18"/>
          <w:szCs w:val="18"/>
          <w:color w:val="auto"/>
        </w:rPr>
        <w:t>The 2027 Five-year Notes bear interest at the rate of 1.625% per annum and the 2031 Notes bear interest at the rate of 2.375% per annum. Interest is payable semi-annually in arrears on and of each year, beginning on February 23, 2022.</w:t>
      </w:r>
    </w:p>
    <w:p>
      <w:pPr>
        <w:spacing w:after="0" w:line="162" w:lineRule="exact"/>
        <w:rPr>
          <w:sz w:val="20"/>
          <w:szCs w:val="20"/>
          <w:color w:val="auto"/>
        </w:rPr>
      </w:pPr>
    </w:p>
    <w:p>
      <w:pPr>
        <w:jc w:val="both"/>
        <w:ind w:left="120"/>
        <w:spacing w:after="0" w:line="282" w:lineRule="auto"/>
        <w:rPr>
          <w:sz w:val="20"/>
          <w:szCs w:val="20"/>
          <w:color w:val="auto"/>
        </w:rPr>
      </w:pPr>
      <w:r>
        <w:rPr>
          <w:rFonts w:ascii="Times New Roman" w:cs="Times New Roman" w:eastAsia="Times New Roman" w:hAnsi="Times New Roman"/>
          <w:sz w:val="18"/>
          <w:szCs w:val="18"/>
          <w:color w:val="auto"/>
        </w:rPr>
        <w:t>The 2030 Five-year Notes bear interest at the rate of 2.700% per annum and the 2035 Notes bear interest at the rate of 3.000% per annum. Interest is payable semi-annually in arrears on and of each year, beginning on September 12, 2025.</w:t>
      </w:r>
    </w:p>
    <w:p>
      <w:pPr>
        <w:spacing w:after="0" w:line="162"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The 2029 Notes bear interest at the rate of 1.900% per annum. Interest is payable semi-annually in arrears on and of each year, beginning on March 15, 2026.</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At maturity date, the Notes are payable at their principal amount plus accrued and unpaid interest thereon.</w:t>
      </w:r>
    </w:p>
    <w:p>
      <w:pPr>
        <w:spacing w:after="0" w:line="225" w:lineRule="exact"/>
        <w:rPr>
          <w:sz w:val="20"/>
          <w:szCs w:val="20"/>
          <w:color w:val="auto"/>
        </w:rPr>
      </w:pPr>
    </w:p>
    <w:p>
      <w:pPr>
        <w:jc w:val="both"/>
        <w:ind w:left="120"/>
        <w:spacing w:after="0" w:line="254" w:lineRule="auto"/>
        <w:rPr>
          <w:sz w:val="20"/>
          <w:szCs w:val="20"/>
          <w:color w:val="auto"/>
        </w:rPr>
      </w:pPr>
      <w:r>
        <w:rPr>
          <w:rFonts w:ascii="Times New Roman" w:cs="Times New Roman" w:eastAsia="Times New Roman" w:hAnsi="Times New Roman"/>
          <w:sz w:val="18"/>
          <w:szCs w:val="18"/>
          <w:color w:val="auto"/>
        </w:rPr>
        <w:t>The Notes do not contain any other financial covenants or other significant restrictions. In addition, the Notes are unsecured and rank lower than any secured obligation of the Group and have the same liquidation priority as any other unsecured liabilities of the Group, but senior to those expressly subordinated obligations, if any. The Company may, at its discretion, redeem all or any portion of the Notes at any time, at the greater of the principal amount and the make-whole amount plus accrued and unpaid interest. In addition, for the 2028 March Notes, 2028 November Notes, 2030 April Notes, 2026 Notes, 2030 October Notes, 2027 Five-year Notes, 2031 Notes, 2030 Five-year Notes, 2035 Notes and 2029 Notes, the Company may at its discretion, redeem all or any portion of the Notes at one or three months before the maturity date of respective notes, at a price equal to 100% of the principal amount of such notes plus accrued and unpaid interest, if any, to (but not including) the redemption date. As of December 31, 2025, the Company does not intend to redeem any portion of the Notes prior to the stated maturity dates. For certain Notes, the Company has the obligation to redeem the Notes if a change in control occurs as defined in the indenture of the Notes.</w:t>
      </w:r>
    </w:p>
    <w:p>
      <w:pPr>
        <w:spacing w:after="0" w:line="188"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The outstanding Notes were issued at a discount amounting to US$13 million. The total issuance costs of US$22 million were presented as a direct deduction from the principal amount of the outstanding Notes on the consolidated balance sheets. Both the discount and the issuance costs are amortized as interest expense using the effective interest rate method through the maturity dates of the Notes.</w:t>
      </w:r>
    </w:p>
    <w:p>
      <w:pPr>
        <w:spacing w:after="0" w:line="176" w:lineRule="exact"/>
        <w:rPr>
          <w:sz w:val="20"/>
          <w:szCs w:val="20"/>
          <w:color w:val="auto"/>
        </w:rPr>
      </w:pPr>
    </w:p>
    <w:p>
      <w:pPr>
        <w:jc w:val="both"/>
        <w:ind w:left="120" w:right="20"/>
        <w:spacing w:after="0" w:line="253" w:lineRule="auto"/>
        <w:rPr>
          <w:sz w:val="20"/>
          <w:szCs w:val="20"/>
          <w:color w:val="auto"/>
        </w:rPr>
      </w:pPr>
      <w:r>
        <w:rPr>
          <w:rFonts w:ascii="Times New Roman" w:cs="Times New Roman" w:eastAsia="Times New Roman" w:hAnsi="Times New Roman"/>
          <w:sz w:val="18"/>
          <w:szCs w:val="18"/>
          <w:color w:val="auto"/>
        </w:rPr>
        <w:t>In March 2025, the Group issued an aggregate of US$2 billion exchangeable bonds due 2032 (“2032 Exchangeable Bonds”), which bear no regular interest. The 2032 Exchangeable Bonds reference ordinary shares of Trip that are listed on the Hong Kong Stock Exchange and the initial exchange ratio of the 2032 Exchangeable Bonds is 1,107.0457 ordinary shares of Trip.com Group Limited (“Trip.com Shares”) per US$100,000 principal amount of the 2032 Exchangeable Bonds. The 2032 Exchangeable Bonds will mature on March 12, 2032, unless repurchased, redeemed, or exchanged in accordance with their terms prior to such date. Holders of the bonds may not exchange their bonds prior to the first anniversary of the issue date of the bonds. If an event of default has occurred and is continuing, holders of the bonds may exchange the bonds at any time. Between the first anniversary of the issue date and the date falling 6 months prior to the maturity date of the bonds, holders of the bonds may exchange the bonds into cash only upon the satisfaction of certain contingencies. Thereafter and until the second scheduled trading day preceding the maturity date, holders may exchange the bonds into cash at any time. Subject to certain conditions, the Group may elect to deliver Trip.com Shares held by the Group in lieu of cash or a combination of cash and Trip.com Shares.</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F-40</w:t>
      </w:r>
    </w:p>
    <w:p>
      <w:pPr>
        <w:sectPr>
          <w:pgSz w:w="11900" w:h="16838" w:orient="portrait"/>
          <w:cols w:equalWidth="0" w:num="1">
            <w:col w:w="11140"/>
          </w:cols>
          <w:pgMar w:left="320" w:top="482" w:right="439" w:bottom="1440" w:gutter="0" w:footer="0" w:header="0"/>
        </w:sectPr>
      </w:pPr>
    </w:p>
    <w:bookmarkStart w:id="265" w:name="page266"/>
    <w:bookmarkEnd w:id="2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43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BAIDU, INC.</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THE YEARS ENDED DECEMBER 31, 2023, 2024 AND 2025</w:t>
      </w:r>
    </w:p>
    <w:p>
      <w:pPr>
        <w:spacing w:after="0" w:line="234" w:lineRule="exact"/>
        <w:rPr>
          <w:sz w:val="20"/>
          <w:szCs w:val="20"/>
          <w:color w:val="auto"/>
        </w:rPr>
      </w:pPr>
    </w:p>
    <w:p>
      <w:pPr>
        <w:jc w:val="both"/>
        <w:ind w:left="120" w:right="20"/>
        <w:spacing w:after="0" w:line="261" w:lineRule="auto"/>
        <w:rPr>
          <w:sz w:val="20"/>
          <w:szCs w:val="20"/>
          <w:color w:val="auto"/>
        </w:rPr>
      </w:pPr>
      <w:r>
        <w:rPr>
          <w:rFonts w:ascii="Times New Roman" w:cs="Times New Roman" w:eastAsia="Times New Roman" w:hAnsi="Times New Roman"/>
          <w:sz w:val="18"/>
          <w:szCs w:val="18"/>
          <w:color w:val="auto"/>
        </w:rPr>
        <w:t>The 2032 Exchangeable Bonds contain an embedded exchange option that is not indexed to the Group’s own stock. The Group has elected the fair value option under ASC 825-10-25 to measure the Exchangeable Bonds in their entirety at fair value. As of December 31, 2025, the fair value of the 2032 Exchangeable Bonds amounted to RMB14.3 billion (US$2.0 billion). For the year ended December 31, 2025, the fair value loss were RMB237 million (US$34 million), which was recorded in “Others, net” in the consolidated statements of comprehensive income.</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principal amount and unamortized discount and debt issuance costs of the Notes as of December 31, 2024 and 2025 were as follows:</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682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4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6820" w:type="dxa"/>
            <w:vAlign w:val="bottom"/>
          </w:tcPr>
          <w:p>
            <w:pPr>
              <w:spacing w:after="0"/>
              <w:rPr>
                <w:sz w:val="12"/>
                <w:szCs w:val="12"/>
                <w:color w:val="auto"/>
              </w:rPr>
            </w:pPr>
          </w:p>
        </w:tc>
        <w:tc>
          <w:tcPr>
            <w:tcW w:w="560" w:type="dxa"/>
            <w:vAlign w:val="bottom"/>
          </w:tcPr>
          <w:p>
            <w:pPr>
              <w:jc w:val="right"/>
              <w:ind w:right="5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780" w:type="dxa"/>
            <w:vAlign w:val="bottom"/>
            <w:gridSpan w:val="2"/>
          </w:tcPr>
          <w:p>
            <w:pPr>
              <w:jc w:val="right"/>
              <w:ind w:right="6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r>
      <w:tr>
        <w:trPr>
          <w:trHeight w:val="117"/>
        </w:trPr>
        <w:tc>
          <w:tcPr>
            <w:tcW w:w="6820" w:type="dxa"/>
            <w:vAlign w:val="bottom"/>
          </w:tcPr>
          <w:p>
            <w:pPr>
              <w:spacing w:after="0"/>
              <w:rPr>
                <w:sz w:val="10"/>
                <w:szCs w:val="10"/>
                <w:color w:val="auto"/>
              </w:rPr>
            </w:pPr>
          </w:p>
        </w:tc>
        <w:tc>
          <w:tcPr>
            <w:tcW w:w="560" w:type="dxa"/>
            <w:vAlign w:val="bottom"/>
            <w:tcBorders>
              <w:top w:val="single" w:sz="8" w:color="auto"/>
            </w:tcBorders>
          </w:tcPr>
          <w:p>
            <w:pPr>
              <w:jc w:val="right"/>
              <w:ind w:right="38"/>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Borders>
              <w:top w:val="single" w:sz="8" w:color="auto"/>
            </w:tcBorders>
          </w:tcPr>
          <w:p>
            <w:pPr>
              <w:jc w:val="right"/>
              <w:ind w:right="22"/>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380" w:type="dxa"/>
            <w:vAlign w:val="bottom"/>
          </w:tcPr>
          <w:p>
            <w:pPr>
              <w:spacing w:after="0"/>
              <w:rPr>
                <w:sz w:val="10"/>
                <w:szCs w:val="10"/>
                <w:color w:val="auto"/>
              </w:rPr>
            </w:pPr>
          </w:p>
        </w:tc>
        <w:tc>
          <w:tcPr>
            <w:tcW w:w="460" w:type="dxa"/>
            <w:vAlign w:val="bottom"/>
            <w:tcBorders>
              <w:top w:val="single" w:sz="8" w:color="auto"/>
            </w:tcBorders>
          </w:tcPr>
          <w:p>
            <w:pPr>
              <w:jc w:val="right"/>
              <w:ind w:right="18"/>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c>
          <w:tcPr>
            <w:tcW w:w="120" w:type="dxa"/>
            <w:vAlign w:val="bottom"/>
          </w:tcPr>
          <w:p>
            <w:pPr>
              <w:spacing w:after="0"/>
              <w:rPr>
                <w:sz w:val="10"/>
                <w:szCs w:val="10"/>
                <w:color w:val="auto"/>
              </w:rPr>
            </w:pPr>
          </w:p>
        </w:tc>
      </w:tr>
      <w:tr>
        <w:trPr>
          <w:trHeight w:val="173"/>
        </w:trPr>
        <w:tc>
          <w:tcPr>
            <w:tcW w:w="68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 amount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36,132</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41,415</w:t>
            </w: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5,922</w:t>
            </w:r>
          </w:p>
        </w:tc>
        <w:tc>
          <w:tcPr>
            <w:tcW w:w="120" w:type="dxa"/>
            <w:vAlign w:val="bottom"/>
            <w:shd w:val="clear" w:color="auto" w:fill="CCEEFF"/>
          </w:tcPr>
          <w:p>
            <w:pPr>
              <w:spacing w:after="0"/>
              <w:rPr>
                <w:sz w:val="18"/>
                <w:szCs w:val="18"/>
                <w:color w:val="auto"/>
              </w:rPr>
            </w:pPr>
          </w:p>
        </w:tc>
      </w:tr>
      <w:tr>
        <w:trPr>
          <w:trHeight w:val="223"/>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Unamortized discount and debt issuance costs</w:t>
            </w:r>
          </w:p>
        </w:tc>
        <w:tc>
          <w:tcPr>
            <w:tcW w:w="7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(110)</w:t>
            </w:r>
          </w:p>
        </w:tc>
        <w:tc>
          <w:tcPr>
            <w:tcW w:w="11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(105)</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6820" w:type="dxa"/>
            <w:vAlign w:val="bottom"/>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36,022</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41,310</w:t>
            </w:r>
          </w:p>
        </w:tc>
        <w:tc>
          <w:tcPr>
            <w:tcW w:w="380" w:type="dxa"/>
            <w:vAlign w:val="bottom"/>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5,907</w:t>
            </w:r>
          </w:p>
        </w:tc>
        <w:tc>
          <w:tcPr>
            <w:tcW w:w="120" w:type="dxa"/>
            <w:vAlign w:val="bottom"/>
            <w:shd w:val="clear" w:color="auto" w:fill="CCEEFF"/>
          </w:tcPr>
          <w:p>
            <w:pPr>
              <w:spacing w:after="0"/>
              <w:rPr>
                <w:sz w:val="18"/>
                <w:szCs w:val="18"/>
                <w:color w:val="auto"/>
              </w:rPr>
            </w:pPr>
          </w:p>
        </w:tc>
      </w:tr>
      <w:tr>
        <w:trPr>
          <w:trHeight w:val="20"/>
        </w:trPr>
        <w:tc>
          <w:tcPr>
            <w:tcW w:w="68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aggregate required repayments of the principal amounts of the Group’s long-term debts (including the notes payable and long-term loans (Note 13) but excluding convertible senior notes (Note 15)), in the succeeding five years and thereafter:</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7080" w:type="dxa"/>
            <w:vAlign w:val="bottom"/>
          </w:tcPr>
          <w:p>
            <w:pPr>
              <w:spacing w:after="0"/>
              <w:rPr>
                <w:sz w:val="15"/>
                <w:szCs w:val="15"/>
                <w:color w:val="auto"/>
              </w:rPr>
            </w:pPr>
          </w:p>
        </w:tc>
        <w:tc>
          <w:tcPr>
            <w:tcW w:w="70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RMB</w:t>
            </w:r>
          </w:p>
        </w:tc>
        <w:tc>
          <w:tcPr>
            <w:tcW w:w="5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US$</w:t>
            </w:r>
          </w:p>
        </w:tc>
      </w:tr>
      <w:tr>
        <w:trPr>
          <w:trHeight w:val="142"/>
        </w:trPr>
        <w:tc>
          <w:tcPr>
            <w:tcW w:w="7080" w:type="dxa"/>
            <w:vAlign w:val="bottom"/>
          </w:tcPr>
          <w:p>
            <w:pPr>
              <w:spacing w:after="0"/>
              <w:rPr>
                <w:sz w:val="12"/>
                <w:szCs w:val="12"/>
                <w:color w:val="auto"/>
              </w:rPr>
            </w:pPr>
          </w:p>
        </w:tc>
        <w:tc>
          <w:tcPr>
            <w:tcW w:w="1240" w:type="dxa"/>
            <w:vAlign w:val="bottom"/>
            <w:tcBorders>
              <w:top w:val="single" w:sz="8" w:color="auto"/>
            </w:tcBorders>
            <w:gridSpan w:val="2"/>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40" w:type="dxa"/>
            <w:vAlign w:val="bottom"/>
          </w:tcPr>
          <w:p>
            <w:pPr>
              <w:spacing w:after="0"/>
              <w:rPr>
                <w:sz w:val="12"/>
                <w:szCs w:val="12"/>
                <w:color w:val="auto"/>
              </w:rPr>
            </w:pPr>
          </w:p>
        </w:tc>
      </w:tr>
      <w:tr>
        <w:trPr>
          <w:trHeight w:val="216"/>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 the years ending December 31,</w:t>
            </w: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70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19,333</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2,764</w:t>
            </w:r>
          </w:p>
        </w:tc>
      </w:tr>
      <w:tr>
        <w:trPr>
          <w:trHeight w:val="216"/>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7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9,042</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1,293</w:t>
            </w:r>
          </w:p>
        </w:tc>
      </w:tr>
      <w:tr>
        <w:trPr>
          <w:trHeight w:val="216"/>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70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6,915</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989</w:t>
            </w:r>
          </w:p>
        </w:tc>
      </w:tr>
      <w:tr>
        <w:trPr>
          <w:trHeight w:val="216"/>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7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4,402</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629</w:t>
            </w:r>
          </w:p>
        </w:tc>
      </w:tr>
      <w:tr>
        <w:trPr>
          <w:trHeight w:val="216"/>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2030</w:t>
            </w:r>
          </w:p>
        </w:tc>
        <w:tc>
          <w:tcPr>
            <w:tcW w:w="70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12,413</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1,775</w:t>
            </w:r>
          </w:p>
        </w:tc>
      </w:tr>
      <w:tr>
        <w:trPr>
          <w:trHeight w:val="216"/>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7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21,485</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3,073</w:t>
            </w:r>
          </w:p>
        </w:tc>
      </w:tr>
    </w:tbl>
    <w:p>
      <w:pPr>
        <w:spacing w:after="0" w:line="342" w:lineRule="exact"/>
        <w:rPr>
          <w:sz w:val="20"/>
          <w:szCs w:val="20"/>
          <w:color w:val="auto"/>
        </w:rPr>
      </w:pPr>
    </w:p>
    <w:p>
      <w:pPr>
        <w:ind w:left="540" w:hanging="424"/>
        <w:spacing w:after="0"/>
        <w:tabs>
          <w:tab w:leader="none" w:pos="540" w:val="left"/>
        </w:tabs>
        <w:numPr>
          <w:ilvl w:val="0"/>
          <w:numId w:val="1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CONVERTIBLE SENIOR NOTES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iQIYI 2026 Convertible Senior Notes</w:t>
      </w:r>
    </w:p>
    <w:p>
      <w:pPr>
        <w:spacing w:after="0" w:line="121" w:lineRule="exact"/>
        <w:rPr>
          <w:sz w:val="20"/>
          <w:szCs w:val="20"/>
          <w:color w:val="auto"/>
        </w:rPr>
      </w:pPr>
    </w:p>
    <w:p>
      <w:pPr>
        <w:jc w:val="both"/>
        <w:ind w:left="120" w:right="20"/>
        <w:spacing w:after="0" w:line="256" w:lineRule="auto"/>
        <w:rPr>
          <w:sz w:val="20"/>
          <w:szCs w:val="20"/>
          <w:color w:val="auto"/>
        </w:rPr>
      </w:pPr>
      <w:r>
        <w:rPr>
          <w:rFonts w:ascii="Times New Roman" w:cs="Times New Roman" w:eastAsia="Times New Roman" w:hAnsi="Times New Roman"/>
          <w:sz w:val="18"/>
          <w:szCs w:val="18"/>
          <w:color w:val="auto"/>
        </w:rPr>
        <w:t>On December 21, 2020, iQIYI issued US$800 million convertible senior notes and offered an additional US$100 million principal amount simultaneously, pursuant to the underwriters’ option to purchase additional notes. On January 8, 2021, the additional US$100 million principal amount was issued pursuant to the underwriters’ exercise of their option. The convertible senior notes issued on December 21, 2020 and January 8, 2021 (collectively referred to as the “iQIYI 2026 Convertible Notes”) are senior, unsecured obligations of iQIYI, and interest is payable semi-annually in cash at a rate of 4.00% per annum on June 15 and December 15 of each year, beginning on June 15, 2021. The iQIYI 2026 Convertible Notes will mature on December 15, 2026 unless redeemed, repurchased or converted prior to such date.</w:t>
      </w:r>
    </w:p>
    <w:p>
      <w:pPr>
        <w:spacing w:after="0" w:line="187" w:lineRule="exact"/>
        <w:rPr>
          <w:sz w:val="20"/>
          <w:szCs w:val="20"/>
          <w:color w:val="auto"/>
        </w:rPr>
      </w:pPr>
    </w:p>
    <w:p>
      <w:pPr>
        <w:jc w:val="both"/>
        <w:ind w:left="120"/>
        <w:spacing w:after="0" w:line="252" w:lineRule="auto"/>
        <w:rPr>
          <w:sz w:val="20"/>
          <w:szCs w:val="20"/>
          <w:color w:val="auto"/>
        </w:rPr>
      </w:pPr>
      <w:r>
        <w:rPr>
          <w:rFonts w:ascii="Times New Roman" w:cs="Times New Roman" w:eastAsia="Times New Roman" w:hAnsi="Times New Roman"/>
          <w:sz w:val="18"/>
          <w:szCs w:val="18"/>
          <w:color w:val="auto"/>
        </w:rPr>
        <w:t>The initial conversion rate of the iQIYI 2026 Convertible Notes is 44.8179 of iQIYI’s ADS per US$1,000 principal amount of the iQIYI 2026 Convertible Notes (which is equivalent to an initial conversion price of approximately US$22.31 per ADS). Prior to June 15, 2026, the iQIYI 2026 Convertible Notes will be convertible at the option of the holders only upon the following circumstances: (1) during any calendar quarter commencing after the calendar quarter ending on March 31, 2021, if the last reported sale price of ADSs for at least 20 trading days (whether or not consecutive) during a period of 30 consecutive trading days ending on, and including, the last trading day of the immediately preceding calendar quarter is greater than or equal to 130% of the conversion price; (2) during the five business day period after any ten consecutive trading day period in which the trading price per US$1,000 principal amount of notes was less than 98% of the product of the last reported sale price of the ADSs and the conversion rate on each such trading day; (3) if iQIYI calls the notes for a tax redemption; or (4) upon the occurrence of specified corporate events. Thereafter, the iQIYI 2026 Convertible Notes will be convertible at the option of the holders at any time until the close of business on the second scheduled trading day immediately preceding the maturity date. The conversion rate is subject to adjustment in some events but is not adjusted for any accrued and unpaid interest. In addition, following a make-whole fundamental change that occurs prior to the maturity date or following iQIYI’s delivery of a notice of a tax redemption, iQIYI will increase the conversion rate for a holder who elects to convert its notes in connection with such a corporate event or such tax redemption. Upon conversion, iQIYI will pay or deliver to such converting holders, as the case may be, cash, ADSs, or a combination of cash and ADSs, at its election.</w:t>
      </w:r>
    </w:p>
    <w:p>
      <w:pPr>
        <w:spacing w:after="0" w:line="1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F-41</w:t>
      </w:r>
    </w:p>
    <w:p>
      <w:pPr>
        <w:sectPr>
          <w:pgSz w:w="11900" w:h="16838" w:orient="portrait"/>
          <w:cols w:equalWidth="0" w:num="1">
            <w:col w:w="11140"/>
          </w:cols>
          <w:pgMar w:left="320" w:top="482" w:right="439" w:bottom="1440" w:gutter="0" w:footer="0" w:header="0"/>
        </w:sectPr>
      </w:pPr>
    </w:p>
    <w:bookmarkStart w:id="266" w:name="page267"/>
    <w:bookmarkEnd w:id="2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43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BAIDU, INC.</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THE YEARS ENDED DECEMBER 31, 2023, 2024 AND 2025</w:t>
      </w:r>
    </w:p>
    <w:p>
      <w:pPr>
        <w:spacing w:after="0" w:line="234" w:lineRule="exact"/>
        <w:rPr>
          <w:sz w:val="20"/>
          <w:szCs w:val="20"/>
          <w:color w:val="auto"/>
        </w:rPr>
      </w:pPr>
    </w:p>
    <w:p>
      <w:pPr>
        <w:jc w:val="both"/>
        <w:ind w:left="120"/>
        <w:spacing w:after="0" w:line="282" w:lineRule="auto"/>
        <w:rPr>
          <w:sz w:val="20"/>
          <w:szCs w:val="20"/>
          <w:color w:val="auto"/>
        </w:rPr>
      </w:pPr>
      <w:r>
        <w:rPr>
          <w:rFonts w:ascii="Times New Roman" w:cs="Times New Roman" w:eastAsia="Times New Roman" w:hAnsi="Times New Roman"/>
          <w:sz w:val="18"/>
          <w:szCs w:val="18"/>
          <w:color w:val="auto"/>
        </w:rPr>
        <w:t>The holders may require iQIYI to repurchase all or a portion of the iQIYI 2026 Convertible Notes for cash on August 1, 2024, or upon a fundamental change, at a repurchase price equal to 100% of the principal amount, plus accrued and unpaid interest.</w:t>
      </w:r>
    </w:p>
    <w:p>
      <w:pPr>
        <w:spacing w:after="0" w:line="162"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In 2023, iQIYI repurchased the iQIYI 2026 Convertible Notes with the aggregate principal amount of US$504 million upon separate and individually privately negotiated agreements with certain holders. In 2024, iQIYI repurchased the iQIYI 2026 Convertible Notes with aggregate principal amount of US$396 million as requested by the holders. As of December 31, 2025, US$0.1 million principal amount of the iQIYI 2026 Convertible Notes remained outstanding.</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iQIYI PAG Convertible Senior Notes</w:t>
      </w:r>
    </w:p>
    <w:p>
      <w:pPr>
        <w:spacing w:after="0" w:line="121" w:lineRule="exact"/>
        <w:rPr>
          <w:sz w:val="20"/>
          <w:szCs w:val="20"/>
          <w:color w:val="auto"/>
        </w:rPr>
      </w:pPr>
    </w:p>
    <w:p>
      <w:pPr>
        <w:jc w:val="both"/>
        <w:ind w:left="120"/>
        <w:spacing w:after="0" w:line="254" w:lineRule="auto"/>
        <w:rPr>
          <w:sz w:val="20"/>
          <w:szCs w:val="20"/>
          <w:color w:val="auto"/>
        </w:rPr>
      </w:pPr>
      <w:r>
        <w:rPr>
          <w:rFonts w:ascii="Times New Roman" w:cs="Times New Roman" w:eastAsia="Times New Roman" w:hAnsi="Times New Roman"/>
          <w:sz w:val="18"/>
          <w:szCs w:val="18"/>
          <w:color w:val="auto"/>
        </w:rPr>
        <w:t>On December 30, 2022, iQIYI issued US$500 million convertible senior notes, pursuant to the definitive agreements entered into with PAGAC IV-1 (Cayman) Limited, PAG Pegasus Fund LP and/or their affiliates (collectively, the “Investors”) in August 2022. iQIYI also offered an additional US$50 million principal amount simultaneously, pursuant to the Investors’ option to purchase additional notes. On February 24, 2023, the additional US$50 million principal amount was issued pursuant to the Investors’ exercise of their option. The convertible senior notes issued on December 30, 2022 and February 24, 2023 (collectively referred to as the “iQIYI PAG Convertible Notes”) are senior, secured obligations of iQIYI by certain collateral arrangements, and interest is payable quarterly in cash at a rate of 6.00% per annum on January 1, April 1, July 1 and October 1 of each year, beginning on April 1, 2023. The iQIYI PAG Convertible Notes will mature on the fifth anniversary of the issuance date unless redeemed, repurchased or converted prior to such date.</w:t>
      </w:r>
    </w:p>
    <w:p>
      <w:pPr>
        <w:spacing w:after="0" w:line="192" w:lineRule="exact"/>
        <w:rPr>
          <w:sz w:val="20"/>
          <w:szCs w:val="20"/>
          <w:color w:val="auto"/>
        </w:rPr>
      </w:pPr>
    </w:p>
    <w:p>
      <w:pPr>
        <w:jc w:val="both"/>
        <w:ind w:left="120"/>
        <w:spacing w:after="0" w:line="258" w:lineRule="auto"/>
        <w:rPr>
          <w:sz w:val="20"/>
          <w:szCs w:val="20"/>
          <w:color w:val="auto"/>
        </w:rPr>
      </w:pPr>
      <w:r>
        <w:rPr>
          <w:rFonts w:ascii="Times New Roman" w:cs="Times New Roman" w:eastAsia="Times New Roman" w:hAnsi="Times New Roman"/>
          <w:sz w:val="18"/>
          <w:szCs w:val="18"/>
          <w:color w:val="auto"/>
        </w:rPr>
        <w:t>The iQIYI PAG Convertible Notes will be convertible at the holder’s option at any time prior to the close of business on the second scheduled trading day immediately preceding the maturity date and subject to the terms of the iQIYI PAG Convertible Notes, at an initial conversion rate of 216.9668 ADS per US$ 1,000 principal amount of the iQIYI PAG Convertible Notes (which is equivalent to an initial conversion price of approximately US$4.61 per ADS). Following a make-whole fundamental change that occurs prior to the maturity date, iQIYI will increase the conversion rate for a holder who elects to convert its notes in connection with such make-whole fundamental change.</w:t>
      </w:r>
    </w:p>
    <w:p>
      <w:pPr>
        <w:spacing w:after="0" w:line="183" w:lineRule="exact"/>
        <w:rPr>
          <w:sz w:val="20"/>
          <w:szCs w:val="20"/>
          <w:color w:val="auto"/>
        </w:rPr>
      </w:pPr>
    </w:p>
    <w:p>
      <w:pPr>
        <w:jc w:val="both"/>
        <w:ind w:left="120"/>
        <w:spacing w:after="0" w:line="254" w:lineRule="auto"/>
        <w:rPr>
          <w:sz w:val="20"/>
          <w:szCs w:val="20"/>
          <w:color w:val="auto"/>
        </w:rPr>
      </w:pPr>
      <w:r>
        <w:rPr>
          <w:rFonts w:ascii="Times New Roman" w:cs="Times New Roman" w:eastAsia="Times New Roman" w:hAnsi="Times New Roman"/>
          <w:sz w:val="18"/>
          <w:szCs w:val="18"/>
          <w:color w:val="auto"/>
        </w:rPr>
        <w:t>Holders of the iQIYI PAG Convertible Notes have the right to require iQIYI to repurchase for cash all or part of their Notes, at a repurchase price equal to 120% and 130% of the principal amount of the iQIYI PAG Convertible Notes on or shortly after the third anniversary of the issuance date and the fifth anniversary of the issuance date, respectively. Upon the closing of the transaction, the Investors have appointed the executive chairman of PAG, as a member to the board of directors, a member of the compensation committee and a non-voting member of the audit committee of iQIYI pursuant to their rights in the definitive agreements. For the years ended December 31, 2023, 2024 and 2025, the amount of interest cost recognized of iQIYI PAG Convertible Notes was RMB473 million, RMB487 million and RMB439 million (US$63 million), respectively. The repayments of iQIYI PAG Convertible Notes are guaranteed by equity interests of certain subsidiaries of iQIYI and collateralized by partial cash consideration related to certain contracts for which nil cash consideration has been charged as of December 31, 2025 and recorded as long-term restricted cash.</w:t>
      </w:r>
    </w:p>
    <w:p>
      <w:pPr>
        <w:spacing w:after="0" w:line="192"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In 2025, iQIYI repurchased the iQIYI PAG Convertible Notes with the aggregate principal amount of US$28 million upon separate and individually privately negotiated agreements with certain holders. As of December 31, 2025, US$523 million principal amount of the iQIYI PAG Convertible Notes remained outstanding.</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iQIYI 2028 Convertible Senior Notes</w:t>
      </w:r>
    </w:p>
    <w:p>
      <w:pPr>
        <w:spacing w:after="0" w:line="121"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On March 7, 2023, iQIYI issued US$600 million convertible senior notes (the “iQIYI 2028 Convertible Notes”). The iQIYI 2028 Convertible Notes are senior, unsecured obligations of iQIYI, and interest is payable quarterly in cash at a rate of 6.50% per annum on March 15, June 15, September 15 and December 15 of each year, beginning on June 15, 2023. The iQIYI 2028 Convertible Notes will mature on March 15, 2028 unless redeemed, repurchased or converted prior to such date.</w:t>
      </w:r>
    </w:p>
    <w:p>
      <w:pPr>
        <w:spacing w:after="0" w:line="35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F-42</w:t>
      </w:r>
    </w:p>
    <w:p>
      <w:pPr>
        <w:sectPr>
          <w:pgSz w:w="11900" w:h="16838" w:orient="portrait"/>
          <w:cols w:equalWidth="0" w:num="1">
            <w:col w:w="11120"/>
          </w:cols>
          <w:pgMar w:left="320" w:top="482" w:right="459" w:bottom="1440" w:gutter="0" w:footer="0" w:header="0"/>
        </w:sectPr>
      </w:pPr>
    </w:p>
    <w:bookmarkStart w:id="267" w:name="page268"/>
    <w:bookmarkEnd w:id="2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43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BAIDU, INC.</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THE YEARS ENDED DECEMBER 31, 2023, 2024 AND 2025</w:t>
      </w:r>
    </w:p>
    <w:p>
      <w:pPr>
        <w:spacing w:after="0" w:line="234" w:lineRule="exact"/>
        <w:rPr>
          <w:sz w:val="20"/>
          <w:szCs w:val="20"/>
          <w:color w:val="auto"/>
        </w:rPr>
      </w:pPr>
    </w:p>
    <w:p>
      <w:pPr>
        <w:jc w:val="both"/>
        <w:ind w:left="120"/>
        <w:spacing w:after="0" w:line="252" w:lineRule="auto"/>
        <w:rPr>
          <w:sz w:val="20"/>
          <w:szCs w:val="20"/>
          <w:color w:val="auto"/>
        </w:rPr>
      </w:pPr>
      <w:r>
        <w:rPr>
          <w:rFonts w:ascii="Times New Roman" w:cs="Times New Roman" w:eastAsia="Times New Roman" w:hAnsi="Times New Roman"/>
          <w:sz w:val="18"/>
          <w:szCs w:val="18"/>
          <w:color w:val="auto"/>
        </w:rPr>
        <w:t>The initial conversion rate of the iQIYI 2028 Convertible Notes is 101.4636 of iQIYI’s ADS per US$1,000 principal amount of the iQIYI 2028 Convertible Notes (which is equivalent to an initial conversion price of approximately US$9.86 per ADS). Prior to September 15, 2027, the iQIYI 2028 Convertible Notes will be convertible at the option of the holders only upon the following circumstances: (1) during any calendar quarter commencing after the calendar quarter ending on June 30, 2023 (and only during such calendar quarter), if the last reported sale price of ADSs for at least 20 trading days (whether or not consecutive) during a period of 30 consecutive trading days ending on, and including, the last trading day of the immediately preceding calendar quarter is greater than or equal to 130% of the conversion price; (2) during the five business day period after any ten consecutive trading day period in which the trading price per US$1,000 principal amount of notes was less than 98% of the product of the last reported sale price of the ADSs and the conversion rate on each such trading day; (3) if iQIYI calls the notes for a tax redemption or an optional redemption; or (4) upon the occurrence of specified corporate events. Thereafter, the iQIYI 2028 Convertible Notes will be convertible at the option of the holders at any time until the close of business on the second scheduled trading day immediately preceding the maturity date. The conversion rate is subject to adjustment in some events but is not adjusted for any accrued and unpaid interest. In addition, following a make-whole fundamental change that occurs prior to the maturity date or following iQIYI’s delivery of a notice of a tax redemption, iQIYI will increase the conversion rate for a holder who elects to convert its notes in connection with such a corporate event or such tax redemption. Upon conversion, iQIYI will pay or deliver to such converting holders, as the case may be, cash, ADSs, or a combination of cash and ADSs, at its election.</w:t>
      </w:r>
    </w:p>
    <w:p>
      <w:pPr>
        <w:spacing w:after="0" w:line="197" w:lineRule="exact"/>
        <w:rPr>
          <w:sz w:val="20"/>
          <w:szCs w:val="20"/>
          <w:color w:val="auto"/>
        </w:rPr>
      </w:pPr>
    </w:p>
    <w:p>
      <w:pPr>
        <w:jc w:val="both"/>
        <w:ind w:left="120"/>
        <w:spacing w:after="0" w:line="256" w:lineRule="auto"/>
        <w:rPr>
          <w:sz w:val="20"/>
          <w:szCs w:val="20"/>
          <w:color w:val="auto"/>
        </w:rPr>
      </w:pPr>
      <w:r>
        <w:rPr>
          <w:rFonts w:ascii="Times New Roman" w:cs="Times New Roman" w:eastAsia="Times New Roman" w:hAnsi="Times New Roman"/>
          <w:sz w:val="18"/>
          <w:szCs w:val="18"/>
          <w:color w:val="auto"/>
        </w:rPr>
        <w:t>The holders may require iQIYI to repurchase all or a portion of the iQIYI 2028 Convertible Notes for cash on March 16, 2026, or upon a fundamental change, at a repurchase price equal to 100% of the principal amount, plus accrued and unpaid interest. On or after March 20, 2026, iQIYI may redeem for cash all or part of the iQIYI 2028 Convertible Notes, at its option, if the last reported sale price of the ADSs has been at least 130% of the conversion price then in effect on (i) each of at least 20 trading days (whether or not consecutive) during the period of 30 consecutive trading days ending on, and including, the trading day immediately prior to the date iQIYI provides the optional redemption notice and (ii) the trading day immediately preceding the date iQIYI provides the optional redemption notice.</w:t>
      </w:r>
    </w:p>
    <w:p>
      <w:pPr>
        <w:spacing w:after="0" w:line="187"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As of December 31, 2025, iQIYI has repurchased the iQIYI 2028 Convertible Notes with the aggregate principal amount of US$392 million upon separate and individually privately negotiated agreements with certain holders. As of December 31, 2025, US$208 million principal amount of the iQIYI 2028 Convertible Notes remained outstanding.</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iQIYI 2030 Convertible Senior Notes</w:t>
      </w:r>
    </w:p>
    <w:p>
      <w:pPr>
        <w:spacing w:after="0" w:line="121" w:lineRule="exact"/>
        <w:rPr>
          <w:sz w:val="20"/>
          <w:szCs w:val="20"/>
          <w:color w:val="auto"/>
        </w:rPr>
      </w:pPr>
    </w:p>
    <w:p>
      <w:pPr>
        <w:jc w:val="both"/>
        <w:ind w:left="120" w:right="20"/>
        <w:spacing w:after="0" w:line="261" w:lineRule="auto"/>
        <w:rPr>
          <w:sz w:val="20"/>
          <w:szCs w:val="20"/>
          <w:color w:val="auto"/>
        </w:rPr>
      </w:pPr>
      <w:r>
        <w:rPr>
          <w:rFonts w:ascii="Times New Roman" w:cs="Times New Roman" w:eastAsia="Times New Roman" w:hAnsi="Times New Roman"/>
          <w:sz w:val="18"/>
          <w:szCs w:val="18"/>
          <w:color w:val="auto"/>
        </w:rPr>
        <w:t>On February 24, 2025, iQIYI issued US$350 million convertible senior notes (the “iQIYI 2030 Convertible Notes”). The iQIYI 2030 Convertible Notes are senior, unsecured obligations of iQIYI, and interest is payable quarterly in cash at a rate of 4.625% per annum on March 15, June 15 September 15 and December 15 of each year, beginning on June 15, 2025. The iQIYI 2030 Convertible Notes will mature on March 15, 2030 unless redeemed, repurchased or converted prior to such date.</w:t>
      </w:r>
    </w:p>
    <w:p>
      <w:pPr>
        <w:spacing w:after="0" w:line="180" w:lineRule="exact"/>
        <w:rPr>
          <w:sz w:val="20"/>
          <w:szCs w:val="20"/>
          <w:color w:val="auto"/>
        </w:rPr>
      </w:pPr>
    </w:p>
    <w:p>
      <w:pPr>
        <w:jc w:val="both"/>
        <w:ind w:left="120"/>
        <w:spacing w:after="0" w:line="252" w:lineRule="auto"/>
        <w:rPr>
          <w:sz w:val="20"/>
          <w:szCs w:val="20"/>
          <w:color w:val="auto"/>
        </w:rPr>
      </w:pPr>
      <w:r>
        <w:rPr>
          <w:rFonts w:ascii="Times New Roman" w:cs="Times New Roman" w:eastAsia="Times New Roman" w:hAnsi="Times New Roman"/>
          <w:sz w:val="18"/>
          <w:szCs w:val="18"/>
          <w:color w:val="auto"/>
        </w:rPr>
        <w:t>The initial conversion rate of the iQIYI 2030 Convertible Notes is 324.0966 of iQIYI’s ADS per US$1,000 principal amount of the iQIYI 2030 Convertible Notes (which is equivalent to an initial conversion price of approximately US$3.09 per ADS). Prior to September 15, 2029, the iQIYI 2030 Convertible Notes will be convertible at the option of the holders only upon the following circumstances: (1) during any calendar quarter commencing after the calendar quarter ending on June 30, 2025 (and only during such calendar quarter), if the last reported sale price of ADSs for at least 20 trading days (whether or not consecutive) during a period of 30 consecutive trading days ending on, and including, the last trading day of the immediately preceding calendar quarter is greater than or equal to 130% of the conversion price; (2) during the five business day period after any ten consecutive trading day period in which the trading price per US$1,000 principal amount of notes was less than 98% of the product of the last reported sale price of the ADSs and the conversion rate on each such trading day; (3) if iQIYI calls the notes for a tax redemption or an optional redemption; or (4) upon the occurrence of specified corporate events. Thereafter, the iQIYI 2030 Convertible Notes will be convertible at the option of the holders at any time until the close of business on the second scheduled trading day immediately preceding the maturity date. The conversion rate is subject to adjustment in some events but is not adjusted for any accrued and unpaid interest. In addition, following a make-whole fundamental change that occurs prior to the maturity date or following iQIYI’s delivery of a notice of a tax redemption, iQIYI will increase the conversion rate for a holder who elects to convert its notes in connection with such a corporate event or such tax redemption. Upon conversion, iQIYI will pay or deliver to such converting holders, as the case may be, cash, ADSs, or a combination of cash and ADSs, at its election.</w:t>
      </w:r>
    </w:p>
    <w:p>
      <w:pPr>
        <w:spacing w:after="0" w:line="197" w:lineRule="exact"/>
        <w:rPr>
          <w:sz w:val="20"/>
          <w:szCs w:val="20"/>
          <w:color w:val="auto"/>
        </w:rPr>
      </w:pPr>
    </w:p>
    <w:p>
      <w:pPr>
        <w:jc w:val="both"/>
        <w:ind w:left="120"/>
        <w:spacing w:after="0" w:line="256" w:lineRule="auto"/>
        <w:rPr>
          <w:sz w:val="20"/>
          <w:szCs w:val="20"/>
          <w:color w:val="auto"/>
        </w:rPr>
      </w:pPr>
      <w:r>
        <w:rPr>
          <w:rFonts w:ascii="Times New Roman" w:cs="Times New Roman" w:eastAsia="Times New Roman" w:hAnsi="Times New Roman"/>
          <w:sz w:val="18"/>
          <w:szCs w:val="18"/>
          <w:color w:val="auto"/>
        </w:rPr>
        <w:t>The holders may require iQIYI to repurchase all or a portion of the iQIYI 2030 Convertible Notes for cash on March 15, 2028, or upon a fundamental change, at a repurchase price equal to 100% of the principal amount, plus accrued and unpaid interest. On or after March 20, 2028, iQIYI may redeem for cash all or part of the iQIYI 2030 Convertible Notes, at its option, if the last reported sale price of the ADSs has been at least 130% of the conversion price then in effect on (i) each of at least 20 trading days (whether or not consecutive) during the period of 30 consecutive trading days ending on, and including, the trading day immediately prior to the date iQIYI provides the optional redemption notice and (ii) the trading day immediately preceding the date iQIYI provides the optional redemption notice.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F-43</w:t>
      </w:r>
    </w:p>
    <w:p>
      <w:pPr>
        <w:sectPr>
          <w:pgSz w:w="11900" w:h="16838" w:orient="portrait"/>
          <w:cols w:equalWidth="0" w:num="1">
            <w:col w:w="11140"/>
          </w:cols>
          <w:pgMar w:left="320" w:top="482" w:right="439" w:bottom="1440" w:gutter="0" w:footer="0" w:header="0"/>
        </w:sectPr>
      </w:pPr>
    </w:p>
    <w:bookmarkStart w:id="268" w:name="page269"/>
    <w:bookmarkEnd w:id="2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44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BAIDU, INC.</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THE YEARS ENDED DECEMBER 31, 2023, 2024 AND 2025</w:t>
      </w:r>
    </w:p>
    <w:p>
      <w:pPr>
        <w:spacing w:after="0" w:line="234" w:lineRule="exact"/>
        <w:rPr>
          <w:sz w:val="20"/>
          <w:szCs w:val="20"/>
          <w:color w:val="auto"/>
        </w:rPr>
      </w:pPr>
    </w:p>
    <w:p>
      <w:pPr>
        <w:jc w:val="both"/>
        <w:ind w:left="120"/>
        <w:spacing w:after="0" w:line="254" w:lineRule="auto"/>
        <w:rPr>
          <w:sz w:val="20"/>
          <w:szCs w:val="20"/>
          <w:color w:val="auto"/>
        </w:rPr>
      </w:pPr>
      <w:r>
        <w:rPr>
          <w:rFonts w:ascii="Times New Roman" w:cs="Times New Roman" w:eastAsia="Times New Roman" w:hAnsi="Times New Roman"/>
          <w:sz w:val="18"/>
          <w:szCs w:val="18"/>
          <w:color w:val="auto"/>
        </w:rPr>
        <w:t>If any event of default are to take place, the trustee or the holders of at least 25% in aggregate principal amount may declare the whole principal of (or, in the case of the iQIYI PAG Convertible Notes, 120% or 130% of the principal amount for such notes, as the case may be, depending on the date of occurrence of the event of default), and accrued and unpaid interest on, all the outstanding convertible senior notes to be due and payable immediately, subject to certain exceptions and conditions under the respective indenture. iQIYI may also be required to pay additional interest. If any fundamental change are to take place, holders of the iQIYI Convertible Notes will have the right, at their option, to require iQIYI to repurchase all of their notes or any portion of the principal amount (or, in the case of the iQIYI PAG Convertible Notes, 120% or 130% of the principal amount for such notes, as the case may be, depending on the date of occurrence of the fundamental change), and accrued and unpaid interests. In the event of a fundamental change, iQIYI may also be required to issue additional ADSs upon conversion of its convertible notes. As of December 31, 2025, there was no such event of default or fundamental change.</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Accounting for Convertible Senior Notes</w:t>
      </w:r>
    </w:p>
    <w:p>
      <w:pPr>
        <w:spacing w:after="0" w:line="121" w:lineRule="exact"/>
        <w:rPr>
          <w:sz w:val="20"/>
          <w:szCs w:val="20"/>
          <w:color w:val="auto"/>
        </w:rPr>
      </w:pPr>
    </w:p>
    <w:p>
      <w:pPr>
        <w:jc w:val="both"/>
        <w:ind w:left="120"/>
        <w:spacing w:after="0" w:line="254" w:lineRule="auto"/>
        <w:rPr>
          <w:sz w:val="20"/>
          <w:szCs w:val="20"/>
          <w:color w:val="auto"/>
        </w:rPr>
      </w:pPr>
      <w:r>
        <w:rPr>
          <w:rFonts w:ascii="Times New Roman" w:cs="Times New Roman" w:eastAsia="Times New Roman" w:hAnsi="Times New Roman"/>
          <w:sz w:val="18"/>
          <w:szCs w:val="18"/>
          <w:color w:val="auto"/>
        </w:rPr>
        <w:t>As the iQIYI 2026 Convertible Notes, the iQIYI 2028 Convertible Notes, the iQIYI 2030 Convertible Notes and the iQIYI PAG Convertible Notes (collectively as the “iQIYI Convertible Notes”) were not issued at a substantial premium, all of the proceeds received from the issuance of the iQIYI Convertible Notes are recorded as a liability on the consolidated balance sheet in accordance with ASC 470-20. That is, no portion of the proceeds from issuing the iQIYI Convertible Notes are attributed to the conversion option at inception. The difference between the principal amount of each of the iQIYI Convertible Notes and net proceeds from the issuance is considered debt discount and is amortized at their respective effective interest rates to accrete the carrying value of the iQIYI Convertible Notes to its face value (120% or 130% of the principal amount for iQIYI PAG Convertible Notes) on the respective put dates or maturity dates of the iQIYI Convertible Notes. For the year ended December 31, 2025, the effective interest rates of the iQIYI PAG Convertible Notes, the iQIYI 2028 Convertible Notes and the iQIYI 2030 Convertible Notes were 10.20%, 7.15% and 5.28%, respectively.</w:t>
      </w:r>
    </w:p>
    <w:p>
      <w:pPr>
        <w:spacing w:after="0" w:line="192" w:lineRule="exact"/>
        <w:rPr>
          <w:sz w:val="20"/>
          <w:szCs w:val="20"/>
          <w:color w:val="auto"/>
        </w:rPr>
      </w:pPr>
    </w:p>
    <w:p>
      <w:pPr>
        <w:jc w:val="both"/>
        <w:ind w:left="120"/>
        <w:spacing w:after="0" w:line="275" w:lineRule="auto"/>
        <w:rPr>
          <w:sz w:val="20"/>
          <w:szCs w:val="20"/>
          <w:color w:val="auto"/>
        </w:rPr>
      </w:pPr>
      <w:r>
        <w:rPr>
          <w:rFonts w:ascii="Times New Roman" w:cs="Times New Roman" w:eastAsia="Times New Roman" w:hAnsi="Times New Roman"/>
          <w:sz w:val="18"/>
          <w:szCs w:val="18"/>
          <w:color w:val="auto"/>
        </w:rPr>
        <w:t>The net proceeds from the issuance of the iQIYI 2028 Convertible Notes and the iQIYI 2030 Convertible Notes were US$590 million and US$344 million, net of issuance costs of US$10 million and US$6 million from the initial proceeds of US$600 million and US$350 million, respectively.</w:t>
      </w:r>
    </w:p>
    <w:p>
      <w:pPr>
        <w:spacing w:after="0" w:line="390" w:lineRule="exact"/>
        <w:rPr>
          <w:sz w:val="20"/>
          <w:szCs w:val="20"/>
          <w:color w:val="auto"/>
        </w:rPr>
      </w:pPr>
    </w:p>
    <w:p>
      <w:pPr>
        <w:jc w:val="both"/>
        <w:ind w:left="120" w:right="20"/>
        <w:spacing w:after="0" w:line="258" w:lineRule="auto"/>
        <w:rPr>
          <w:sz w:val="20"/>
          <w:szCs w:val="20"/>
          <w:color w:val="auto"/>
        </w:rPr>
      </w:pPr>
      <w:r>
        <w:rPr>
          <w:rFonts w:ascii="Times New Roman" w:cs="Times New Roman" w:eastAsia="Times New Roman" w:hAnsi="Times New Roman"/>
          <w:sz w:val="18"/>
          <w:szCs w:val="18"/>
          <w:color w:val="auto"/>
        </w:rPr>
        <w:t xml:space="preserve">In accordance with the facility agreements entered into in August 2024, upon the iQIYI PAG Convertible Notes total drawdown of US$400 million in August 2024, the iQIYI PAG Convertible Notes repurchase right for the US$523 million principal of the iQIYI PAG Convertible Notes on or shortly after the third anniversary of the issuance date was waived. It was accounted for as a debt modification pursuant to ASC 470-50, </w:t>
      </w:r>
      <w:r>
        <w:rPr>
          <w:rFonts w:ascii="Times New Roman" w:cs="Times New Roman" w:eastAsia="Times New Roman" w:hAnsi="Times New Roman"/>
          <w:sz w:val="18"/>
          <w:szCs w:val="18"/>
          <w:i w:val="1"/>
          <w:iCs w:val="1"/>
          <w:color w:val="auto"/>
        </w:rPr>
        <w:t>Debt—Modifications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Extinguishment </w:t>
      </w:r>
      <w:r>
        <w:rPr>
          <w:rFonts w:ascii="Times New Roman" w:cs="Times New Roman" w:eastAsia="Times New Roman" w:hAnsi="Times New Roman"/>
          <w:sz w:val="18"/>
          <w:szCs w:val="18"/>
          <w:color w:val="auto"/>
        </w:rPr>
        <w:t>(“ASC 470-50”), resulting in the effective interest rates of the iQIYI PAG Convertible Notes held by PAG decreased from 12.05%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10.20%.</w:t>
      </w:r>
    </w:p>
    <w:p>
      <w:pPr>
        <w:spacing w:after="0" w:line="183"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Following settlement of the repurchase, a difference between the net carrying amount of the repurchased iQIYI Convertible Notes and the repurchased price was recognized as extinguishment gain and reported in “Others, net” in the consolidated statements of comprehensive income.</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carrying amount of the iQIYI Convertible Notes as of December 31, 2024 and 2025 were as follows: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480" w:type="dxa"/>
            <w:vAlign w:val="bottom"/>
          </w:tcPr>
          <w:p>
            <w:pPr>
              <w:spacing w:after="0"/>
              <w:rPr>
                <w:sz w:val="15"/>
                <w:szCs w:val="15"/>
                <w:color w:val="auto"/>
              </w:rPr>
            </w:pPr>
          </w:p>
        </w:tc>
        <w:tc>
          <w:tcPr>
            <w:tcW w:w="1880" w:type="dxa"/>
            <w:vAlign w:val="bottom"/>
            <w:gridSpan w:val="6"/>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42"/>
        </w:trPr>
        <w:tc>
          <w:tcPr>
            <w:tcW w:w="648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117"/>
        </w:trPr>
        <w:tc>
          <w:tcPr>
            <w:tcW w:w="6480" w:type="dxa"/>
            <w:vAlign w:val="bottom"/>
          </w:tcPr>
          <w:p>
            <w:pPr>
              <w:spacing w:after="0"/>
              <w:rPr>
                <w:sz w:val="10"/>
                <w:szCs w:val="10"/>
                <w:color w:val="auto"/>
              </w:rPr>
            </w:pPr>
          </w:p>
        </w:tc>
        <w:tc>
          <w:tcPr>
            <w:tcW w:w="46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200" w:type="dxa"/>
            <w:vAlign w:val="bottom"/>
          </w:tcPr>
          <w:p>
            <w:pPr>
              <w:spacing w:after="0"/>
              <w:rPr>
                <w:sz w:val="10"/>
                <w:szCs w:val="10"/>
                <w:color w:val="auto"/>
              </w:rPr>
            </w:pPr>
          </w:p>
        </w:tc>
        <w:tc>
          <w:tcPr>
            <w:tcW w:w="4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200" w:type="dxa"/>
            <w:vAlign w:val="bottom"/>
          </w:tcPr>
          <w:p>
            <w:pPr>
              <w:spacing w:after="0"/>
              <w:rPr>
                <w:sz w:val="10"/>
                <w:szCs w:val="10"/>
                <w:color w:val="auto"/>
              </w:rPr>
            </w:pPr>
          </w:p>
        </w:tc>
        <w:tc>
          <w:tcPr>
            <w:tcW w:w="460" w:type="dxa"/>
            <w:vAlign w:val="bottom"/>
          </w:tcPr>
          <w:p>
            <w:pPr>
              <w:ind w:left="100"/>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c>
          <w:tcPr>
            <w:tcW w:w="100" w:type="dxa"/>
            <w:vAlign w:val="bottom"/>
          </w:tcPr>
          <w:p>
            <w:pPr>
              <w:spacing w:after="0"/>
              <w:rPr>
                <w:sz w:val="10"/>
                <w:szCs w:val="10"/>
                <w:color w:val="auto"/>
              </w:rPr>
            </w:pPr>
          </w:p>
        </w:tc>
      </w:tr>
      <w:tr>
        <w:trPr>
          <w:trHeight w:val="173"/>
        </w:trPr>
        <w:tc>
          <w:tcPr>
            <w:tcW w:w="6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6"/>
        </w:trPr>
        <w:tc>
          <w:tcPr>
            <w:tcW w:w="6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Principal</w:t>
            </w:r>
          </w:p>
        </w:tc>
        <w:tc>
          <w:tcPr>
            <w:tcW w:w="66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8,161</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7,583</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1,084</w:t>
            </w:r>
          </w:p>
        </w:tc>
      </w:tr>
      <w:tr>
        <w:trPr>
          <w:trHeight w:val="216"/>
        </w:trPr>
        <w:tc>
          <w:tcPr>
            <w:tcW w:w="6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Less: unamortized discount and debt issuance costs</w:t>
            </w:r>
          </w:p>
        </w:tc>
        <w:tc>
          <w:tcPr>
            <w:tcW w:w="66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(432)</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(588)</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w:t>
            </w:r>
          </w:p>
        </w:tc>
      </w:tr>
      <w:tr>
        <w:trPr>
          <w:trHeight w:val="27"/>
        </w:trPr>
        <w:tc>
          <w:tcPr>
            <w:tcW w:w="64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carrying amount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8,593</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8,171</w:t>
            </w: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1,168</w:t>
            </w:r>
          </w:p>
        </w:tc>
      </w:tr>
      <w:tr>
        <w:trPr>
          <w:trHeight w:val="20"/>
        </w:trPr>
        <w:tc>
          <w:tcPr>
            <w:tcW w:w="64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the years ended December 31, 2023, 2024 and 2025, the amounts of interest cost recognized were as follows:</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2160" w:type="dxa"/>
            <w:vAlign w:val="bottom"/>
            <w:gridSpan w:val="8"/>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3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24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140" w:type="dxa"/>
            <w:vAlign w:val="bottom"/>
          </w:tcPr>
          <w:p>
            <w:pPr>
              <w:spacing w:after="0"/>
              <w:rPr>
                <w:sz w:val="10"/>
                <w:szCs w:val="10"/>
                <w:color w:val="auto"/>
              </w:rPr>
            </w:pPr>
          </w:p>
        </w:tc>
        <w:tc>
          <w:tcPr>
            <w:tcW w:w="3800" w:type="dxa"/>
            <w:vAlign w:val="bottom"/>
          </w:tcPr>
          <w:p>
            <w:pPr>
              <w:spacing w:after="0"/>
              <w:rPr>
                <w:sz w:val="10"/>
                <w:szCs w:val="10"/>
                <w:color w:val="auto"/>
              </w:rPr>
            </w:pPr>
          </w:p>
        </w:tc>
        <w:tc>
          <w:tcPr>
            <w:tcW w:w="34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260" w:type="dxa"/>
            <w:vAlign w:val="bottom"/>
          </w:tcPr>
          <w:p>
            <w:pPr>
              <w:spacing w:after="0"/>
              <w:rPr>
                <w:sz w:val="10"/>
                <w:szCs w:val="10"/>
                <w:color w:val="auto"/>
              </w:rPr>
            </w:pPr>
          </w:p>
        </w:tc>
        <w:tc>
          <w:tcPr>
            <w:tcW w:w="34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260" w:type="dxa"/>
            <w:vAlign w:val="bottom"/>
          </w:tcPr>
          <w:p>
            <w:pPr>
              <w:spacing w:after="0"/>
              <w:rPr>
                <w:sz w:val="10"/>
                <w:szCs w:val="10"/>
                <w:color w:val="auto"/>
              </w:rPr>
            </w:pPr>
          </w:p>
        </w:tc>
        <w:tc>
          <w:tcPr>
            <w:tcW w:w="34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240" w:type="dxa"/>
            <w:vAlign w:val="bottom"/>
          </w:tcPr>
          <w:p>
            <w:pPr>
              <w:spacing w:after="0"/>
              <w:rPr>
                <w:sz w:val="10"/>
                <w:szCs w:val="10"/>
                <w:color w:val="auto"/>
              </w:rPr>
            </w:pPr>
          </w:p>
        </w:tc>
        <w:tc>
          <w:tcPr>
            <w:tcW w:w="34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Contractual interest expense</w:t>
            </w:r>
          </w:p>
        </w:tc>
        <w:tc>
          <w:tcPr>
            <w:tcW w:w="44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644</w:t>
            </w:r>
          </w:p>
        </w:tc>
        <w:tc>
          <w:tcPr>
            <w:tcW w:w="6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571</w:t>
            </w:r>
          </w:p>
        </w:tc>
        <w:tc>
          <w:tcPr>
            <w:tcW w:w="5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462</w:t>
            </w:r>
          </w:p>
        </w:tc>
        <w:tc>
          <w:tcPr>
            <w:tcW w:w="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the discount and issuance costs</w:t>
            </w:r>
          </w:p>
        </w:tc>
        <w:tc>
          <w:tcPr>
            <w:tcW w:w="3800" w:type="dxa"/>
            <w:vAlign w:val="bottom"/>
          </w:tcPr>
          <w:p>
            <w:pPr>
              <w:spacing w:after="0"/>
              <w:rPr>
                <w:sz w:val="18"/>
                <w:szCs w:val="18"/>
                <w:color w:val="auto"/>
              </w:rPr>
            </w:pP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292</w:t>
            </w: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278</w:t>
            </w: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236</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40" w:type="dxa"/>
            <w:vAlign w:val="bottom"/>
          </w:tcPr>
          <w:p>
            <w:pPr>
              <w:spacing w:after="0"/>
              <w:rPr>
                <w:sz w:val="2"/>
                <w:szCs w:val="2"/>
                <w:color w:val="auto"/>
              </w:rPr>
            </w:pPr>
          </w:p>
        </w:tc>
        <w:tc>
          <w:tcPr>
            <w:tcW w:w="38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8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936</w:t>
            </w:r>
          </w:p>
        </w:tc>
        <w:tc>
          <w:tcPr>
            <w:tcW w:w="6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849</w:t>
            </w:r>
          </w:p>
        </w:tc>
        <w:tc>
          <w:tcPr>
            <w:tcW w:w="5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698</w:t>
            </w:r>
          </w:p>
        </w:tc>
        <w:tc>
          <w:tcPr>
            <w:tcW w:w="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4400" w:type="dxa"/>
            <w:vAlign w:val="bottom"/>
            <w:gridSpan w:val="3"/>
          </w:tcPr>
          <w:p>
            <w:pPr>
              <w:jc w:val="right"/>
              <w:ind w:right="3320"/>
              <w:spacing w:after="0"/>
              <w:rPr>
                <w:sz w:val="20"/>
                <w:szCs w:val="20"/>
                <w:color w:val="auto"/>
              </w:rPr>
            </w:pPr>
            <w:r>
              <w:rPr>
                <w:rFonts w:ascii="Times New Roman" w:cs="Times New Roman" w:eastAsia="Times New Roman" w:hAnsi="Times New Roman"/>
                <w:sz w:val="18"/>
                <w:szCs w:val="18"/>
                <w:color w:val="auto"/>
              </w:rPr>
              <w:t>F-44</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269" w:name="page270"/>
    <w:bookmarkEnd w:id="2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44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BAIDU, INC.</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THE YEARS ENDED DECEMBER 31, 2023, 2024 AND 2025</w:t>
      </w:r>
    </w:p>
    <w:p>
      <w:pPr>
        <w:spacing w:after="0" w:line="234" w:lineRule="exact"/>
        <w:rPr>
          <w:sz w:val="20"/>
          <w:szCs w:val="20"/>
          <w:color w:val="auto"/>
        </w:rPr>
      </w:pPr>
    </w:p>
    <w:p>
      <w:pPr>
        <w:jc w:val="both"/>
        <w:ind w:left="120" w:right="20"/>
        <w:spacing w:after="0" w:line="261" w:lineRule="auto"/>
        <w:rPr>
          <w:sz w:val="20"/>
          <w:szCs w:val="20"/>
          <w:color w:val="auto"/>
        </w:rPr>
      </w:pPr>
      <w:r>
        <w:rPr>
          <w:rFonts w:ascii="Times New Roman" w:cs="Times New Roman" w:eastAsia="Times New Roman" w:hAnsi="Times New Roman"/>
          <w:sz w:val="18"/>
          <w:szCs w:val="18"/>
          <w:color w:val="auto"/>
        </w:rPr>
        <w:t>As of December 31, 2025, the iQIYI PAG Convertible Notes, the iQIYI 2028 Convertible Notes and the iQIYI 2030 Convertible Notes will be accreted up to the principal amount of US$679 million (130% of the principal amount of the iQIYI PAG Convertible Notes held by PAG), US$208 million and US$350 million over a remaining period of 2.00 years, 0.21 years and 2.21 years, respectively. The amount repayable within the next twelve months are classified as “Convertible senior notes, current portion” on the consolidated balance sheets.</w:t>
      </w:r>
    </w:p>
    <w:p>
      <w:pPr>
        <w:spacing w:after="0" w:line="180"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The aggregate amounts upon scheduled maturities of US$0.1 million, US$887 million and US$350 million of the iQIYI Convertible Notes will be repaid when they become due in 2026, 2028 and 2030, respectively, assuming there is no conversion of the iQIYI Convertible Notes, no redemption of the iQIYI Convertible Notes prior to their maturities, the convertible senior notes holders hold the iQIYI Convertible Notes until their maturities and iQIYI elects to fully settle the iQIYI Convertible Notes in cash.</w:t>
      </w:r>
    </w:p>
    <w:p>
      <w:pPr>
        <w:spacing w:after="0" w:line="324" w:lineRule="exact"/>
        <w:rPr>
          <w:sz w:val="20"/>
          <w:szCs w:val="20"/>
          <w:color w:val="auto"/>
        </w:rPr>
      </w:pPr>
    </w:p>
    <w:p>
      <w:pPr>
        <w:ind w:left="540" w:hanging="424"/>
        <w:spacing w:after="0"/>
        <w:tabs>
          <w:tab w:leader="none" w:pos="540" w:val="left"/>
        </w:tabs>
        <w:numPr>
          <w:ilvl w:val="0"/>
          <w:numId w:val="1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The Group’s operating leases mainly related to IDC facilities, land, and office facilities. For leases with terms greater than 12 months, the Group records the related asset and obligation at the present value of lease payments over the term. Certain leases include rental escalation clauses, renewal options and/or termination options that are factored into the Group’s determination of lease payments when appropriate. As of December 31, 2025, finance leases were insignificant.</w:t>
      </w:r>
    </w:p>
    <w:p>
      <w:pPr>
        <w:spacing w:after="0" w:line="180"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As of December 31, 2024 and 2025, the Group’s operating leases had a weighted average remaining lease term of 12.7 years and 12.8 years, respectively. As of December 31, 2024 and 2025, the Group’s operating leases had a weighted average discount rate of 3.74% and 3.34%, respectively.</w:t>
      </w:r>
    </w:p>
    <w:p>
      <w:pPr>
        <w:spacing w:after="0" w:line="162"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Operating lease costs were RMB3.5 billion, RMB3.8 billion and RMB3.9 billion (US$546 million) for the years ended December 31, 2023, 2024 and 2025, respectively, which excluded short-term lease costs. Short-term lease costs were RMB547 million, RMB397 million and RMB481 million (US$69 million) for the years ended December 31, 2023, 2024 and 2025, respectively. Variable lease cost was immaterial for the years ended December 31, 2023, 2024 and 2025. For the years ended December 31, 2023, 2024 and 2025, no lease costs for operating or finance leases were capitalized.</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Supplemental cash flow information related to operating leases was as follows:</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720" w:type="dxa"/>
            <w:vAlign w:val="bottom"/>
            <w:gridSpan w:val="11"/>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 the years ended</w:t>
            </w:r>
          </w:p>
        </w:tc>
      </w:tr>
      <w:tr>
        <w:trPr>
          <w:trHeight w:val="173"/>
        </w:trPr>
        <w:tc>
          <w:tcPr>
            <w:tcW w:w="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6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9"/>
          </w:tcPr>
          <w:p>
            <w:pPr>
              <w:jc w:val="center"/>
              <w:ind w:left="18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60" w:type="dxa"/>
            <w:vAlign w:val="bottom"/>
          </w:tcPr>
          <w:p>
            <w:pPr>
              <w:spacing w:after="0"/>
              <w:rPr>
                <w:sz w:val="12"/>
                <w:szCs w:val="12"/>
                <w:color w:val="auto"/>
              </w:rPr>
            </w:pPr>
          </w:p>
        </w:tc>
        <w:tc>
          <w:tcPr>
            <w:tcW w:w="460" w:type="dxa"/>
            <w:vAlign w:val="bottom"/>
            <w:tcBorders>
              <w:bottom w:val="single" w:sz="8" w:color="auto"/>
            </w:tcBorders>
            <w:gridSpan w:val="2"/>
          </w:tcPr>
          <w:p>
            <w:pPr>
              <w:jc w:val="right"/>
              <w:ind w:right="2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2"/>
                <w:szCs w:val="12"/>
                <w:color w:val="auto"/>
              </w:rPr>
            </w:pPr>
          </w:p>
        </w:tc>
      </w:tr>
      <w:tr>
        <w:trPr>
          <w:trHeight w:val="117"/>
        </w:trPr>
        <w:tc>
          <w:tcPr>
            <w:tcW w:w="8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c>
          <w:tcPr>
            <w:tcW w:w="60" w:type="dxa"/>
            <w:vAlign w:val="bottom"/>
          </w:tcPr>
          <w:p>
            <w:pPr>
              <w:spacing w:after="0"/>
              <w:rPr>
                <w:sz w:val="10"/>
                <w:szCs w:val="10"/>
                <w:color w:val="auto"/>
              </w:rPr>
            </w:pPr>
          </w:p>
        </w:tc>
      </w:tr>
      <w:tr>
        <w:trPr>
          <w:trHeight w:val="173"/>
        </w:trPr>
        <w:tc>
          <w:tcPr>
            <w:tcW w:w="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gridSpan w:val="8"/>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16"/>
        </w:trPr>
        <w:tc>
          <w:tcPr>
            <w:tcW w:w="880" w:type="dxa"/>
            <w:vAlign w:val="bottom"/>
          </w:tcPr>
          <w:p>
            <w:pPr>
              <w:spacing w:after="0"/>
              <w:rPr>
                <w:sz w:val="18"/>
                <w:szCs w:val="18"/>
                <w:color w:val="auto"/>
              </w:rPr>
            </w:pPr>
          </w:p>
        </w:tc>
        <w:tc>
          <w:tcPr>
            <w:tcW w:w="7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payments for operating leases</w:t>
            </w:r>
          </w:p>
        </w:tc>
        <w:tc>
          <w:tcPr>
            <w:tcW w:w="4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3,683</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4,176</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6"/>
              </w:rPr>
              <w:t>597</w:t>
            </w:r>
          </w:p>
        </w:tc>
        <w:tc>
          <w:tcPr>
            <w:tcW w:w="60" w:type="dxa"/>
            <w:vAlign w:val="bottom"/>
            <w:shd w:val="clear" w:color="auto" w:fill="CCEEFF"/>
          </w:tcPr>
          <w:p>
            <w:pPr>
              <w:spacing w:after="0"/>
              <w:rPr>
                <w:sz w:val="18"/>
                <w:szCs w:val="18"/>
                <w:color w:val="auto"/>
              </w:rPr>
            </w:pPr>
          </w:p>
        </w:tc>
      </w:tr>
      <w:tr>
        <w:trPr>
          <w:trHeight w:val="234"/>
        </w:trPr>
        <w:tc>
          <w:tcPr>
            <w:tcW w:w="880" w:type="dxa"/>
            <w:vAlign w:val="bottom"/>
          </w:tcPr>
          <w:p>
            <w:pPr>
              <w:spacing w:after="0"/>
              <w:rPr>
                <w:sz w:val="20"/>
                <w:szCs w:val="20"/>
                <w:color w:val="auto"/>
              </w:rPr>
            </w:pPr>
          </w:p>
        </w:tc>
        <w:tc>
          <w:tcPr>
            <w:tcW w:w="7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ROU assets obtained in exchange for operating lease liabilities</w:t>
            </w:r>
          </w:p>
        </w:tc>
        <w:tc>
          <w:tcPr>
            <w:tcW w:w="4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3,869</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2,669</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6"/>
              </w:rPr>
              <w:t>382</w:t>
            </w:r>
          </w:p>
        </w:tc>
        <w:tc>
          <w:tcPr>
            <w:tcW w:w="60" w:type="dxa"/>
            <w:vAlign w:val="bottom"/>
          </w:tcPr>
          <w:p>
            <w:pPr>
              <w:spacing w:after="0"/>
              <w:rPr>
                <w:sz w:val="20"/>
                <w:szCs w:val="20"/>
                <w:color w:val="auto"/>
              </w:rPr>
            </w:pPr>
          </w:p>
        </w:tc>
      </w:tr>
      <w:tr>
        <w:trPr>
          <w:trHeight w:val="414"/>
        </w:trPr>
        <w:tc>
          <w:tcPr>
            <w:tcW w:w="8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Future lease payments under operating leases as of December 31, 2025 were as follows:</w:t>
            </w: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91"/>
        </w:trPr>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gridSpan w:val="9"/>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7"/>
        </w:trPr>
        <w:tc>
          <w:tcPr>
            <w:tcW w:w="8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Borders>
              <w:top w:val="single" w:sz="8" w:color="auto"/>
            </w:tcBorders>
            <w:gridSpan w:val="4"/>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12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gridSpan w:val="2"/>
          </w:tcPr>
          <w:p>
            <w:pPr>
              <w:jc w:val="right"/>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c>
          <w:tcPr>
            <w:tcW w:w="120" w:type="dxa"/>
            <w:vAlign w:val="bottom"/>
            <w:gridSpan w:val="2"/>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73"/>
        </w:trPr>
        <w:tc>
          <w:tcPr>
            <w:tcW w:w="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40" w:type="dxa"/>
            <w:vAlign w:val="bottom"/>
            <w:gridSpan w:val="9"/>
          </w:tcPr>
          <w:p>
            <w:pPr>
              <w:ind w:left="2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ending December 31,</w:t>
            </w:r>
          </w:p>
        </w:tc>
        <w:tc>
          <w:tcPr>
            <w:tcW w:w="4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 xml:space="preserve">    </w:t>
            </w:r>
          </w:p>
        </w:tc>
        <w:tc>
          <w:tcPr>
            <w:tcW w:w="1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xml:space="preserve">    </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320" w:type="dxa"/>
            <w:vAlign w:val="bottom"/>
            <w:gridSpan w:val="2"/>
          </w:tcPr>
          <w:p>
            <w:pPr>
              <w:spacing w:after="0"/>
              <w:rPr>
                <w:sz w:val="18"/>
                <w:szCs w:val="18"/>
                <w:color w:val="auto"/>
              </w:rPr>
            </w:pPr>
          </w:p>
        </w:tc>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5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3,447</w:t>
            </w:r>
          </w:p>
        </w:tc>
        <w:tc>
          <w:tcPr>
            <w:tcW w:w="160" w:type="dxa"/>
            <w:vAlign w:val="bottom"/>
          </w:tcPr>
          <w:p>
            <w:pPr>
              <w:spacing w:after="0"/>
              <w:rPr>
                <w:sz w:val="18"/>
                <w:szCs w:val="18"/>
                <w:color w:val="auto"/>
              </w:rPr>
            </w:pPr>
          </w:p>
        </w:tc>
        <w:tc>
          <w:tcPr>
            <w:tcW w:w="6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493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320" w:type="dxa"/>
            <w:vAlign w:val="bottom"/>
            <w:gridSpan w:val="2"/>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5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2,412</w:t>
            </w:r>
          </w:p>
        </w:tc>
        <w:tc>
          <w:tcPr>
            <w:tcW w:w="16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320" w:type="dxa"/>
            <w:vAlign w:val="bottom"/>
            <w:gridSpan w:val="2"/>
          </w:tcPr>
          <w:p>
            <w:pPr>
              <w:spacing w:after="0"/>
              <w:rPr>
                <w:sz w:val="18"/>
                <w:szCs w:val="18"/>
                <w:color w:val="auto"/>
              </w:rPr>
            </w:pPr>
          </w:p>
        </w:tc>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5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1,275</w:t>
            </w:r>
          </w:p>
        </w:tc>
        <w:tc>
          <w:tcPr>
            <w:tcW w:w="160" w:type="dxa"/>
            <w:vAlign w:val="bottom"/>
          </w:tcPr>
          <w:p>
            <w:pPr>
              <w:spacing w:after="0"/>
              <w:rPr>
                <w:sz w:val="18"/>
                <w:szCs w:val="18"/>
                <w:color w:val="auto"/>
              </w:rPr>
            </w:pPr>
          </w:p>
        </w:tc>
        <w:tc>
          <w:tcPr>
            <w:tcW w:w="6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182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320" w:type="dxa"/>
            <w:vAlign w:val="bottom"/>
            <w:gridSpan w:val="2"/>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680" w:type="dxa"/>
            <w:vAlign w:val="bottom"/>
            <w:gridSpan w:val="5"/>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534</w:t>
            </w:r>
          </w:p>
        </w:tc>
        <w:tc>
          <w:tcPr>
            <w:tcW w:w="6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320" w:type="dxa"/>
            <w:vAlign w:val="bottom"/>
            <w:gridSpan w:val="2"/>
          </w:tcPr>
          <w:p>
            <w:pPr>
              <w:spacing w:after="0"/>
              <w:rPr>
                <w:sz w:val="18"/>
                <w:szCs w:val="18"/>
                <w:color w:val="auto"/>
              </w:rPr>
            </w:pPr>
          </w:p>
        </w:tc>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2030</w:t>
            </w:r>
          </w:p>
        </w:tc>
        <w:tc>
          <w:tcPr>
            <w:tcW w:w="680" w:type="dxa"/>
            <w:vAlign w:val="bottom"/>
            <w:gridSpan w:val="5"/>
          </w:tcPr>
          <w:p>
            <w:pPr>
              <w:jc w:val="right"/>
              <w:ind w:right="180"/>
              <w:spacing w:after="0"/>
              <w:rPr>
                <w:sz w:val="20"/>
                <w:szCs w:val="20"/>
                <w:color w:val="auto"/>
              </w:rPr>
            </w:pPr>
            <w:r>
              <w:rPr>
                <w:rFonts w:ascii="Times New Roman" w:cs="Times New Roman" w:eastAsia="Times New Roman" w:hAnsi="Times New Roman"/>
                <w:sz w:val="18"/>
                <w:szCs w:val="18"/>
                <w:color w:val="auto"/>
              </w:rPr>
              <w:t>142</w:t>
            </w:r>
          </w:p>
        </w:tc>
        <w:tc>
          <w:tcPr>
            <w:tcW w:w="6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680" w:type="dxa"/>
            <w:vAlign w:val="bottom"/>
            <w:gridSpan w:val="5"/>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132</w:t>
            </w:r>
          </w:p>
        </w:tc>
        <w:tc>
          <w:tcPr>
            <w:tcW w:w="6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3"/>
        </w:trPr>
        <w:tc>
          <w:tcPr>
            <w:tcW w:w="8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Total future lease payments</w:t>
            </w:r>
          </w:p>
        </w:tc>
        <w:tc>
          <w:tcPr>
            <w:tcW w:w="40" w:type="dxa"/>
            <w:vAlign w:val="bottom"/>
          </w:tcPr>
          <w:p>
            <w:pPr>
              <w:spacing w:after="0"/>
              <w:rPr>
                <w:sz w:val="19"/>
                <w:szCs w:val="19"/>
                <w:color w:val="auto"/>
              </w:rPr>
            </w:pPr>
          </w:p>
        </w:tc>
        <w:tc>
          <w:tcPr>
            <w:tcW w:w="4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7,942</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1,135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680" w:type="dxa"/>
            <w:vAlign w:val="bottom"/>
            <w:gridSpan w:val="5"/>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377</w:t>
            </w:r>
          </w:p>
        </w:tc>
        <w:tc>
          <w:tcPr>
            <w:tcW w:w="6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3"/>
        </w:trPr>
        <w:tc>
          <w:tcPr>
            <w:tcW w:w="8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Total lease liability balance</w:t>
            </w:r>
          </w:p>
        </w:tc>
        <w:tc>
          <w:tcPr>
            <w:tcW w:w="40" w:type="dxa"/>
            <w:vAlign w:val="bottom"/>
          </w:tcPr>
          <w:p>
            <w:pPr>
              <w:spacing w:after="0"/>
              <w:rPr>
                <w:sz w:val="19"/>
                <w:szCs w:val="19"/>
                <w:color w:val="auto"/>
              </w:rPr>
            </w:pPr>
          </w:p>
        </w:tc>
        <w:tc>
          <w:tcPr>
            <w:tcW w:w="4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7,565</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1,081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of December 31, 2025, additional operating leases that have not yet commenced were immaterial.</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F-45</w:t>
      </w:r>
    </w:p>
    <w:p>
      <w:pPr>
        <w:sectPr>
          <w:pgSz w:w="11900" w:h="16838" w:orient="portrait"/>
          <w:cols w:equalWidth="0" w:num="1">
            <w:col w:w="11140"/>
          </w:cols>
          <w:pgMar w:left="320" w:top="482" w:right="439" w:bottom="1440" w:gutter="0" w:footer="0" w:header="0"/>
        </w:sectPr>
      </w:pPr>
    </w:p>
    <w:bookmarkStart w:id="270" w:name="page271"/>
    <w:bookmarkEnd w:id="2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4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BAIDU, INC.</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THE YEARS ENDED DECEMBER 31, 2023, 2024 AND 2025</w:t>
      </w:r>
    </w:p>
    <w:p>
      <w:pPr>
        <w:spacing w:after="0" w:line="230" w:lineRule="exact"/>
        <w:rPr>
          <w:sz w:val="20"/>
          <w:szCs w:val="20"/>
          <w:color w:val="auto"/>
        </w:rPr>
      </w:pPr>
    </w:p>
    <w:p>
      <w:pPr>
        <w:ind w:left="540" w:hanging="424"/>
        <w:spacing w:after="0"/>
        <w:tabs>
          <w:tab w:leader="none" w:pos="540" w:val="left"/>
        </w:tabs>
        <w:numPr>
          <w:ilvl w:val="0"/>
          <w:numId w:val="1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Cayman Islands</w:t>
      </w:r>
    </w:p>
    <w:p>
      <w:pPr>
        <w:spacing w:after="0" w:line="121" w:lineRule="exact"/>
        <w:rPr>
          <w:sz w:val="20"/>
          <w:szCs w:val="20"/>
          <w:color w:val="auto"/>
        </w:rPr>
      </w:pPr>
    </w:p>
    <w:p>
      <w:pPr>
        <w:jc w:val="both"/>
        <w:ind w:left="120"/>
        <w:spacing w:after="0" w:line="282" w:lineRule="auto"/>
        <w:rPr>
          <w:sz w:val="20"/>
          <w:szCs w:val="20"/>
          <w:color w:val="auto"/>
        </w:rPr>
      </w:pPr>
      <w:r>
        <w:rPr>
          <w:rFonts w:ascii="Times New Roman" w:cs="Times New Roman" w:eastAsia="Times New Roman" w:hAnsi="Times New Roman"/>
          <w:sz w:val="18"/>
          <w:szCs w:val="18"/>
          <w:color w:val="auto"/>
        </w:rPr>
        <w:t>Under the current laws of the Cayman Islands, the Group is not subject to tax on income or capital gains. Additionally, upon payment of dividends by the Group to its shareholders, no Cayman Islands withholding tax will be imposed.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Hong Kong</w:t>
      </w:r>
    </w:p>
    <w:p>
      <w:pPr>
        <w:spacing w:after="0" w:line="121"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Subsidiaries in Hong Kong are subject to Hong Kong Profits Tax rate at 16.5%, and foreign-derived income is exempted from income tax. There are no withholding taxes upon payment of dividends by the subsidiaries incorporated in Hong Kong to its shareholders.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Chinese mainland</w:t>
      </w:r>
    </w:p>
    <w:p>
      <w:pPr>
        <w:spacing w:after="0" w:line="121" w:lineRule="exact"/>
        <w:rPr>
          <w:sz w:val="20"/>
          <w:szCs w:val="20"/>
          <w:color w:val="auto"/>
        </w:rPr>
      </w:pPr>
    </w:p>
    <w:p>
      <w:pPr>
        <w:jc w:val="both"/>
        <w:ind w:left="120"/>
        <w:spacing w:after="0" w:line="258" w:lineRule="auto"/>
        <w:rPr>
          <w:sz w:val="20"/>
          <w:szCs w:val="20"/>
          <w:color w:val="auto"/>
        </w:rPr>
      </w:pPr>
      <w:r>
        <w:rPr>
          <w:rFonts w:ascii="Times New Roman" w:cs="Times New Roman" w:eastAsia="Times New Roman" w:hAnsi="Times New Roman"/>
          <w:sz w:val="18"/>
          <w:szCs w:val="18"/>
          <w:color w:val="auto"/>
        </w:rPr>
        <w:t>Under the PRC Enterprise Income Tax (“EIT”) Law, which has been effective since January 1, 2008, domestic enterprises and Foreign Investment Enterprises (the “FIE”) are subject to a unified 25% enterprise income tax rate, except for certain entities that are entitled to preferential tax treatments. Preferential EIT rates at 15% is available for qualified “High and New Technology Enterprises” (“HNTEs”). The HNTE certificate is effective for a period of three years. Further, preferential EIT rates are available for qualified Software Enterprises whereby entities are entitled to full exemption from EIT for two years beginning from their first profitable calendar year and a 50% reduction for the subsequent three calendar years.</w:t>
      </w:r>
    </w:p>
    <w:p>
      <w:pPr>
        <w:sectPr>
          <w:pgSz w:w="11900" w:h="16838" w:orient="portrait"/>
          <w:cols w:equalWidth="0" w:num="1">
            <w:col w:w="11140"/>
          </w:cols>
          <w:pgMar w:left="320" w:top="482" w:right="439" w:bottom="1440" w:gutter="0" w:footer="0" w:header="0"/>
        </w:sectPr>
      </w:pPr>
    </w:p>
    <w:bookmarkStart w:id="271" w:name="page272"/>
    <w:bookmarkEnd w:id="271"/>
    <w:p>
      <w:pPr>
        <w:jc w:val="both"/>
        <w:spacing w:after="0" w:line="261" w:lineRule="auto"/>
        <w:rPr>
          <w:sz w:val="20"/>
          <w:szCs w:val="20"/>
          <w:color w:val="auto"/>
        </w:rPr>
      </w:pPr>
      <w:r>
        <w:rPr>
          <w:rFonts w:ascii="Times New Roman" w:cs="Times New Roman" w:eastAsia="Times New Roman" w:hAnsi="Times New Roman"/>
          <w:sz w:val="18"/>
          <w:szCs w:val="18"/>
          <w:color w:val="auto"/>
        </w:rPr>
        <w:t>Certain PRC subsidiaries and VIEs, including Baidu Online, Baidu China, Baidu International and Baidu Netcom, etc. are qualified HNTEs and enjoy a reduced tax rate of 15% for the years presented, which will expire from 2026 to 2028. An entity could re-apply for the HNTE certificate when the prior certificate expires. Historically, all of the Company’s subsidiaries and VIEs have successfully renewed their certificates when the prior ones expired. Certain subsidiaries enjoyed a reduced tax rate as qualified Software Enterprise for the years presented, which will expire from 2026 to 2028.</w:t>
      </w:r>
    </w:p>
    <w:p>
      <w:pPr>
        <w:spacing w:after="0" w:line="18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Under the current EIT Law, dividends for earnings derived from January 1, 2008 and onwards paid by PRC entities to any of their foreign non-resident enterprise investors are subject to a 10% withholding tax. A lower tax rate will be applied if tax treaty or arrangement benefits are available. Under the tax arrangement between the PRC and Hong Kong, the reduced withholding tax rate for dividends paid by PRC entities is 5% provided the Hong Kong investors meet the requirements as stipulated by relevant PRC tax regulations, such as the beneficiary owner test. Capital gains derived from the PRC are also subject to a 10% PRC withholding tax.</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(loss) before income taxes consists of:</w:t>
      </w:r>
    </w:p>
    <w:p>
      <w:pPr>
        <w:spacing w:after="0" w:line="246" w:lineRule="exact"/>
        <w:rPr>
          <w:sz w:val="20"/>
          <w:szCs w:val="20"/>
          <w:color w:val="auto"/>
        </w:rPr>
      </w:pPr>
    </w:p>
    <w:tbl>
      <w:tblPr>
        <w:tblLayout w:type="fixed"/>
        <w:tblInd w:w="440" w:type="dxa"/>
        <w:tblCellMar>
          <w:top w:w="0" w:type="dxa"/>
          <w:left w:w="0" w:type="dxa"/>
          <w:bottom w:w="0" w:type="dxa"/>
          <w:right w:w="0" w:type="dxa"/>
        </w:tblCellMar>
      </w:tblPr>
      <w:tr>
        <w:trPr>
          <w:trHeight w:val="173"/>
        </w:trPr>
        <w:tc>
          <w:tcPr>
            <w:tcW w:w="7460" w:type="dxa"/>
            <w:vAlign w:val="bottom"/>
          </w:tcPr>
          <w:p>
            <w:pPr>
              <w:spacing w:after="0"/>
              <w:rPr>
                <w:sz w:val="15"/>
                <w:szCs w:val="15"/>
                <w:color w:val="auto"/>
              </w:rPr>
            </w:pPr>
          </w:p>
        </w:tc>
        <w:tc>
          <w:tcPr>
            <w:tcW w:w="2660" w:type="dxa"/>
            <w:vAlign w:val="bottom"/>
            <w:gridSpan w:val="8"/>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r>
      <w:tr>
        <w:trPr>
          <w:trHeight w:val="142"/>
        </w:trPr>
        <w:tc>
          <w:tcPr>
            <w:tcW w:w="746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r>
      <w:tr>
        <w:trPr>
          <w:trHeight w:val="117"/>
        </w:trPr>
        <w:tc>
          <w:tcPr>
            <w:tcW w:w="7460" w:type="dxa"/>
            <w:vAlign w:val="bottom"/>
          </w:tcPr>
          <w:p>
            <w:pPr>
              <w:spacing w:after="0"/>
              <w:rPr>
                <w:sz w:val="10"/>
                <w:szCs w:val="10"/>
                <w:color w:val="auto"/>
              </w:rPr>
            </w:pPr>
          </w:p>
        </w:tc>
        <w:tc>
          <w:tcPr>
            <w:tcW w:w="5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200" w:type="dxa"/>
            <w:vAlign w:val="bottom"/>
          </w:tcPr>
          <w:p>
            <w:pPr>
              <w:spacing w:after="0"/>
              <w:rPr>
                <w:sz w:val="10"/>
                <w:szCs w:val="10"/>
                <w:color w:val="auto"/>
              </w:rPr>
            </w:pPr>
          </w:p>
        </w:tc>
        <w:tc>
          <w:tcPr>
            <w:tcW w:w="560" w:type="dxa"/>
            <w:vAlign w:val="bottom"/>
          </w:tcPr>
          <w:p>
            <w:pPr>
              <w:jc w:val="right"/>
              <w:ind w:right="40"/>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260" w:type="dxa"/>
            <w:vAlign w:val="bottom"/>
          </w:tcPr>
          <w:p>
            <w:pPr>
              <w:spacing w:after="0"/>
              <w:rPr>
                <w:sz w:val="10"/>
                <w:szCs w:val="10"/>
                <w:color w:val="auto"/>
              </w:rPr>
            </w:pPr>
          </w:p>
        </w:tc>
        <w:tc>
          <w:tcPr>
            <w:tcW w:w="460" w:type="dxa"/>
            <w:vAlign w:val="bottom"/>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240" w:type="dxa"/>
            <w:vAlign w:val="bottom"/>
          </w:tcPr>
          <w:p>
            <w:pPr>
              <w:spacing w:after="0"/>
              <w:rPr>
                <w:sz w:val="10"/>
                <w:szCs w:val="10"/>
                <w:color w:val="auto"/>
              </w:rPr>
            </w:pPr>
          </w:p>
        </w:tc>
        <w:tc>
          <w:tcPr>
            <w:tcW w:w="340" w:type="dxa"/>
            <w:vAlign w:val="bottom"/>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c>
          <w:tcPr>
            <w:tcW w:w="40" w:type="dxa"/>
            <w:vAlign w:val="bottom"/>
          </w:tcPr>
          <w:p>
            <w:pPr>
              <w:spacing w:after="0"/>
              <w:rPr>
                <w:sz w:val="10"/>
                <w:szCs w:val="10"/>
                <w:color w:val="auto"/>
              </w:rPr>
            </w:pPr>
          </w:p>
        </w:tc>
      </w:tr>
      <w:tr>
        <w:trPr>
          <w:trHeight w:val="173"/>
        </w:trPr>
        <w:tc>
          <w:tcPr>
            <w:tcW w:w="74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gridSpan w:val="4"/>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16"/>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Chinese mainland</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28,449</w:t>
            </w: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24,970</w:t>
            </w:r>
          </w:p>
        </w:tc>
        <w:tc>
          <w:tcPr>
            <w:tcW w:w="7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2,618</w:t>
            </w:r>
          </w:p>
        </w:tc>
        <w:tc>
          <w:tcPr>
            <w:tcW w:w="3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374</w:t>
            </w:r>
          </w:p>
        </w:tc>
      </w:tr>
      <w:tr>
        <w:trPr>
          <w:trHeight w:val="216"/>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Non-Chinese mainland</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(3,251)</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3,652</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4,098</w:t>
            </w:r>
          </w:p>
        </w:tc>
        <w:tc>
          <w:tcPr>
            <w:tcW w:w="3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586</w:t>
            </w:r>
          </w:p>
        </w:tc>
      </w:tr>
      <w:tr>
        <w:trPr>
          <w:trHeight w:val="27"/>
        </w:trPr>
        <w:tc>
          <w:tcPr>
            <w:tcW w:w="74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74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25,198</w:t>
            </w: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28,622</w:t>
            </w:r>
          </w:p>
        </w:tc>
        <w:tc>
          <w:tcPr>
            <w:tcW w:w="7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6,716</w:t>
            </w:r>
          </w:p>
        </w:tc>
        <w:tc>
          <w:tcPr>
            <w:tcW w:w="3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960</w:t>
            </w:r>
          </w:p>
        </w:tc>
      </w:tr>
      <w:tr>
        <w:trPr>
          <w:trHeight w:val="20"/>
        </w:trPr>
        <w:tc>
          <w:tcPr>
            <w:tcW w:w="74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2025, income tax benefit amounted to RMB182 million (US$26 million) in Chinese mainland, and income tax expense amounted to RMB1.4 billion (US$206 million) in jurisdictions outside Chinese mainland.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taxes consist of:</w:t>
      </w:r>
    </w:p>
    <w:p>
      <w:pPr>
        <w:spacing w:after="0" w:line="246" w:lineRule="exact"/>
        <w:rPr>
          <w:sz w:val="20"/>
          <w:szCs w:val="20"/>
          <w:color w:val="auto"/>
        </w:rPr>
      </w:pPr>
    </w:p>
    <w:tbl>
      <w:tblPr>
        <w:tblLayout w:type="fixed"/>
        <w:tblInd w:w="440" w:type="dxa"/>
        <w:tblCellMar>
          <w:top w:w="0" w:type="dxa"/>
          <w:left w:w="0" w:type="dxa"/>
          <w:bottom w:w="0" w:type="dxa"/>
          <w:right w:w="0" w:type="dxa"/>
        </w:tblCellMar>
      </w:tblPr>
      <w:tr>
        <w:trPr>
          <w:trHeight w:val="173"/>
        </w:trPr>
        <w:tc>
          <w:tcPr>
            <w:tcW w:w="462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2540" w:type="dxa"/>
            <w:vAlign w:val="bottom"/>
            <w:gridSpan w:val="8"/>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r>
      <w:tr>
        <w:trPr>
          <w:trHeight w:val="142"/>
        </w:trPr>
        <w:tc>
          <w:tcPr>
            <w:tcW w:w="46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ind w:right="2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top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1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3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117"/>
        </w:trPr>
        <w:tc>
          <w:tcPr>
            <w:tcW w:w="462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46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200" w:type="dxa"/>
            <w:vAlign w:val="bottom"/>
          </w:tcPr>
          <w:p>
            <w:pPr>
              <w:spacing w:after="0"/>
              <w:rPr>
                <w:sz w:val="10"/>
                <w:szCs w:val="10"/>
                <w:color w:val="auto"/>
              </w:rPr>
            </w:pPr>
          </w:p>
        </w:tc>
        <w:tc>
          <w:tcPr>
            <w:tcW w:w="46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200" w:type="dxa"/>
            <w:vAlign w:val="bottom"/>
          </w:tcPr>
          <w:p>
            <w:pPr>
              <w:spacing w:after="0"/>
              <w:rPr>
                <w:sz w:val="10"/>
                <w:szCs w:val="10"/>
                <w:color w:val="auto"/>
              </w:rPr>
            </w:pPr>
          </w:p>
        </w:tc>
        <w:tc>
          <w:tcPr>
            <w:tcW w:w="520" w:type="dxa"/>
            <w:vAlign w:val="bottom"/>
          </w:tcPr>
          <w:p>
            <w:pPr>
              <w:jc w:val="right"/>
              <w:ind w:right="17"/>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200" w:type="dxa"/>
            <w:vAlign w:val="bottom"/>
          </w:tcPr>
          <w:p>
            <w:pPr>
              <w:spacing w:after="0"/>
              <w:rPr>
                <w:sz w:val="10"/>
                <w:szCs w:val="10"/>
                <w:color w:val="auto"/>
              </w:rPr>
            </w:pPr>
          </w:p>
        </w:tc>
        <w:tc>
          <w:tcPr>
            <w:tcW w:w="40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c>
          <w:tcPr>
            <w:tcW w:w="100" w:type="dxa"/>
            <w:vAlign w:val="bottom"/>
          </w:tcPr>
          <w:p>
            <w:pPr>
              <w:spacing w:after="0"/>
              <w:rPr>
                <w:sz w:val="10"/>
                <w:szCs w:val="10"/>
                <w:color w:val="auto"/>
              </w:rPr>
            </w:pPr>
          </w:p>
        </w:tc>
      </w:tr>
      <w:tr>
        <w:trPr>
          <w:trHeight w:val="173"/>
        </w:trPr>
        <w:tc>
          <w:tcPr>
            <w:tcW w:w="462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4"/>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income tax</w:t>
            </w:r>
          </w:p>
        </w:tc>
        <w:tc>
          <w:tcPr>
            <w:tcW w:w="36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3,812</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3,407</w:t>
            </w: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2,530</w:t>
            </w: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362</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Adjustments of deferred tax assets due to change in tax rates</w:t>
            </w:r>
          </w:p>
        </w:tc>
        <w:tc>
          <w:tcPr>
            <w:tcW w:w="36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111</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(334)</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229</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 expense (benefit)</w:t>
            </w:r>
          </w:p>
        </w:tc>
        <w:tc>
          <w:tcPr>
            <w:tcW w:w="36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(274)</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1,374</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(1,500)</w:t>
            </w: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(214)</w:t>
            </w:r>
          </w:p>
        </w:tc>
      </w:tr>
      <w:tr>
        <w:trPr>
          <w:trHeight w:val="223"/>
        </w:trPr>
        <w:tc>
          <w:tcPr>
            <w:tcW w:w="46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3,649</w:t>
            </w:r>
          </w:p>
        </w:tc>
        <w:tc>
          <w:tcPr>
            <w:tcW w:w="20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4,447</w:t>
            </w:r>
          </w:p>
        </w:tc>
        <w:tc>
          <w:tcPr>
            <w:tcW w:w="20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2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Pr>
          <w:p>
            <w:pPr>
              <w:spacing w:after="0"/>
              <w:rPr>
                <w:sz w:val="19"/>
                <w:szCs w:val="19"/>
                <w:color w:val="auto"/>
              </w:rPr>
            </w:pPr>
          </w:p>
        </w:tc>
      </w:tr>
      <w:tr>
        <w:trPr>
          <w:trHeight w:val="20"/>
        </w:trPr>
        <w:tc>
          <w:tcPr>
            <w:tcW w:w="46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8"/>
        </w:trPr>
        <w:tc>
          <w:tcPr>
            <w:tcW w:w="4620" w:type="dxa"/>
            <w:vAlign w:val="bottom"/>
          </w:tcPr>
          <w:p>
            <w:pPr>
              <w:spacing w:after="0"/>
              <w:rPr>
                <w:sz w:val="24"/>
                <w:szCs w:val="24"/>
                <w:color w:val="auto"/>
              </w:rPr>
            </w:pPr>
          </w:p>
        </w:tc>
        <w:tc>
          <w:tcPr>
            <w:tcW w:w="3620" w:type="dxa"/>
            <w:vAlign w:val="bottom"/>
            <w:gridSpan w:val="3"/>
          </w:tcPr>
          <w:p>
            <w:pPr>
              <w:jc w:val="right"/>
              <w:ind w:right="3000"/>
              <w:spacing w:after="0"/>
              <w:rPr>
                <w:sz w:val="20"/>
                <w:szCs w:val="20"/>
                <w:color w:val="auto"/>
              </w:rPr>
            </w:pPr>
            <w:r>
              <w:rPr>
                <w:rFonts w:ascii="Times New Roman" w:cs="Times New Roman" w:eastAsia="Times New Roman" w:hAnsi="Times New Roman"/>
                <w:sz w:val="18"/>
                <w:szCs w:val="18"/>
                <w:color w:val="auto"/>
              </w:rPr>
              <w:t>F-46</w:t>
            </w: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020"/>
          </w:cols>
          <w:pgMar w:left="440" w:top="121" w:right="439" w:bottom="1440" w:gutter="0" w:footer="0" w:header="0"/>
        </w:sectPr>
      </w:pPr>
    </w:p>
    <w:bookmarkStart w:id="272" w:name="page273"/>
    <w:bookmarkEnd w:id="2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44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BAIDU, INC.</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THE YEARS ENDED DECEMBER 31, 2023, 2024 AND 2025</w:t>
      </w:r>
    </w:p>
    <w:p>
      <w:pPr>
        <w:spacing w:after="0" w:line="234"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The reconciliation of the actual income taxes to the amount of tax computed by applying the aforementioned statutory income tax rate to pre-tax income is as follows:</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40" w:type="dxa"/>
            <w:vAlign w:val="bottom"/>
          </w:tcPr>
          <w:p>
            <w:pPr>
              <w:spacing w:after="0"/>
              <w:rPr>
                <w:sz w:val="15"/>
                <w:szCs w:val="15"/>
                <w:color w:val="auto"/>
              </w:rPr>
            </w:pPr>
          </w:p>
        </w:tc>
        <w:tc>
          <w:tcPr>
            <w:tcW w:w="7080" w:type="dxa"/>
            <w:vAlign w:val="bottom"/>
          </w:tcPr>
          <w:p>
            <w:pPr>
              <w:spacing w:after="0"/>
              <w:rPr>
                <w:sz w:val="15"/>
                <w:szCs w:val="15"/>
                <w:color w:val="auto"/>
              </w:rPr>
            </w:pPr>
          </w:p>
        </w:tc>
        <w:tc>
          <w:tcPr>
            <w:tcW w:w="3500" w:type="dxa"/>
            <w:vAlign w:val="bottom"/>
            <w:gridSpan w:val="8"/>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   For the years ended December 31, </w:t>
            </w: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708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920" w:type="dxa"/>
            <w:vAlign w:val="bottom"/>
            <w:tcBorders>
              <w:top w:val="single" w:sz="8" w:color="auto"/>
              <w:bottom w:val="single" w:sz="8" w:color="auto"/>
            </w:tcBorders>
            <w:gridSpan w:val="2"/>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440" w:type="dxa"/>
            <w:vAlign w:val="bottom"/>
          </w:tcPr>
          <w:p>
            <w:pPr>
              <w:spacing w:after="0"/>
              <w:rPr>
                <w:sz w:val="15"/>
                <w:szCs w:val="15"/>
                <w:color w:val="auto"/>
              </w:rPr>
            </w:pPr>
          </w:p>
        </w:tc>
        <w:tc>
          <w:tcPr>
            <w:tcW w:w="7080" w:type="dxa"/>
            <w:vAlign w:val="bottom"/>
          </w:tcPr>
          <w:p>
            <w:pPr>
              <w:spacing w:after="0"/>
              <w:rPr>
                <w:sz w:val="15"/>
                <w:szCs w:val="15"/>
                <w:color w:val="auto"/>
              </w:rPr>
            </w:pPr>
          </w:p>
        </w:tc>
        <w:tc>
          <w:tcPr>
            <w:tcW w:w="90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RMB</w:t>
            </w:r>
          </w:p>
        </w:tc>
        <w:tc>
          <w:tcPr>
            <w:tcW w:w="80" w:type="dxa"/>
            <w:vAlign w:val="bottom"/>
          </w:tcPr>
          <w:p>
            <w:pPr>
              <w:spacing w:after="0"/>
              <w:rPr>
                <w:sz w:val="15"/>
                <w:szCs w:val="15"/>
                <w:color w:val="auto"/>
              </w:rPr>
            </w:pPr>
          </w:p>
        </w:tc>
        <w:tc>
          <w:tcPr>
            <w:tcW w:w="940" w:type="dxa"/>
            <w:vAlign w:val="bottom"/>
            <w:vMerge w:val="restart"/>
          </w:tcPr>
          <w:p>
            <w:pPr>
              <w:jc w:val="right"/>
              <w:ind w:right="43"/>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20" w:type="dxa"/>
            <w:vAlign w:val="bottom"/>
            <w:gridSpan w:val="2"/>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RMB</w:t>
            </w:r>
          </w:p>
        </w:tc>
        <w:tc>
          <w:tcPr>
            <w:tcW w:w="400" w:type="dxa"/>
            <w:vAlign w:val="bottom"/>
            <w:gridSpan w:val="2"/>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440" w:type="dxa"/>
            <w:vAlign w:val="bottom"/>
          </w:tcPr>
          <w:p>
            <w:pPr>
              <w:spacing w:after="0"/>
              <w:rPr>
                <w:sz w:val="9"/>
                <w:szCs w:val="9"/>
                <w:color w:val="auto"/>
              </w:rPr>
            </w:pPr>
          </w:p>
        </w:tc>
        <w:tc>
          <w:tcPr>
            <w:tcW w:w="708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19"/>
                <w:szCs w:val="19"/>
                <w:color w:val="auto"/>
              </w:rPr>
            </w:pPr>
          </w:p>
        </w:tc>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taxation at PRC statutory tax rate</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6,299</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8"/>
              </w:rPr>
              <w:t>7,156</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 w:type="dxa"/>
            <w:vAlign w:val="bottom"/>
          </w:tcPr>
          <w:p>
            <w:pPr>
              <w:spacing w:after="0"/>
              <w:rPr>
                <w:sz w:val="19"/>
                <w:szCs w:val="19"/>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Effect of differing tax rates in different jurisdictions</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410</w:t>
            </w:r>
          </w:p>
        </w:tc>
        <w:tc>
          <w:tcPr>
            <w:tcW w:w="9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(153)</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 w:type="dxa"/>
            <w:vAlign w:val="bottom"/>
          </w:tcPr>
          <w:p>
            <w:pPr>
              <w:spacing w:after="0"/>
              <w:rPr>
                <w:sz w:val="19"/>
                <w:szCs w:val="19"/>
                <w:color w:val="auto"/>
              </w:rPr>
            </w:pPr>
          </w:p>
        </w:tc>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Non-taxable income</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(456)</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(593)</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19"/>
                <w:szCs w:val="19"/>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Non-deductible expenses</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1,928</w:t>
            </w:r>
          </w:p>
        </w:tc>
        <w:tc>
          <w:tcPr>
            <w:tcW w:w="9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814</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 w:type="dxa"/>
            <w:vAlign w:val="bottom"/>
          </w:tcPr>
          <w:p>
            <w:pPr>
              <w:spacing w:after="0"/>
              <w:rPr>
                <w:sz w:val="19"/>
                <w:szCs w:val="19"/>
                <w:color w:val="auto"/>
              </w:rPr>
            </w:pPr>
          </w:p>
        </w:tc>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super-deduction</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(3,067)</w:t>
            </w:r>
          </w:p>
        </w:tc>
        <w:tc>
          <w:tcPr>
            <w:tcW w:w="94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(3,048)</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19"/>
                <w:szCs w:val="19"/>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Effect of PRC preferential tax rates and tax holiday</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(1,833)</w:t>
            </w:r>
          </w:p>
        </w:tc>
        <w:tc>
          <w:tcPr>
            <w:tcW w:w="940" w:type="dxa"/>
            <w:vAlign w:val="bottom"/>
          </w:tcPr>
          <w:p>
            <w:pPr>
              <w:spacing w:after="0"/>
              <w:rPr>
                <w:sz w:val="19"/>
                <w:szCs w:val="19"/>
                <w:color w:val="auto"/>
              </w:rPr>
            </w:pP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(1,760)</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 w:type="dxa"/>
            <w:vAlign w:val="bottom"/>
          </w:tcPr>
          <w:p>
            <w:pPr>
              <w:spacing w:after="0"/>
              <w:rPr>
                <w:sz w:val="19"/>
                <w:szCs w:val="19"/>
                <w:color w:val="auto"/>
              </w:rPr>
            </w:pPr>
          </w:p>
        </w:tc>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tax rate changes on deferred taxes</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111</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(334)</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 w:type="dxa"/>
            <w:vAlign w:val="bottom"/>
          </w:tcPr>
          <w:p>
            <w:pPr>
              <w:spacing w:after="0"/>
              <w:rPr>
                <w:sz w:val="19"/>
                <w:szCs w:val="19"/>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Reversal of prior year’s income taxes</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(156)</w:t>
            </w:r>
          </w:p>
        </w:tc>
        <w:tc>
          <w:tcPr>
            <w:tcW w:w="9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19"/>
                <w:szCs w:val="19"/>
                <w:color w:val="auto"/>
              </w:rPr>
            </w:pPr>
          </w:p>
        </w:tc>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PRC withholding tax</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574</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8"/>
              </w:rPr>
              <w:t>1,762</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 w:type="dxa"/>
            <w:vAlign w:val="bottom"/>
          </w:tcPr>
          <w:p>
            <w:pPr>
              <w:spacing w:after="0"/>
              <w:rPr>
                <w:sz w:val="19"/>
                <w:szCs w:val="19"/>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(161)</w:t>
            </w:r>
          </w:p>
        </w:tc>
        <w:tc>
          <w:tcPr>
            <w:tcW w:w="9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626</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40" w:type="dxa"/>
            <w:vAlign w:val="bottom"/>
            <w:vMerge w:val="restart"/>
          </w:tcPr>
          <w:p>
            <w:pPr>
              <w:spacing w:after="0"/>
              <w:rPr>
                <w:sz w:val="2"/>
                <w:szCs w:val="2"/>
                <w:color w:val="auto"/>
              </w:rPr>
            </w:pPr>
          </w:p>
        </w:tc>
        <w:tc>
          <w:tcPr>
            <w:tcW w:w="70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vMerge w:val="continue"/>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Taxation for the year</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3,649</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8"/>
              </w:rPr>
              <w:t>4,447</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8"/>
                <w:szCs w:val="18"/>
                <w:color w:val="auto"/>
              </w:rPr>
              <w:t>Effective tax rate</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20" w:type="dxa"/>
            <w:vAlign w:val="bottom"/>
            <w:gridSpan w:val="2"/>
            <w:vMerge w:val="continue"/>
          </w:tcPr>
          <w:p>
            <w:pPr>
              <w:spacing w:after="0"/>
              <w:rPr>
                <w:sz w:val="18"/>
                <w:szCs w:val="18"/>
                <w:color w:val="auto"/>
              </w:rPr>
            </w:pPr>
          </w:p>
        </w:tc>
        <w:tc>
          <w:tcPr>
            <w:tcW w:w="1920" w:type="dxa"/>
            <w:vAlign w:val="bottom"/>
            <w:gridSpan w:val="3"/>
          </w:tcPr>
          <w:p>
            <w:pPr>
              <w:jc w:val="right"/>
              <w:ind w:right="783"/>
              <w:spacing w:after="0"/>
              <w:rPr>
                <w:sz w:val="20"/>
                <w:szCs w:val="20"/>
                <w:color w:val="auto"/>
              </w:rPr>
            </w:pPr>
            <w:r>
              <w:rPr>
                <w:rFonts w:ascii="Times New Roman" w:cs="Times New Roman" w:eastAsia="Times New Roman" w:hAnsi="Times New Roman"/>
                <w:sz w:val="18"/>
                <w:szCs w:val="18"/>
                <w:color w:val="auto"/>
              </w:rPr>
              <w:t>14.5%</w:t>
            </w:r>
          </w:p>
        </w:tc>
        <w:tc>
          <w:tcPr>
            <w:tcW w:w="5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15.5%</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44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20" w:type="dxa"/>
            <w:vAlign w:val="bottom"/>
            <w:gridSpan w:val="6"/>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70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center"/>
              <w:ind w:right="3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440" w:type="dxa"/>
            <w:vAlign w:val="bottom"/>
          </w:tcPr>
          <w:p>
            <w:pPr>
              <w:spacing w:after="0"/>
              <w:rPr>
                <w:sz w:val="10"/>
                <w:szCs w:val="10"/>
                <w:color w:val="auto"/>
              </w:rPr>
            </w:pPr>
          </w:p>
        </w:tc>
        <w:tc>
          <w:tcPr>
            <w:tcW w:w="70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jc w:val="right"/>
              <w:ind w:right="403"/>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500" w:type="dxa"/>
            <w:vAlign w:val="bottom"/>
          </w:tcPr>
          <w:p>
            <w:pPr>
              <w:jc w:val="center"/>
              <w:ind w:right="13"/>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c>
          <w:tcPr>
            <w:tcW w:w="820" w:type="dxa"/>
            <w:vAlign w:val="bottom"/>
            <w:gridSpan w:val="3"/>
          </w:tcPr>
          <w:p>
            <w:pPr>
              <w:ind w:left="300"/>
              <w:spacing w:after="0" w:line="118" w:lineRule="exact"/>
              <w:rPr>
                <w:sz w:val="20"/>
                <w:szCs w:val="20"/>
                <w:color w:val="auto"/>
              </w:rPr>
            </w:pPr>
            <w:r>
              <w:rPr>
                <w:rFonts w:ascii="Times New Roman" w:cs="Times New Roman" w:eastAsia="Times New Roman" w:hAnsi="Times New Roman"/>
                <w:sz w:val="13"/>
                <w:szCs w:val="13"/>
                <w:b w:val="1"/>
                <w:bCs w:val="1"/>
                <w:color w:val="auto"/>
              </w:rPr>
              <w:t>Percent</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40" w:type="dxa"/>
            <w:vAlign w:val="bottom"/>
          </w:tcPr>
          <w:p>
            <w:pPr>
              <w:spacing w:after="0"/>
              <w:rPr>
                <w:sz w:val="15"/>
                <w:szCs w:val="15"/>
                <w:color w:val="auto"/>
              </w:rPr>
            </w:pPr>
          </w:p>
        </w:tc>
        <w:tc>
          <w:tcPr>
            <w:tcW w:w="70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tax expense at PRC statutory rate</w:t>
            </w:r>
          </w:p>
        </w:tc>
        <w:tc>
          <w:tcPr>
            <w:tcW w:w="1920" w:type="dxa"/>
            <w:vAlign w:val="bottom"/>
            <w:gridSpan w:val="3"/>
            <w:shd w:val="clear" w:color="auto" w:fill="CCEEFF"/>
          </w:tcPr>
          <w:p>
            <w:pPr>
              <w:jc w:val="right"/>
              <w:ind w:right="283"/>
              <w:spacing w:after="0"/>
              <w:rPr>
                <w:sz w:val="20"/>
                <w:szCs w:val="20"/>
                <w:color w:val="auto"/>
              </w:rPr>
            </w:pPr>
            <w:r>
              <w:rPr>
                <w:rFonts w:ascii="Times New Roman" w:cs="Times New Roman" w:eastAsia="Times New Roman" w:hAnsi="Times New Roman"/>
                <w:sz w:val="18"/>
                <w:szCs w:val="18"/>
                <w:color w:val="auto"/>
              </w:rPr>
              <w:t>1,679</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8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16"/>
        </w:trPr>
        <w:tc>
          <w:tcPr>
            <w:tcW w:w="7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Foreign Tax Effects</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Cayman Islands</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Statutory tax rate difference between PRC and other jurisdictions</w:t>
            </w:r>
          </w:p>
        </w:tc>
        <w:tc>
          <w:tcPr>
            <w:tcW w:w="1920" w:type="dxa"/>
            <w:vAlign w:val="bottom"/>
            <w:gridSpan w:val="3"/>
          </w:tcPr>
          <w:p>
            <w:pPr>
              <w:jc w:val="right"/>
              <w:ind w:right="283"/>
              <w:spacing w:after="0"/>
              <w:rPr>
                <w:sz w:val="20"/>
                <w:szCs w:val="20"/>
                <w:color w:val="auto"/>
              </w:rPr>
            </w:pPr>
            <w:r>
              <w:rPr>
                <w:rFonts w:ascii="Times New Roman" w:cs="Times New Roman" w:eastAsia="Times New Roman" w:hAnsi="Times New Roman"/>
                <w:sz w:val="18"/>
                <w:szCs w:val="18"/>
                <w:color w:val="auto"/>
              </w:rPr>
              <w:t>678</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16"/>
        </w:trPr>
        <w:tc>
          <w:tcPr>
            <w:tcW w:w="75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Hong Kong</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Statutory tax rate difference between PRC and other jurisdictions</w:t>
            </w:r>
          </w:p>
        </w:tc>
        <w:tc>
          <w:tcPr>
            <w:tcW w:w="1920" w:type="dxa"/>
            <w:vAlign w:val="bottom"/>
            <w:gridSpan w:val="3"/>
          </w:tcPr>
          <w:p>
            <w:pPr>
              <w:jc w:val="right"/>
              <w:ind w:right="223"/>
              <w:spacing w:after="0"/>
              <w:rPr>
                <w:sz w:val="20"/>
                <w:szCs w:val="20"/>
                <w:color w:val="auto"/>
              </w:rPr>
            </w:pPr>
            <w:r>
              <w:rPr>
                <w:rFonts w:ascii="Times New Roman" w:cs="Times New Roman" w:eastAsia="Times New Roman" w:hAnsi="Times New Roman"/>
                <w:sz w:val="18"/>
                <w:szCs w:val="18"/>
                <w:color w:val="auto"/>
              </w:rPr>
              <w:t>(654)</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18"/>
                <w:szCs w:val="18"/>
                <w:color w:val="auto"/>
              </w:rPr>
            </w:pPr>
          </w:p>
        </w:tc>
        <w:tc>
          <w:tcPr>
            <w:tcW w:w="70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Non-taxable income</w:t>
            </w:r>
          </w:p>
        </w:tc>
        <w:tc>
          <w:tcPr>
            <w:tcW w:w="1920" w:type="dxa"/>
            <w:vAlign w:val="bottom"/>
            <w:gridSpan w:val="3"/>
            <w:shd w:val="clear" w:color="auto" w:fill="CCEEFF"/>
          </w:tcPr>
          <w:p>
            <w:pPr>
              <w:jc w:val="right"/>
              <w:ind w:right="223"/>
              <w:spacing w:after="0"/>
              <w:rPr>
                <w:sz w:val="20"/>
                <w:szCs w:val="20"/>
                <w:color w:val="auto"/>
              </w:rPr>
            </w:pPr>
            <w:r>
              <w:rPr>
                <w:rFonts w:ascii="Times New Roman" w:cs="Times New Roman" w:eastAsia="Times New Roman" w:hAnsi="Times New Roman"/>
                <w:sz w:val="18"/>
                <w:szCs w:val="18"/>
                <w:color w:val="auto"/>
              </w:rPr>
              <w:t>(1,655)</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(24.6%)</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Non-deductible expenses</w:t>
            </w:r>
          </w:p>
        </w:tc>
        <w:tc>
          <w:tcPr>
            <w:tcW w:w="1920" w:type="dxa"/>
            <w:vAlign w:val="bottom"/>
            <w:gridSpan w:val="3"/>
          </w:tcPr>
          <w:p>
            <w:pPr>
              <w:jc w:val="right"/>
              <w:ind w:right="283"/>
              <w:spacing w:after="0"/>
              <w:rPr>
                <w:sz w:val="20"/>
                <w:szCs w:val="20"/>
                <w:color w:val="auto"/>
              </w:rPr>
            </w:pPr>
            <w:r>
              <w:rPr>
                <w:rFonts w:ascii="Times New Roman" w:cs="Times New Roman" w:eastAsia="Times New Roman" w:hAnsi="Times New Roman"/>
                <w:sz w:val="18"/>
                <w:szCs w:val="18"/>
                <w:color w:val="auto"/>
              </w:rPr>
              <w:t>361</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18"/>
                <w:szCs w:val="18"/>
                <w:color w:val="auto"/>
              </w:rPr>
            </w:pPr>
          </w:p>
        </w:tc>
        <w:tc>
          <w:tcPr>
            <w:tcW w:w="70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Others</w:t>
            </w:r>
          </w:p>
        </w:tc>
        <w:tc>
          <w:tcPr>
            <w:tcW w:w="1920" w:type="dxa"/>
            <w:vAlign w:val="bottom"/>
            <w:gridSpan w:val="3"/>
            <w:shd w:val="clear" w:color="auto" w:fill="CCEEFF"/>
          </w:tcPr>
          <w:p>
            <w:pPr>
              <w:jc w:val="right"/>
              <w:ind w:right="283"/>
              <w:spacing w:after="0"/>
              <w:rPr>
                <w:sz w:val="20"/>
                <w:szCs w:val="20"/>
                <w:color w:val="auto"/>
              </w:rPr>
            </w:pPr>
            <w:r>
              <w:rPr>
                <w:rFonts w:ascii="Times New Roman" w:cs="Times New Roman" w:eastAsia="Times New Roman" w:hAnsi="Times New Roman"/>
                <w:sz w:val="18"/>
                <w:szCs w:val="18"/>
                <w:color w:val="auto"/>
              </w:rPr>
              <w:t>25</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8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16"/>
        </w:trPr>
        <w:tc>
          <w:tcPr>
            <w:tcW w:w="752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Other foreign jurisdictions</w:t>
            </w:r>
          </w:p>
        </w:tc>
        <w:tc>
          <w:tcPr>
            <w:tcW w:w="1920" w:type="dxa"/>
            <w:vAlign w:val="bottom"/>
            <w:gridSpan w:val="3"/>
          </w:tcPr>
          <w:p>
            <w:pPr>
              <w:jc w:val="right"/>
              <w:ind w:right="223"/>
              <w:spacing w:after="0"/>
              <w:rPr>
                <w:sz w:val="20"/>
                <w:szCs w:val="20"/>
                <w:color w:val="auto"/>
              </w:rPr>
            </w:pPr>
            <w:r>
              <w:rPr>
                <w:rFonts w:ascii="Times New Roman" w:cs="Times New Roman" w:eastAsia="Times New Roman" w:hAnsi="Times New Roman"/>
                <w:sz w:val="18"/>
                <w:szCs w:val="18"/>
                <w:color w:val="auto"/>
              </w:rPr>
              <w:t>(12)</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6"/>
        </w:trPr>
        <w:tc>
          <w:tcPr>
            <w:tcW w:w="7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Effect of changes in tax laws or rates enacted in the current year</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7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Effect of cross-border tax laws</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7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Change in valuation allowance</w:t>
            </w:r>
          </w:p>
        </w:tc>
        <w:tc>
          <w:tcPr>
            <w:tcW w:w="1920" w:type="dxa"/>
            <w:vAlign w:val="bottom"/>
            <w:gridSpan w:val="3"/>
            <w:shd w:val="clear" w:color="auto" w:fill="CCEEFF"/>
          </w:tcPr>
          <w:p>
            <w:pPr>
              <w:jc w:val="right"/>
              <w:ind w:right="283"/>
              <w:spacing w:after="0"/>
              <w:rPr>
                <w:sz w:val="20"/>
                <w:szCs w:val="20"/>
                <w:color w:val="auto"/>
              </w:rPr>
            </w:pPr>
            <w:r>
              <w:rPr>
                <w:rFonts w:ascii="Times New Roman" w:cs="Times New Roman" w:eastAsia="Times New Roman" w:hAnsi="Times New Roman"/>
                <w:sz w:val="18"/>
                <w:szCs w:val="18"/>
                <w:color w:val="auto"/>
              </w:rPr>
              <w:t>810</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8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16"/>
        </w:trPr>
        <w:tc>
          <w:tcPr>
            <w:tcW w:w="7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Nontaxable or nondeductible items</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18"/>
                <w:szCs w:val="18"/>
                <w:color w:val="auto"/>
              </w:rPr>
            </w:pPr>
          </w:p>
        </w:tc>
        <w:tc>
          <w:tcPr>
            <w:tcW w:w="70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Non-taxable income</w:t>
            </w:r>
          </w:p>
        </w:tc>
        <w:tc>
          <w:tcPr>
            <w:tcW w:w="1920" w:type="dxa"/>
            <w:vAlign w:val="bottom"/>
            <w:gridSpan w:val="3"/>
            <w:shd w:val="clear" w:color="auto" w:fill="CCEEFF"/>
          </w:tcPr>
          <w:p>
            <w:pPr>
              <w:jc w:val="right"/>
              <w:ind w:right="223"/>
              <w:spacing w:after="0"/>
              <w:rPr>
                <w:sz w:val="20"/>
                <w:szCs w:val="20"/>
                <w:color w:val="auto"/>
              </w:rPr>
            </w:pPr>
            <w:r>
              <w:rPr>
                <w:rFonts w:ascii="Times New Roman" w:cs="Times New Roman" w:eastAsia="Times New Roman" w:hAnsi="Times New Roman"/>
                <w:sz w:val="18"/>
                <w:szCs w:val="18"/>
                <w:color w:val="auto"/>
              </w:rPr>
              <w:t>(69)</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08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Non-deductible expenses</w:t>
            </w:r>
          </w:p>
        </w:tc>
        <w:tc>
          <w:tcPr>
            <w:tcW w:w="1920" w:type="dxa"/>
            <w:vAlign w:val="bottom"/>
            <w:gridSpan w:val="3"/>
          </w:tcPr>
          <w:p>
            <w:pPr>
              <w:jc w:val="right"/>
              <w:ind w:right="283"/>
              <w:spacing w:after="0"/>
              <w:rPr>
                <w:sz w:val="20"/>
                <w:szCs w:val="20"/>
                <w:color w:val="auto"/>
              </w:rPr>
            </w:pPr>
            <w:r>
              <w:rPr>
                <w:rFonts w:ascii="Times New Roman" w:cs="Times New Roman" w:eastAsia="Times New Roman" w:hAnsi="Times New Roman"/>
                <w:sz w:val="18"/>
                <w:szCs w:val="18"/>
                <w:color w:val="auto"/>
              </w:rPr>
              <w:t>876</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18"/>
                <w:szCs w:val="18"/>
                <w:color w:val="auto"/>
              </w:rPr>
            </w:pPr>
          </w:p>
        </w:tc>
        <w:tc>
          <w:tcPr>
            <w:tcW w:w="70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Expected credit losses</w:t>
            </w:r>
          </w:p>
        </w:tc>
        <w:tc>
          <w:tcPr>
            <w:tcW w:w="1920" w:type="dxa"/>
            <w:vAlign w:val="bottom"/>
            <w:gridSpan w:val="3"/>
            <w:shd w:val="clear" w:color="auto" w:fill="CCEEFF"/>
          </w:tcPr>
          <w:p>
            <w:pPr>
              <w:jc w:val="right"/>
              <w:ind w:right="283"/>
              <w:spacing w:after="0"/>
              <w:rPr>
                <w:sz w:val="20"/>
                <w:szCs w:val="20"/>
                <w:color w:val="auto"/>
              </w:rPr>
            </w:pPr>
            <w:r>
              <w:rPr>
                <w:rFonts w:ascii="Times New Roman" w:cs="Times New Roman" w:eastAsia="Times New Roman" w:hAnsi="Times New Roman"/>
                <w:sz w:val="18"/>
                <w:szCs w:val="18"/>
                <w:color w:val="auto"/>
              </w:rPr>
              <w:t>228</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8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0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1920" w:type="dxa"/>
            <w:vAlign w:val="bottom"/>
            <w:gridSpan w:val="3"/>
          </w:tcPr>
          <w:p>
            <w:pPr>
              <w:jc w:val="right"/>
              <w:ind w:right="283"/>
              <w:spacing w:after="0"/>
              <w:rPr>
                <w:sz w:val="20"/>
                <w:szCs w:val="20"/>
                <w:color w:val="auto"/>
              </w:rPr>
            </w:pPr>
            <w:r>
              <w:rPr>
                <w:rFonts w:ascii="Times New Roman" w:cs="Times New Roman" w:eastAsia="Times New Roman" w:hAnsi="Times New Roman"/>
                <w:sz w:val="18"/>
                <w:szCs w:val="18"/>
                <w:color w:val="auto"/>
              </w:rPr>
              <w:t>351</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18"/>
                <w:szCs w:val="18"/>
                <w:color w:val="auto"/>
              </w:rPr>
            </w:pPr>
          </w:p>
        </w:tc>
        <w:tc>
          <w:tcPr>
            <w:tcW w:w="70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Others</w:t>
            </w:r>
          </w:p>
        </w:tc>
        <w:tc>
          <w:tcPr>
            <w:tcW w:w="1920" w:type="dxa"/>
            <w:vAlign w:val="bottom"/>
            <w:gridSpan w:val="3"/>
            <w:shd w:val="clear" w:color="auto" w:fill="CCEEFF"/>
          </w:tcPr>
          <w:p>
            <w:pPr>
              <w:jc w:val="right"/>
              <w:ind w:right="283"/>
              <w:spacing w:after="0"/>
              <w:rPr>
                <w:sz w:val="20"/>
                <w:szCs w:val="20"/>
                <w:color w:val="auto"/>
              </w:rPr>
            </w:pPr>
            <w:r>
              <w:rPr>
                <w:rFonts w:ascii="Times New Roman" w:cs="Times New Roman" w:eastAsia="Times New Roman" w:hAnsi="Times New Roman"/>
                <w:sz w:val="18"/>
                <w:szCs w:val="18"/>
                <w:color w:val="auto"/>
              </w:rPr>
              <w:t>297</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8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7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Changes in unrecognized tax benefits</w:t>
            </w:r>
          </w:p>
        </w:tc>
        <w:tc>
          <w:tcPr>
            <w:tcW w:w="1920" w:type="dxa"/>
            <w:vAlign w:val="bottom"/>
            <w:gridSpan w:val="3"/>
          </w:tcPr>
          <w:p>
            <w:pPr>
              <w:jc w:val="right"/>
              <w:ind w:right="223"/>
              <w:spacing w:after="0"/>
              <w:rPr>
                <w:sz w:val="20"/>
                <w:szCs w:val="20"/>
                <w:color w:val="auto"/>
              </w:rPr>
            </w:pPr>
            <w:r>
              <w:rPr>
                <w:rFonts w:ascii="Times New Roman" w:cs="Times New Roman" w:eastAsia="Times New Roman" w:hAnsi="Times New Roman"/>
                <w:sz w:val="18"/>
                <w:szCs w:val="18"/>
                <w:color w:val="auto"/>
              </w:rPr>
              <w:t>(256)</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7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adjustments</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Effect of tax holidays inside PRC</w:t>
            </w:r>
          </w:p>
        </w:tc>
        <w:tc>
          <w:tcPr>
            <w:tcW w:w="1920" w:type="dxa"/>
            <w:vAlign w:val="bottom"/>
            <w:gridSpan w:val="3"/>
          </w:tcPr>
          <w:p>
            <w:pPr>
              <w:jc w:val="right"/>
              <w:ind w:right="283"/>
              <w:spacing w:after="0"/>
              <w:rPr>
                <w:sz w:val="20"/>
                <w:szCs w:val="20"/>
                <w:color w:val="auto"/>
              </w:rPr>
            </w:pPr>
            <w:r>
              <w:rPr>
                <w:rFonts w:ascii="Times New Roman" w:cs="Times New Roman" w:eastAsia="Times New Roman" w:hAnsi="Times New Roman"/>
                <w:sz w:val="18"/>
                <w:szCs w:val="18"/>
                <w:color w:val="auto"/>
              </w:rPr>
              <w:t>406</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18"/>
                <w:szCs w:val="18"/>
                <w:color w:val="auto"/>
              </w:rPr>
            </w:pPr>
          </w:p>
        </w:tc>
        <w:tc>
          <w:tcPr>
            <w:tcW w:w="70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Tax incentives relating to R&amp;D expenditures</w:t>
            </w:r>
          </w:p>
        </w:tc>
        <w:tc>
          <w:tcPr>
            <w:tcW w:w="1920" w:type="dxa"/>
            <w:vAlign w:val="bottom"/>
            <w:gridSpan w:val="3"/>
            <w:shd w:val="clear" w:color="auto" w:fill="CCEEFF"/>
          </w:tcPr>
          <w:p>
            <w:pPr>
              <w:jc w:val="right"/>
              <w:ind w:right="223"/>
              <w:spacing w:after="0"/>
              <w:rPr>
                <w:sz w:val="20"/>
                <w:szCs w:val="20"/>
                <w:color w:val="auto"/>
              </w:rPr>
            </w:pPr>
            <w:r>
              <w:rPr>
                <w:rFonts w:ascii="Times New Roman" w:cs="Times New Roman" w:eastAsia="Times New Roman" w:hAnsi="Times New Roman"/>
                <w:sz w:val="18"/>
                <w:szCs w:val="18"/>
                <w:color w:val="auto"/>
              </w:rPr>
              <w:t>(2,727)</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(40.6%)</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Effect of tax rate change on deferred tax</w:t>
            </w:r>
          </w:p>
        </w:tc>
        <w:tc>
          <w:tcPr>
            <w:tcW w:w="1920" w:type="dxa"/>
            <w:vAlign w:val="bottom"/>
            <w:gridSpan w:val="3"/>
          </w:tcPr>
          <w:p>
            <w:pPr>
              <w:jc w:val="right"/>
              <w:ind w:right="283"/>
              <w:spacing w:after="0"/>
              <w:rPr>
                <w:sz w:val="20"/>
                <w:szCs w:val="20"/>
                <w:color w:val="auto"/>
              </w:rPr>
            </w:pPr>
            <w:r>
              <w:rPr>
                <w:rFonts w:ascii="Times New Roman" w:cs="Times New Roman" w:eastAsia="Times New Roman" w:hAnsi="Times New Roman"/>
                <w:sz w:val="18"/>
                <w:szCs w:val="18"/>
                <w:color w:val="auto"/>
              </w:rPr>
              <w:t>229</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18"/>
                <w:szCs w:val="18"/>
                <w:color w:val="auto"/>
              </w:rPr>
            </w:pPr>
          </w:p>
        </w:tc>
        <w:tc>
          <w:tcPr>
            <w:tcW w:w="70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PRC withholding tax</w:t>
            </w:r>
          </w:p>
        </w:tc>
        <w:tc>
          <w:tcPr>
            <w:tcW w:w="1920" w:type="dxa"/>
            <w:vAlign w:val="bottom"/>
            <w:gridSpan w:val="3"/>
            <w:shd w:val="clear" w:color="auto" w:fill="CCEEFF"/>
          </w:tcPr>
          <w:p>
            <w:pPr>
              <w:jc w:val="right"/>
              <w:ind w:right="283"/>
              <w:spacing w:after="0"/>
              <w:rPr>
                <w:sz w:val="20"/>
                <w:szCs w:val="20"/>
                <w:color w:val="auto"/>
              </w:rPr>
            </w:pPr>
            <w:r>
              <w:rPr>
                <w:rFonts w:ascii="Times New Roman" w:cs="Times New Roman" w:eastAsia="Times New Roman" w:hAnsi="Times New Roman"/>
                <w:sz w:val="18"/>
                <w:szCs w:val="18"/>
                <w:color w:val="auto"/>
              </w:rPr>
              <w:t>1,503</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8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Others</w:t>
            </w:r>
          </w:p>
        </w:tc>
        <w:tc>
          <w:tcPr>
            <w:tcW w:w="1920" w:type="dxa"/>
            <w:vAlign w:val="bottom"/>
            <w:gridSpan w:val="3"/>
          </w:tcPr>
          <w:p>
            <w:pPr>
              <w:jc w:val="right"/>
              <w:ind w:right="283"/>
              <w:spacing w:after="0"/>
              <w:rPr>
                <w:sz w:val="20"/>
                <w:szCs w:val="20"/>
                <w:color w:val="auto"/>
              </w:rPr>
            </w:pPr>
            <w:r>
              <w:rPr>
                <w:rFonts w:ascii="Times New Roman" w:cs="Times New Roman" w:eastAsia="Times New Roman" w:hAnsi="Times New Roman"/>
                <w:sz w:val="18"/>
                <w:szCs w:val="18"/>
                <w:color w:val="auto"/>
              </w:rPr>
              <w:t>65</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16"/>
        </w:trPr>
        <w:tc>
          <w:tcPr>
            <w:tcW w:w="7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tc>
        <w:tc>
          <w:tcPr>
            <w:tcW w:w="1920" w:type="dxa"/>
            <w:vAlign w:val="bottom"/>
            <w:gridSpan w:val="3"/>
            <w:shd w:val="clear" w:color="auto" w:fill="CCEEFF"/>
          </w:tcPr>
          <w:p>
            <w:pPr>
              <w:jc w:val="right"/>
              <w:ind w:right="283"/>
              <w:spacing w:after="0"/>
              <w:rPr>
                <w:sz w:val="20"/>
                <w:szCs w:val="20"/>
                <w:color w:val="auto"/>
              </w:rPr>
            </w:pPr>
            <w:r>
              <w:rPr>
                <w:rFonts w:ascii="Times New Roman" w:cs="Times New Roman" w:eastAsia="Times New Roman" w:hAnsi="Times New Roman"/>
                <w:sz w:val="18"/>
                <w:szCs w:val="18"/>
                <w:b w:val="1"/>
                <w:bCs w:val="1"/>
                <w:color w:val="auto"/>
              </w:rPr>
              <w:t>1,259</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180</w:t>
            </w:r>
          </w:p>
        </w:tc>
        <w:tc>
          <w:tcPr>
            <w:tcW w:w="108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18.7%</w:t>
            </w:r>
          </w:p>
        </w:tc>
        <w:tc>
          <w:tcPr>
            <w:tcW w:w="0" w:type="dxa"/>
            <w:vAlign w:val="bottom"/>
          </w:tcPr>
          <w:p>
            <w:pPr>
              <w:spacing w:after="0"/>
              <w:rPr>
                <w:sz w:val="1"/>
                <w:szCs w:val="1"/>
                <w:color w:val="auto"/>
              </w:rPr>
            </w:pPr>
          </w:p>
        </w:tc>
      </w:tr>
      <w:tr>
        <w:trPr>
          <w:trHeight w:val="365"/>
        </w:trPr>
        <w:tc>
          <w:tcPr>
            <w:tcW w:w="440" w:type="dxa"/>
            <w:vAlign w:val="bottom"/>
          </w:tcPr>
          <w:p>
            <w:pPr>
              <w:spacing w:after="0"/>
              <w:rPr>
                <w:sz w:val="24"/>
                <w:szCs w:val="24"/>
                <w:color w:val="auto"/>
              </w:rPr>
            </w:pPr>
          </w:p>
        </w:tc>
        <w:tc>
          <w:tcPr>
            <w:tcW w:w="7080" w:type="dxa"/>
            <w:vAlign w:val="bottom"/>
          </w:tcPr>
          <w:p>
            <w:pPr>
              <w:ind w:left="4900"/>
              <w:spacing w:after="0"/>
              <w:rPr>
                <w:sz w:val="20"/>
                <w:szCs w:val="20"/>
                <w:color w:val="auto"/>
              </w:rPr>
            </w:pPr>
            <w:r>
              <w:rPr>
                <w:rFonts w:ascii="Times New Roman" w:cs="Times New Roman" w:eastAsia="Times New Roman" w:hAnsi="Times New Roman"/>
                <w:sz w:val="18"/>
                <w:szCs w:val="18"/>
                <w:color w:val="auto"/>
              </w:rPr>
              <w:t>F-47</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273" w:name="page274"/>
    <w:bookmarkEnd w:id="2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4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BAIDU, INC.</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THE YEARS ENDED DECEMBER 31, 2023, 2024 AND 2025</w:t>
      </w:r>
    </w:p>
    <w:p>
      <w:pPr>
        <w:spacing w:after="0" w:line="2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tax effects of temporary differences that gave rise to the deferred tax balances at December 31, 2024 and 2025 are as follows:</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78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9"/>
          </w:tcPr>
          <w:p>
            <w:pPr>
              <w:jc w:val="center"/>
              <w:ind w:left="185"/>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42"/>
        </w:trPr>
        <w:tc>
          <w:tcPr>
            <w:tcW w:w="7860" w:type="dxa"/>
            <w:vAlign w:val="bottom"/>
          </w:tcPr>
          <w:p>
            <w:pPr>
              <w:spacing w:after="0"/>
              <w:rPr>
                <w:sz w:val="12"/>
                <w:szCs w:val="12"/>
                <w:color w:val="auto"/>
              </w:rPr>
            </w:pPr>
          </w:p>
        </w:tc>
        <w:tc>
          <w:tcPr>
            <w:tcW w:w="620" w:type="dxa"/>
            <w:vAlign w:val="bottom"/>
            <w:tcBorders>
              <w:bottom w:val="single" w:sz="8" w:color="auto"/>
            </w:tcBorders>
            <w:gridSpan w:val="2"/>
          </w:tcPr>
          <w:p>
            <w:pPr>
              <w:jc w:val="right"/>
              <w:ind w:right="8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auto"/>
            </w:tcBorders>
            <w:gridSpan w:val="2"/>
          </w:tcPr>
          <w:p>
            <w:pPr>
              <w:jc w:val="right"/>
              <w:ind w:right="8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2"/>
          </w:tcPr>
          <w:p>
            <w:pPr>
              <w:jc w:val="right"/>
              <w:ind w:right="4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17"/>
        </w:trPr>
        <w:tc>
          <w:tcPr>
            <w:tcW w:w="7860" w:type="dxa"/>
            <w:vAlign w:val="bottom"/>
          </w:tcPr>
          <w:p>
            <w:pPr>
              <w:spacing w:after="0"/>
              <w:rPr>
                <w:sz w:val="10"/>
                <w:szCs w:val="10"/>
                <w:color w:val="auto"/>
              </w:rPr>
            </w:pPr>
          </w:p>
        </w:tc>
        <w:tc>
          <w:tcPr>
            <w:tcW w:w="620" w:type="dxa"/>
            <w:vAlign w:val="bottom"/>
            <w:gridSpan w:val="2"/>
          </w:tcPr>
          <w:p>
            <w:pPr>
              <w:jc w:val="right"/>
              <w:ind w:right="65"/>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gridSpan w:val="2"/>
          </w:tcPr>
          <w:p>
            <w:pPr>
              <w:jc w:val="right"/>
              <w:ind w:right="62"/>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73"/>
        </w:trPr>
        <w:tc>
          <w:tcPr>
            <w:tcW w:w="7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60" w:type="dxa"/>
            <w:vAlign w:val="bottom"/>
            <w:gridSpan w:val="8"/>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16"/>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720" w:type="dxa"/>
            <w:vAlign w:val="bottom"/>
            <w:gridSpan w:val="3"/>
          </w:tcPr>
          <w:p>
            <w:pPr>
              <w:jc w:val="right"/>
              <w:ind w:right="28"/>
              <w:spacing w:after="0"/>
              <w:rPr>
                <w:sz w:val="20"/>
                <w:szCs w:val="20"/>
                <w:color w:val="auto"/>
              </w:rPr>
            </w:pPr>
            <w:r>
              <w:rPr>
                <w:rFonts w:ascii="Times New Roman" w:cs="Times New Roman" w:eastAsia="Times New Roman" w:hAnsi="Times New Roman"/>
                <w:sz w:val="18"/>
                <w:szCs w:val="18"/>
                <w:color w:val="auto"/>
              </w:rPr>
              <w:t>905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1,412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202</w:t>
            </w:r>
          </w:p>
        </w:tc>
        <w:tc>
          <w:tcPr>
            <w:tcW w:w="40" w:type="dxa"/>
            <w:vAlign w:val="bottom"/>
          </w:tcPr>
          <w:p>
            <w:pPr>
              <w:spacing w:after="0"/>
              <w:rPr>
                <w:sz w:val="18"/>
                <w:szCs w:val="18"/>
                <w:color w:val="auto"/>
              </w:rPr>
            </w:pPr>
          </w:p>
        </w:tc>
      </w:tr>
      <w:tr>
        <w:trPr>
          <w:trHeight w:val="216"/>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payroll and others, and impairment of long-lived assets</w:t>
            </w:r>
          </w:p>
        </w:tc>
        <w:tc>
          <w:tcPr>
            <w:tcW w:w="720" w:type="dxa"/>
            <w:vAlign w:val="bottom"/>
            <w:gridSpan w:val="3"/>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4,067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6,705</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959</w:t>
            </w:r>
          </w:p>
        </w:tc>
        <w:tc>
          <w:tcPr>
            <w:tcW w:w="40" w:type="dxa"/>
            <w:vAlign w:val="bottom"/>
            <w:shd w:val="clear" w:color="auto" w:fill="CCEEFF"/>
          </w:tcPr>
          <w:p>
            <w:pPr>
              <w:spacing w:after="0"/>
              <w:rPr>
                <w:sz w:val="18"/>
                <w:szCs w:val="18"/>
                <w:color w:val="auto"/>
              </w:rPr>
            </w:pP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Fixed assets depreciation and intangible assets amortization</w:t>
            </w:r>
          </w:p>
        </w:tc>
        <w:tc>
          <w:tcPr>
            <w:tcW w:w="720" w:type="dxa"/>
            <w:vAlign w:val="bottom"/>
            <w:gridSpan w:val="3"/>
          </w:tcPr>
          <w:p>
            <w:pPr>
              <w:jc w:val="right"/>
              <w:ind w:right="28"/>
              <w:spacing w:after="0"/>
              <w:rPr>
                <w:sz w:val="20"/>
                <w:szCs w:val="20"/>
                <w:color w:val="auto"/>
              </w:rPr>
            </w:pPr>
            <w:r>
              <w:rPr>
                <w:rFonts w:ascii="Times New Roman" w:cs="Times New Roman" w:eastAsia="Times New Roman" w:hAnsi="Times New Roman"/>
                <w:sz w:val="18"/>
                <w:szCs w:val="18"/>
                <w:color w:val="auto"/>
              </w:rPr>
              <w:t>3,511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3,121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446</w:t>
            </w:r>
          </w:p>
        </w:tc>
        <w:tc>
          <w:tcPr>
            <w:tcW w:w="40" w:type="dxa"/>
            <w:vAlign w:val="bottom"/>
          </w:tcPr>
          <w:p>
            <w:pPr>
              <w:spacing w:after="0"/>
              <w:rPr>
                <w:sz w:val="18"/>
                <w:szCs w:val="18"/>
                <w:color w:val="auto"/>
              </w:rPr>
            </w:pPr>
          </w:p>
        </w:tc>
      </w:tr>
      <w:tr>
        <w:trPr>
          <w:trHeight w:val="216"/>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720" w:type="dxa"/>
            <w:vAlign w:val="bottom"/>
            <w:gridSpan w:val="3"/>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1,255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1,159</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166</w:t>
            </w:r>
          </w:p>
        </w:tc>
        <w:tc>
          <w:tcPr>
            <w:tcW w:w="40" w:type="dxa"/>
            <w:vAlign w:val="bottom"/>
            <w:shd w:val="clear" w:color="auto" w:fill="CCEEFF"/>
          </w:tcPr>
          <w:p>
            <w:pPr>
              <w:spacing w:after="0"/>
              <w:rPr>
                <w:sz w:val="18"/>
                <w:szCs w:val="18"/>
                <w:color w:val="auto"/>
              </w:rPr>
            </w:pP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Net operating loss carry – forwards</w:t>
            </w:r>
          </w:p>
        </w:tc>
        <w:tc>
          <w:tcPr>
            <w:tcW w:w="720" w:type="dxa"/>
            <w:vAlign w:val="bottom"/>
            <w:gridSpan w:val="3"/>
          </w:tcPr>
          <w:p>
            <w:pPr>
              <w:jc w:val="right"/>
              <w:ind w:right="28"/>
              <w:spacing w:after="0"/>
              <w:rPr>
                <w:sz w:val="20"/>
                <w:szCs w:val="20"/>
                <w:color w:val="auto"/>
              </w:rPr>
            </w:pPr>
            <w:r>
              <w:rPr>
                <w:rFonts w:ascii="Times New Roman" w:cs="Times New Roman" w:eastAsia="Times New Roman" w:hAnsi="Times New Roman"/>
                <w:sz w:val="18"/>
                <w:szCs w:val="18"/>
                <w:color w:val="auto"/>
              </w:rPr>
              <w:t>4,483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5,436</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777</w:t>
            </w:r>
          </w:p>
        </w:tc>
        <w:tc>
          <w:tcPr>
            <w:tcW w:w="40" w:type="dxa"/>
            <w:vAlign w:val="bottom"/>
          </w:tcPr>
          <w:p>
            <w:pPr>
              <w:spacing w:after="0"/>
              <w:rPr>
                <w:sz w:val="18"/>
                <w:szCs w:val="18"/>
                <w:color w:val="auto"/>
              </w:rPr>
            </w:pPr>
          </w:p>
        </w:tc>
      </w:tr>
      <w:tr>
        <w:trPr>
          <w:trHeight w:val="216"/>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valuation allowance</w:t>
            </w: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(11,841)</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8"/>
              </w:rPr>
              <w:t>(1,693)</w:t>
            </w:r>
          </w:p>
        </w:tc>
      </w:tr>
      <w:tr>
        <w:trPr>
          <w:trHeight w:val="223"/>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3,723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Borders>
              <w:top w:val="single" w:sz="8" w:color="auto"/>
              <w:bottom w:val="single" w:sz="8" w:color="auto"/>
            </w:tcBorders>
            <w:gridSpan w:val="2"/>
          </w:tcPr>
          <w:p>
            <w:pPr>
              <w:jc w:val="center"/>
              <w:ind w:left="115"/>
              <w:spacing w:after="0"/>
              <w:rPr>
                <w:sz w:val="20"/>
                <w:szCs w:val="20"/>
                <w:color w:val="auto"/>
              </w:rPr>
            </w:pPr>
            <w:r>
              <w:rPr>
                <w:rFonts w:ascii="Times New Roman" w:cs="Times New Roman" w:eastAsia="Times New Roman" w:hAnsi="Times New Roman"/>
                <w:sz w:val="18"/>
                <w:szCs w:val="18"/>
                <w:color w:val="auto"/>
                <w:w w:val="98"/>
              </w:rPr>
              <w:t>5,992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7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gridSpan w:val="2"/>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86"/>
        </w:trPr>
        <w:tc>
          <w:tcPr>
            <w:tcW w:w="7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40" w:type="dxa"/>
            <w:vAlign w:val="bottom"/>
            <w:gridSpan w:val="1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42"/>
        </w:trPr>
        <w:tc>
          <w:tcPr>
            <w:tcW w:w="7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Borders>
              <w:top w:val="single" w:sz="8" w:color="auto"/>
            </w:tcBorders>
            <w:gridSpan w:val="2"/>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117"/>
        </w:trPr>
        <w:tc>
          <w:tcPr>
            <w:tcW w:w="7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Borders>
              <w:top w:val="single" w:sz="8" w:color="auto"/>
            </w:tcBorders>
            <w:gridSpan w:val="2"/>
          </w:tcPr>
          <w:p>
            <w:pPr>
              <w:jc w:val="right"/>
              <w:ind w:right="8"/>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100" w:type="dxa"/>
            <w:vAlign w:val="bottom"/>
            <w:gridSpan w:val="2"/>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140" w:type="dxa"/>
            <w:vAlign w:val="bottom"/>
            <w:gridSpan w:val="2"/>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Borders>
              <w:top w:val="single" w:sz="8" w:color="auto"/>
            </w:tcBorders>
            <w:gridSpan w:val="2"/>
          </w:tcPr>
          <w:p>
            <w:pPr>
              <w:jc w:val="right"/>
              <w:ind w:right="80"/>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c>
          <w:tcPr>
            <w:tcW w:w="40" w:type="dxa"/>
            <w:vAlign w:val="bottom"/>
          </w:tcPr>
          <w:p>
            <w:pPr>
              <w:spacing w:after="0"/>
              <w:rPr>
                <w:sz w:val="10"/>
                <w:szCs w:val="10"/>
                <w:color w:val="auto"/>
              </w:rPr>
            </w:pPr>
          </w:p>
        </w:tc>
      </w:tr>
      <w:tr>
        <w:trPr>
          <w:trHeight w:val="173"/>
        </w:trPr>
        <w:tc>
          <w:tcPr>
            <w:tcW w:w="7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5"/>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16"/>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7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1,255</w:t>
            </w:r>
          </w:p>
        </w:tc>
        <w:tc>
          <w:tcPr>
            <w:tcW w:w="80" w:type="dxa"/>
            <w:vAlign w:val="bottom"/>
          </w:tcPr>
          <w:p>
            <w:pPr>
              <w:spacing w:after="0"/>
              <w:rPr>
                <w:sz w:val="18"/>
                <w:szCs w:val="18"/>
                <w:color w:val="auto"/>
              </w:rPr>
            </w:pPr>
          </w:p>
        </w:tc>
        <w:tc>
          <w:tcPr>
            <w:tcW w:w="8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1,159</w:t>
            </w:r>
          </w:p>
        </w:tc>
        <w:tc>
          <w:tcPr>
            <w:tcW w:w="40" w:type="dxa"/>
            <w:vAlign w:val="bottom"/>
          </w:tcPr>
          <w:p>
            <w:pPr>
              <w:spacing w:after="0"/>
              <w:rPr>
                <w:sz w:val="18"/>
                <w:szCs w:val="18"/>
                <w:color w:val="auto"/>
              </w:rPr>
            </w:pPr>
          </w:p>
        </w:tc>
        <w:tc>
          <w:tcPr>
            <w:tcW w:w="5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166</w:t>
            </w:r>
          </w:p>
        </w:tc>
      </w:tr>
      <w:tr>
        <w:trPr>
          <w:trHeight w:val="216"/>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Withholding tax on PRC subsidiaries’ undistributed earnings</w:t>
            </w:r>
          </w:p>
        </w:tc>
        <w:tc>
          <w:tcPr>
            <w:tcW w:w="7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2,966</w:t>
            </w:r>
          </w:p>
        </w:tc>
        <w:tc>
          <w:tcPr>
            <w:tcW w:w="8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3,730</w:t>
            </w:r>
          </w:p>
        </w:tc>
        <w:tc>
          <w:tcPr>
            <w:tcW w:w="4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533</w:t>
            </w: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Tax on capital gains</w:t>
            </w:r>
          </w:p>
        </w:tc>
        <w:tc>
          <w:tcPr>
            <w:tcW w:w="7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779</w:t>
            </w:r>
          </w:p>
        </w:tc>
        <w:tc>
          <w:tcPr>
            <w:tcW w:w="80" w:type="dxa"/>
            <w:vAlign w:val="bottom"/>
          </w:tcPr>
          <w:p>
            <w:pPr>
              <w:spacing w:after="0"/>
              <w:rPr>
                <w:sz w:val="18"/>
                <w:szCs w:val="18"/>
                <w:color w:val="auto"/>
              </w:rPr>
            </w:pPr>
          </w:p>
        </w:tc>
        <w:tc>
          <w:tcPr>
            <w:tcW w:w="8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1,005</w:t>
            </w:r>
          </w:p>
        </w:tc>
        <w:tc>
          <w:tcPr>
            <w:tcW w:w="40" w:type="dxa"/>
            <w:vAlign w:val="bottom"/>
          </w:tcPr>
          <w:p>
            <w:pPr>
              <w:spacing w:after="0"/>
              <w:rPr>
                <w:sz w:val="18"/>
                <w:szCs w:val="18"/>
                <w:color w:val="auto"/>
              </w:rPr>
            </w:pPr>
          </w:p>
        </w:tc>
        <w:tc>
          <w:tcPr>
            <w:tcW w:w="5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144</w:t>
            </w:r>
          </w:p>
        </w:tc>
      </w:tr>
      <w:tr>
        <w:trPr>
          <w:trHeight w:val="216"/>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7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400</w:t>
            </w:r>
          </w:p>
        </w:tc>
        <w:tc>
          <w:tcPr>
            <w:tcW w:w="8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501</w:t>
            </w:r>
          </w:p>
        </w:tc>
        <w:tc>
          <w:tcPr>
            <w:tcW w:w="4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72</w:t>
            </w:r>
          </w:p>
        </w:tc>
      </w:tr>
      <w:tr>
        <w:trPr>
          <w:trHeight w:val="223"/>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Pr>
          <w:p>
            <w:pPr>
              <w:spacing w:after="0"/>
              <w:rPr>
                <w:sz w:val="19"/>
                <w:szCs w:val="19"/>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8"/>
              </w:rPr>
              <w:t>  5,400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2"/>
              </w:rPr>
              <w:t>   6,395</w:t>
            </w:r>
          </w:p>
        </w:tc>
        <w:tc>
          <w:tcPr>
            <w:tcW w:w="14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   915</w:t>
            </w:r>
          </w:p>
        </w:tc>
        <w:tc>
          <w:tcPr>
            <w:tcW w:w="40" w:type="dxa"/>
            <w:vAlign w:val="bottom"/>
          </w:tcPr>
          <w:p>
            <w:pPr>
              <w:spacing w:after="0"/>
              <w:rPr>
                <w:sz w:val="19"/>
                <w:szCs w:val="19"/>
                <w:color w:val="auto"/>
              </w:rPr>
            </w:pPr>
          </w:p>
        </w:tc>
      </w:tr>
      <w:tr>
        <w:trPr>
          <w:trHeight w:val="20"/>
        </w:trPr>
        <w:tc>
          <w:tcPr>
            <w:tcW w:w="7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As of December 31, 2025, the Group had tax losses of approximately RMB29.9 billion (US$4.3 billion) derived mainly from entities in the PRC and Hong Kong. The tax losses in the PRC can be carried forward for five years to offset future taxable profit, and the period is currently extended to 10 years for entities qualified as HNTE. The tax losses of entities in the PRC will expire from 2026 to 2035, if not utilized. The tax losses in Hong Kong can be carried forward with no expiration date.</w:t>
      </w:r>
    </w:p>
    <w:p>
      <w:pPr>
        <w:spacing w:after="0" w:line="180" w:lineRule="exact"/>
        <w:rPr>
          <w:sz w:val="20"/>
          <w:szCs w:val="20"/>
          <w:color w:val="auto"/>
        </w:rPr>
      </w:pPr>
    </w:p>
    <w:p>
      <w:pPr>
        <w:jc w:val="both"/>
        <w:ind w:left="120"/>
        <w:spacing w:after="0" w:line="258" w:lineRule="auto"/>
        <w:rPr>
          <w:sz w:val="20"/>
          <w:szCs w:val="20"/>
          <w:color w:val="auto"/>
        </w:rPr>
      </w:pPr>
      <w:r>
        <w:rPr>
          <w:rFonts w:ascii="Times New Roman" w:cs="Times New Roman" w:eastAsia="Times New Roman" w:hAnsi="Times New Roman"/>
          <w:sz w:val="18"/>
          <w:szCs w:val="18"/>
          <w:color w:val="auto"/>
        </w:rPr>
        <w:t>As of December 31, 2025, dividend distribution withholding tax for the potential remittance of earnings from the PRC subsidiaries to offshore entities was RMB3.7 billion (US$533 million). The Group believes that the underlying dividends will be distributed in the future for offshore use, such as merger and acquisition activities. The Group did not provide for additional deferred income taxes and foreign withholding taxes on the undistributed earnings of foreign subsidiaries during the years presented on the basis of its current intent to permanently reinvest its foreign subsidiaries’ earnings. Determination of the amount of unrecognized deferred tax liability related to these earnings is not practicable.</w:t>
      </w:r>
    </w:p>
    <w:p>
      <w:pPr>
        <w:spacing w:after="0" w:line="183"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As of December 31, 2024 and 2025, the Group has unrecognized tax benefits of RMB670 million and RMB513 million (US$73 million), respectively, primarily related to the tax-deduction of accrued expenses which were presented in “Other non-current liabilities” in the consolidated balance sheets, if ultimately recognized would impact the annual effective tax rate.</w:t>
      </w:r>
    </w:p>
    <w:p>
      <w:pPr>
        <w:spacing w:after="0" w:line="320" w:lineRule="exact"/>
        <w:rPr>
          <w:sz w:val="20"/>
          <w:szCs w:val="20"/>
          <w:color w:val="auto"/>
        </w:rPr>
      </w:pPr>
    </w:p>
    <w:p>
      <w:pPr>
        <w:ind w:left="540" w:hanging="424"/>
        <w:spacing w:after="0"/>
        <w:tabs>
          <w:tab w:leader="none" w:pos="540" w:val="left"/>
        </w:tabs>
        <w:numPr>
          <w:ilvl w:val="0"/>
          <w:numId w:val="1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DEFINED CONTRIBUTION PLAN</w:t>
      </w:r>
    </w:p>
    <w:p>
      <w:pPr>
        <w:spacing w:after="0" w:line="121" w:lineRule="exact"/>
        <w:rPr>
          <w:sz w:val="20"/>
          <w:szCs w:val="20"/>
          <w:color w:val="auto"/>
        </w:rPr>
      </w:pPr>
    </w:p>
    <w:p>
      <w:pPr>
        <w:jc w:val="both"/>
        <w:ind w:left="120"/>
        <w:spacing w:after="0" w:line="258" w:lineRule="auto"/>
        <w:rPr>
          <w:sz w:val="20"/>
          <w:szCs w:val="20"/>
          <w:color w:val="auto"/>
        </w:rPr>
      </w:pPr>
      <w:r>
        <w:rPr>
          <w:rFonts w:ascii="Times New Roman" w:cs="Times New Roman" w:eastAsia="Times New Roman" w:hAnsi="Times New Roman"/>
          <w:sz w:val="18"/>
          <w:szCs w:val="18"/>
          <w:color w:val="auto"/>
        </w:rPr>
        <w:t>Full time employees of the Group in the PRC participate in a government mandated multi-employer defined contribution plan pursuant to which certain pension benefits, medical care, unemployment insurance, employee housing fund and other welfare benefits are provided to employees. Chinese labor regulations require that the Group make contributions to the government for these benefits based on certain percentages of the employees’ salaries. The Group has no legal obligation for the benefits beyond the contributions. Total amounts for such employee benefits, which were expensed as incurred, were RMB4.6 billion, RMB4.5 billion and RMB4.4 billion (US$632 million) for the years ended December 31, 2023, 2024 and 2025, respectively.</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F-48</w:t>
      </w:r>
    </w:p>
    <w:p>
      <w:pPr>
        <w:sectPr>
          <w:pgSz w:w="11900" w:h="16838" w:orient="portrait"/>
          <w:cols w:equalWidth="0" w:num="1">
            <w:col w:w="11140"/>
          </w:cols>
          <w:pgMar w:left="320" w:top="482" w:right="439" w:bottom="1440" w:gutter="0" w:footer="0" w:header="0"/>
        </w:sectPr>
      </w:pPr>
    </w:p>
    <w:bookmarkStart w:id="274" w:name="page275"/>
    <w:bookmarkEnd w:id="2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44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BAIDU, INC.</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THE YEARS ENDED DECEMBER 31, 2023, 2024 AND 2025</w:t>
      </w:r>
    </w:p>
    <w:p>
      <w:pPr>
        <w:spacing w:after="0" w:line="230" w:lineRule="exact"/>
        <w:rPr>
          <w:sz w:val="20"/>
          <w:szCs w:val="20"/>
          <w:color w:val="auto"/>
        </w:rPr>
      </w:pPr>
    </w:p>
    <w:p>
      <w:pPr>
        <w:ind w:left="540" w:hanging="424"/>
        <w:spacing w:after="0"/>
        <w:tabs>
          <w:tab w:leader="none" w:pos="540" w:val="left"/>
        </w:tabs>
        <w:numPr>
          <w:ilvl w:val="0"/>
          <w:numId w:val="1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Capital Commitments</w:t>
      </w:r>
    </w:p>
    <w:p>
      <w:pPr>
        <w:spacing w:after="0" w:line="121" w:lineRule="exact"/>
        <w:rPr>
          <w:sz w:val="20"/>
          <w:szCs w:val="20"/>
          <w:color w:val="auto"/>
        </w:rPr>
      </w:pPr>
    </w:p>
    <w:p>
      <w:pPr>
        <w:jc w:val="both"/>
        <w:ind w:left="120" w:right="20"/>
        <w:spacing w:after="0" w:line="261" w:lineRule="auto"/>
        <w:rPr>
          <w:sz w:val="20"/>
          <w:szCs w:val="20"/>
          <w:color w:val="auto"/>
        </w:rPr>
      </w:pPr>
      <w:r>
        <w:rPr>
          <w:rFonts w:ascii="Times New Roman" w:cs="Times New Roman" w:eastAsia="Times New Roman" w:hAnsi="Times New Roman"/>
          <w:sz w:val="18"/>
          <w:szCs w:val="18"/>
          <w:color w:val="auto"/>
        </w:rPr>
        <w:t>The Group’s capital commitments primarily relate to commitments in connection with the expansion and improvement of its network infrastructure and its plan to build additional cloud computing based data centers. Total capital commitments contracted but not yet reflected in the financial statements amounted to RMB6.7 billion (US$958 million) as of December 31, 2025. Almost all of the commitments relating to the network infrastructure and cloud computing based data centers are to be fulfilled within one year.</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Commitments for bandwidth and property management fees</w:t>
      </w:r>
    </w:p>
    <w:p>
      <w:pPr>
        <w:spacing w:after="0" w:line="121" w:lineRule="exact"/>
        <w:rPr>
          <w:sz w:val="20"/>
          <w:szCs w:val="20"/>
          <w:color w:val="auto"/>
        </w:rPr>
      </w:pPr>
    </w:p>
    <w:p>
      <w:pPr>
        <w:jc w:val="both"/>
        <w:ind w:left="120"/>
        <w:spacing w:after="0" w:line="282" w:lineRule="auto"/>
        <w:rPr>
          <w:sz w:val="20"/>
          <w:szCs w:val="20"/>
          <w:color w:val="auto"/>
        </w:rPr>
      </w:pPr>
      <w:r>
        <w:rPr>
          <w:rFonts w:ascii="Times New Roman" w:cs="Times New Roman" w:eastAsia="Times New Roman" w:hAnsi="Times New Roman"/>
          <w:sz w:val="18"/>
          <w:szCs w:val="18"/>
          <w:color w:val="auto"/>
        </w:rPr>
        <w:t>Future minimum payments under noncancelable agreements for bandwidth and property management fees consist of the following as of December 31, 2025:</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7120" w:type="dxa"/>
            <w:vAlign w:val="bottom"/>
          </w:tcPr>
          <w:p>
            <w:pPr>
              <w:spacing w:after="0"/>
              <w:rPr>
                <w:sz w:val="15"/>
                <w:szCs w:val="15"/>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RMB</w:t>
            </w:r>
          </w:p>
        </w:tc>
        <w:tc>
          <w:tcPr>
            <w:tcW w:w="120" w:type="dxa"/>
            <w:vAlign w:val="bottom"/>
          </w:tcPr>
          <w:p>
            <w:pPr>
              <w:spacing w:after="0"/>
              <w:rPr>
                <w:sz w:val="15"/>
                <w:szCs w:val="15"/>
                <w:color w:val="auto"/>
              </w:rPr>
            </w:pPr>
          </w:p>
        </w:tc>
        <w:tc>
          <w:tcPr>
            <w:tcW w:w="4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US$</w:t>
            </w:r>
          </w:p>
        </w:tc>
      </w:tr>
      <w:tr>
        <w:trPr>
          <w:trHeight w:val="142"/>
        </w:trPr>
        <w:tc>
          <w:tcPr>
            <w:tcW w:w="7120" w:type="dxa"/>
            <w:vAlign w:val="bottom"/>
          </w:tcPr>
          <w:p>
            <w:pPr>
              <w:spacing w:after="0"/>
              <w:rPr>
                <w:sz w:val="12"/>
                <w:szCs w:val="12"/>
                <w:color w:val="auto"/>
              </w:rPr>
            </w:pPr>
          </w:p>
        </w:tc>
        <w:tc>
          <w:tcPr>
            <w:tcW w:w="1200" w:type="dxa"/>
            <w:vAlign w:val="bottom"/>
            <w:tcBorders>
              <w:top w:val="single" w:sz="8" w:color="auto"/>
            </w:tcBorders>
            <w:gridSpan w:val="4"/>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40" w:type="dxa"/>
            <w:vAlign w:val="bottom"/>
          </w:tcPr>
          <w:p>
            <w:pPr>
              <w:spacing w:after="0"/>
              <w:rPr>
                <w:sz w:val="12"/>
                <w:szCs w:val="12"/>
                <w:color w:val="auto"/>
              </w:rPr>
            </w:pPr>
          </w:p>
        </w:tc>
      </w:tr>
      <w:tr>
        <w:trPr>
          <w:trHeight w:val="229"/>
        </w:trPr>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1,307</w:t>
            </w:r>
          </w:p>
        </w:tc>
        <w:tc>
          <w:tcPr>
            <w:tcW w:w="5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187</w:t>
            </w:r>
          </w:p>
        </w:tc>
      </w:tr>
      <w:tr>
        <w:trPr>
          <w:trHeight w:val="229"/>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614</w:t>
            </w:r>
          </w:p>
        </w:tc>
        <w:tc>
          <w:tcPr>
            <w:tcW w:w="5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88</w:t>
            </w:r>
          </w:p>
        </w:tc>
      </w:tr>
      <w:tr>
        <w:trPr>
          <w:trHeight w:val="230"/>
        </w:trPr>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538</w:t>
            </w:r>
          </w:p>
        </w:tc>
        <w:tc>
          <w:tcPr>
            <w:tcW w:w="5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77</w:t>
            </w:r>
          </w:p>
        </w:tc>
      </w:tr>
      <w:tr>
        <w:trPr>
          <w:trHeight w:val="229"/>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522</w:t>
            </w:r>
          </w:p>
        </w:tc>
        <w:tc>
          <w:tcPr>
            <w:tcW w:w="5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224</w:t>
            </w:r>
          </w:p>
        </w:tc>
        <w:tc>
          <w:tcPr>
            <w:tcW w:w="5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w:t>
            </w:r>
          </w:p>
        </w:tc>
        <w:tc>
          <w:tcPr>
            <w:tcW w:w="5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r>
      <w:tr>
        <w:trPr>
          <w:trHeight w:val="27"/>
        </w:trPr>
        <w:tc>
          <w:tcPr>
            <w:tcW w:w="71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7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2"/>
              </w:rPr>
              <w:t>   3,253</w:t>
            </w:r>
          </w:p>
        </w:tc>
        <w:tc>
          <w:tcPr>
            <w:tcW w:w="5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466</w:t>
            </w:r>
          </w:p>
        </w:tc>
      </w:tr>
      <w:tr>
        <w:trPr>
          <w:trHeight w:val="20"/>
        </w:trPr>
        <w:tc>
          <w:tcPr>
            <w:tcW w:w="7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Licensed Copyrights and Produced Content Commitments</w:t>
      </w:r>
    </w:p>
    <w:p>
      <w:pPr>
        <w:spacing w:after="0" w:line="121"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Future minimum payments under non-cancelable agreements for licensed copyrights and produced content consist of the following as of December 31, 2025:</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7000" w:type="dxa"/>
            <w:vAlign w:val="bottom"/>
          </w:tcPr>
          <w:p>
            <w:pPr>
              <w:spacing w:after="0"/>
              <w:rPr>
                <w:sz w:val="15"/>
                <w:szCs w:val="15"/>
                <w:color w:val="auto"/>
              </w:rPr>
            </w:pPr>
          </w:p>
        </w:tc>
        <w:tc>
          <w:tcPr>
            <w:tcW w:w="8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RMB</w:t>
            </w:r>
          </w:p>
        </w:tc>
        <w:tc>
          <w:tcPr>
            <w:tcW w:w="5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US$</w:t>
            </w:r>
          </w:p>
        </w:tc>
      </w:tr>
      <w:tr>
        <w:trPr>
          <w:trHeight w:val="142"/>
        </w:trPr>
        <w:tc>
          <w:tcPr>
            <w:tcW w:w="7000" w:type="dxa"/>
            <w:vAlign w:val="bottom"/>
          </w:tcPr>
          <w:p>
            <w:pPr>
              <w:spacing w:after="0"/>
              <w:rPr>
                <w:sz w:val="12"/>
                <w:szCs w:val="12"/>
                <w:color w:val="auto"/>
              </w:rPr>
            </w:pPr>
          </w:p>
        </w:tc>
        <w:tc>
          <w:tcPr>
            <w:tcW w:w="1320" w:type="dxa"/>
            <w:vAlign w:val="bottom"/>
            <w:tcBorders>
              <w:top w:val="single" w:sz="8" w:color="auto"/>
            </w:tcBorders>
            <w:gridSpan w:val="3"/>
          </w:tcPr>
          <w:p>
            <w:pPr>
              <w:ind w:left="28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40" w:type="dxa"/>
            <w:vAlign w:val="bottom"/>
          </w:tcPr>
          <w:p>
            <w:pPr>
              <w:spacing w:after="0"/>
              <w:rPr>
                <w:sz w:val="12"/>
                <w:szCs w:val="12"/>
                <w:color w:val="auto"/>
              </w:rPr>
            </w:pPr>
          </w:p>
        </w:tc>
      </w:tr>
      <w:tr>
        <w:trPr>
          <w:trHeight w:val="216"/>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8,828</w:t>
            </w: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1,262</w:t>
            </w:r>
          </w:p>
        </w:tc>
      </w:tr>
      <w:tr>
        <w:trPr>
          <w:trHeight w:val="216"/>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5,109</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731</w:t>
            </w:r>
          </w:p>
        </w:tc>
      </w:tr>
      <w:tr>
        <w:trPr>
          <w:trHeight w:val="229"/>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2,779</w:t>
            </w: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397</w:t>
            </w:r>
          </w:p>
        </w:tc>
      </w:tr>
      <w:tr>
        <w:trPr>
          <w:trHeight w:val="216"/>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827</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118</w:t>
            </w:r>
          </w:p>
        </w:tc>
      </w:tr>
      <w:tr>
        <w:trPr>
          <w:trHeight w:val="216"/>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379</w:t>
            </w: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w:t>
            </w:r>
          </w:p>
        </w:tc>
      </w:tr>
      <w:tr>
        <w:trPr>
          <w:trHeight w:val="223"/>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8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7000" w:type="dxa"/>
            <w:vAlign w:val="bottom"/>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17,922</w:t>
            </w:r>
          </w:p>
        </w:tc>
        <w:tc>
          <w:tcPr>
            <w:tcW w:w="300" w:type="dxa"/>
            <w:vAlign w:val="bottom"/>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2,562</w:t>
            </w:r>
          </w:p>
        </w:tc>
        <w:tc>
          <w:tcPr>
            <w:tcW w:w="40" w:type="dxa"/>
            <w:vAlign w:val="bottom"/>
            <w:shd w:val="clear" w:color="auto" w:fill="CCEEFF"/>
          </w:tcPr>
          <w:p>
            <w:pPr>
              <w:spacing w:after="0"/>
              <w:rPr>
                <w:sz w:val="18"/>
                <w:szCs w:val="18"/>
                <w:color w:val="auto"/>
              </w:rPr>
            </w:pPr>
          </w:p>
        </w:tc>
      </w:tr>
      <w:tr>
        <w:trPr>
          <w:trHeight w:val="20"/>
        </w:trPr>
        <w:tc>
          <w:tcPr>
            <w:tcW w:w="70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Investment Commitments</w:t>
      </w:r>
    </w:p>
    <w:p>
      <w:pPr>
        <w:spacing w:after="0" w:line="121"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The Group’s investment commitments primarily relate to capital contribution obligations under certain arrangements which do not have contractual maturity dates. As of December 31, 2025, the total investment commitments contracted but not yet reflected in the consolidated financial statements amounted to RMB1.3 billion (US$184 million).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Guarantees</w:t>
      </w:r>
    </w:p>
    <w:p>
      <w:pPr>
        <w:spacing w:after="0" w:line="119"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 xml:space="preserve">The Group accounts for guarantees in accordance with ASC Topic 460, </w:t>
      </w:r>
      <w:r>
        <w:rPr>
          <w:rFonts w:ascii="Times New Roman" w:cs="Times New Roman" w:eastAsia="Times New Roman" w:hAnsi="Times New Roman"/>
          <w:sz w:val="18"/>
          <w:szCs w:val="18"/>
          <w:i w:val="1"/>
          <w:iCs w:val="1"/>
          <w:color w:val="auto"/>
        </w:rPr>
        <w:t>Guarantees</w:t>
      </w:r>
      <w:r>
        <w:rPr>
          <w:rFonts w:ascii="Times New Roman" w:cs="Times New Roman" w:eastAsia="Times New Roman" w:hAnsi="Times New Roman"/>
          <w:sz w:val="18"/>
          <w:szCs w:val="18"/>
          <w:color w:val="auto"/>
        </w:rPr>
        <w:t xml:space="preserve"> (“ASC 460”)</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Accordingly, the Group evaluates its guarantees if any to determine whether (a) the guarantee is specifically excluded from the scope of ASC 460, (b) the guarantee is subject to ASC 460 disclosure requirements only, but not subject to the initial recognition and measurement provisions, or (c) the guarantee is required to be recorded in the financial statements at fair value.</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F-49</w:t>
      </w:r>
    </w:p>
    <w:p>
      <w:pPr>
        <w:sectPr>
          <w:pgSz w:w="11900" w:h="16838" w:orient="portrait"/>
          <w:cols w:equalWidth="0" w:num="1">
            <w:col w:w="11140"/>
          </w:cols>
          <w:pgMar w:left="320" w:top="482" w:right="439" w:bottom="1440" w:gutter="0" w:footer="0" w:header="0"/>
        </w:sectPr>
      </w:pPr>
    </w:p>
    <w:bookmarkStart w:id="275" w:name="page276"/>
    <w:bookmarkEnd w:id="2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44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BAIDU, INC.</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THE YEARS ENDED DECEMBER 31, 2023, 2024 AND 2025</w:t>
      </w:r>
    </w:p>
    <w:p>
      <w:pPr>
        <w:spacing w:after="0" w:line="234" w:lineRule="exact"/>
        <w:rPr>
          <w:sz w:val="20"/>
          <w:szCs w:val="20"/>
          <w:color w:val="auto"/>
        </w:rPr>
      </w:pPr>
    </w:p>
    <w:p>
      <w:pPr>
        <w:jc w:val="both"/>
        <w:ind w:left="120" w:right="20"/>
        <w:spacing w:after="0" w:line="254" w:lineRule="auto"/>
        <w:rPr>
          <w:sz w:val="20"/>
          <w:szCs w:val="20"/>
          <w:color w:val="auto"/>
        </w:rPr>
      </w:pPr>
      <w:r>
        <w:rPr>
          <w:rFonts w:ascii="Times New Roman" w:cs="Times New Roman" w:eastAsia="Times New Roman" w:hAnsi="Times New Roman"/>
          <w:sz w:val="18"/>
          <w:szCs w:val="18"/>
          <w:color w:val="auto"/>
        </w:rPr>
        <w:t>The corporate by-laws require that the Company indemnify its officers and directors, as well as those who act as directors and officers of other entities at the Company’s request, against expenses, judgments, fines, settlements and other amounts actually and reasonably incurred in connection with any proceedings arising out of their services to the Company. In addition, the Company entered into separate indemnification agreements with each director and each executive officer of the Company that provide for indemnification of these directors and officers under similar circumstances and under additional circumstances. The indemnification obligations are more fully described in the by-laws and the indemnification agreements. The Company purchases standard directors and officers insurance to cover claims or a portion of the claims made against its directors and officers. Since a maximum obligation is not explicitly stated in the Company’s by-laws or in the indemnification agreements and will depend on the facts and circumstances that arise out of any future claims, the overall maximum amount of the obligations cannot be reasonably estimated.</w:t>
      </w:r>
    </w:p>
    <w:p>
      <w:pPr>
        <w:spacing w:after="0" w:line="1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Historically, the Group was not required to make payments related to these obligations.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21" w:lineRule="exact"/>
        <w:rPr>
          <w:sz w:val="20"/>
          <w:szCs w:val="20"/>
          <w:color w:val="auto"/>
        </w:rPr>
      </w:pPr>
    </w:p>
    <w:p>
      <w:pPr>
        <w:jc w:val="both"/>
        <w:ind w:left="120" w:right="20"/>
        <w:spacing w:after="0" w:line="261" w:lineRule="auto"/>
        <w:rPr>
          <w:sz w:val="20"/>
          <w:szCs w:val="20"/>
          <w:color w:val="auto"/>
        </w:rPr>
      </w:pPr>
      <w:r>
        <w:rPr>
          <w:rFonts w:ascii="Times New Roman" w:cs="Times New Roman" w:eastAsia="Times New Roman" w:hAnsi="Times New Roman"/>
          <w:sz w:val="18"/>
          <w:szCs w:val="18"/>
          <w:color w:val="auto"/>
        </w:rPr>
        <w:t>The Group was involved in certain cases pending in various PRC, Brazil and Japan courts and arbitration as of December 31, 2025. These cases include copyright infringement cases, unfair competition cases, and defamation cases, among others. Adverse results in these lawsuits may include awards of damages and may also result in, or even compel, a change in the Group’s business practices, which could result in a loss of revenue or otherwise harm the business of the Group.</w:t>
      </w:r>
    </w:p>
    <w:p>
      <w:pPr>
        <w:spacing w:after="0" w:line="180" w:lineRule="exact"/>
        <w:rPr>
          <w:sz w:val="20"/>
          <w:szCs w:val="20"/>
          <w:color w:val="auto"/>
        </w:rPr>
      </w:pPr>
    </w:p>
    <w:p>
      <w:pPr>
        <w:jc w:val="both"/>
        <w:ind w:left="120"/>
        <w:spacing w:after="0" w:line="253" w:lineRule="auto"/>
        <w:rPr>
          <w:sz w:val="20"/>
          <w:szCs w:val="20"/>
          <w:color w:val="auto"/>
        </w:rPr>
      </w:pPr>
      <w:r>
        <w:rPr>
          <w:rFonts w:ascii="Times New Roman" w:cs="Times New Roman" w:eastAsia="Times New Roman" w:hAnsi="Times New Roman"/>
          <w:sz w:val="18"/>
          <w:szCs w:val="18"/>
          <w:color w:val="auto"/>
        </w:rPr>
        <w:t>Baidu and iQIYI were named as defendants in several putative federal securities class actions alleging that defendants made material misstatements and omissions regarding certain reported financial and operational results. Starting in April 2020, iQIYI and certain of its current and former officers and directors were named as defendants in several putative securities class actions filed in federal court, which were purportedly brought on behalf of a class of persons who allegedly suffered damages as a result of alleged misstatements and omissions in iQIYI’s public disclosure documents. In light of the common questions of law and fact at issue in this case and a related action against Baidu, the Court terminated the motion to dismiss without prejudice, and ordered a motion-to-dismiss briefing for the two cases under a new coordinated briefing schedule. The coordinated motion-to-dismiss briefing was completed in March 2023. On February 26, 2024, following oral argument on the motions to dismiss, the court held defendants’ motions in abeyance, granted plaintiffs leave to file amended consolidated complaints, and ordered the supplemental briefing on the amended consolidated complaints to be completed by April 22, 2024. Both the iQIYI and Baidu Actions were dismissed on September 30, 2024. As of December 31, 2025, the Group has not recorded any liabilities for loss contingencies related to these matters.</w:t>
      </w:r>
    </w:p>
    <w:p>
      <w:pPr>
        <w:spacing w:after="0" w:line="194" w:lineRule="exact"/>
        <w:rPr>
          <w:sz w:val="20"/>
          <w:szCs w:val="20"/>
          <w:color w:val="auto"/>
        </w:rPr>
      </w:pPr>
    </w:p>
    <w:p>
      <w:pPr>
        <w:jc w:val="both"/>
        <w:ind w:left="120"/>
        <w:spacing w:after="0" w:line="255" w:lineRule="auto"/>
        <w:rPr>
          <w:sz w:val="20"/>
          <w:szCs w:val="20"/>
          <w:color w:val="auto"/>
        </w:rPr>
      </w:pPr>
      <w:r>
        <w:rPr>
          <w:rFonts w:ascii="Times New Roman" w:cs="Times New Roman" w:eastAsia="Times New Roman" w:hAnsi="Times New Roman"/>
          <w:sz w:val="18"/>
          <w:szCs w:val="18"/>
          <w:color w:val="auto"/>
        </w:rPr>
        <w:t>For many proceedings, the Group is currently unable to estimate the reasonably possible loss or a range of reasonably possible losses as the proceedings are in the early stages, and/or there is a lack of clear or consistent interpretation of laws specific to the industry-specific complaints among different jurisdictions. As a result, there is considerable uncertainty regarding the timing or ultimate resolution of such matters, which includes eventual loss, fine, penalty or business impact, if any, and therefore, an estimate for the reasonably possible loss or a range of reasonably possible losses cannot be made. However, the Group believes that such matters, individually and in the aggregate, when finally resolved, are not reasonably likely to have a material adverse effect on the Group’s consolidated results of operations, financial position and cash flows. With respect to the limited number of proceedings for which the Group was able to estimate the reasonably possible losses or the range of reasonably possible losses, such loss estimates were insignificant.</w:t>
      </w:r>
    </w:p>
    <w:p>
      <w:pPr>
        <w:spacing w:after="0" w:line="333" w:lineRule="exact"/>
        <w:rPr>
          <w:sz w:val="20"/>
          <w:szCs w:val="20"/>
          <w:color w:val="auto"/>
        </w:rPr>
      </w:pPr>
    </w:p>
    <w:p>
      <w:pPr>
        <w:ind w:left="540" w:hanging="424"/>
        <w:spacing w:after="0"/>
        <w:tabs>
          <w:tab w:leader="none" w:pos="540" w:val="left"/>
        </w:tabs>
        <w:numPr>
          <w:ilvl w:val="0"/>
          <w:numId w:val="1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REDEEMABLE NONCONTROLLING INTERESTS</w:t>
      </w:r>
    </w:p>
    <w:p>
      <w:pPr>
        <w:spacing w:after="0" w:line="250"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400" w:type="dxa"/>
            <w:vAlign w:val="bottom"/>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5"/>
                <w:szCs w:val="15"/>
                <w:color w:val="auto"/>
              </w:rPr>
            </w:pPr>
          </w:p>
        </w:tc>
        <w:tc>
          <w:tcPr>
            <w:tcW w:w="5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5"/>
                <w:szCs w:val="15"/>
                <w:color w:val="auto"/>
              </w:rPr>
            </w:pPr>
          </w:p>
        </w:tc>
        <w:tc>
          <w:tcPr>
            <w:tcW w:w="4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5"/>
                <w:szCs w:val="15"/>
                <w:color w:val="auto"/>
              </w:rPr>
            </w:pPr>
          </w:p>
        </w:tc>
      </w:tr>
      <w:tr>
        <w:trPr>
          <w:trHeight w:val="117"/>
        </w:trPr>
        <w:tc>
          <w:tcPr>
            <w:tcW w:w="20" w:type="dxa"/>
            <w:vAlign w:val="bottom"/>
          </w:tcPr>
          <w:p>
            <w:pPr>
              <w:spacing w:after="0"/>
              <w:rPr>
                <w:sz w:val="10"/>
                <w:szCs w:val="10"/>
                <w:color w:val="auto"/>
              </w:rPr>
            </w:pPr>
          </w:p>
        </w:tc>
        <w:tc>
          <w:tcPr>
            <w:tcW w:w="7400" w:type="dxa"/>
            <w:vAlign w:val="bottom"/>
          </w:tcPr>
          <w:p>
            <w:pPr>
              <w:spacing w:after="0"/>
              <w:rPr>
                <w:sz w:val="10"/>
                <w:szCs w:val="10"/>
                <w:color w:val="auto"/>
              </w:rPr>
            </w:pPr>
          </w:p>
        </w:tc>
        <w:tc>
          <w:tcPr>
            <w:tcW w:w="46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260" w:type="dxa"/>
            <w:vAlign w:val="bottom"/>
          </w:tcPr>
          <w:p>
            <w:pPr>
              <w:spacing w:after="0"/>
              <w:rPr>
                <w:sz w:val="10"/>
                <w:szCs w:val="10"/>
                <w:color w:val="auto"/>
              </w:rPr>
            </w:pPr>
          </w:p>
        </w:tc>
        <w:tc>
          <w:tcPr>
            <w:tcW w:w="46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200" w:type="dxa"/>
            <w:vAlign w:val="bottom"/>
          </w:tcPr>
          <w:p>
            <w:pPr>
              <w:spacing w:after="0"/>
              <w:rPr>
                <w:sz w:val="10"/>
                <w:szCs w:val="10"/>
                <w:color w:val="auto"/>
              </w:rPr>
            </w:pPr>
          </w:p>
        </w:tc>
        <w:tc>
          <w:tcPr>
            <w:tcW w:w="560" w:type="dxa"/>
            <w:vAlign w:val="bottom"/>
          </w:tcPr>
          <w:p>
            <w:pPr>
              <w:jc w:val="right"/>
              <w:ind w:right="36"/>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260" w:type="dxa"/>
            <w:vAlign w:val="bottom"/>
          </w:tcPr>
          <w:p>
            <w:pPr>
              <w:spacing w:after="0"/>
              <w:rPr>
                <w:sz w:val="10"/>
                <w:szCs w:val="10"/>
                <w:color w:val="auto"/>
              </w:rPr>
            </w:pPr>
          </w:p>
        </w:tc>
        <w:tc>
          <w:tcPr>
            <w:tcW w:w="460" w:type="dxa"/>
            <w:vAlign w:val="bottom"/>
          </w:tcPr>
          <w:p>
            <w:pPr>
              <w:jc w:val="right"/>
              <w:ind w:right="16"/>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c>
          <w:tcPr>
            <w:tcW w:w="40" w:type="dxa"/>
            <w:vAlign w:val="bottom"/>
          </w:tcPr>
          <w:p>
            <w:pPr>
              <w:spacing w:after="0"/>
              <w:rPr>
                <w:sz w:val="10"/>
                <w:szCs w:val="10"/>
                <w:color w:val="auto"/>
              </w:rPr>
            </w:pPr>
          </w:p>
        </w:tc>
      </w:tr>
      <w:tr>
        <w:trPr>
          <w:trHeight w:val="173"/>
        </w:trPr>
        <w:tc>
          <w:tcPr>
            <w:tcW w:w="20" w:type="dxa"/>
            <w:vAlign w:val="bottom"/>
          </w:tcPr>
          <w:p>
            <w:pPr>
              <w:spacing w:after="0"/>
              <w:rPr>
                <w:sz w:val="15"/>
                <w:szCs w:val="15"/>
                <w:color w:val="auto"/>
              </w:rPr>
            </w:pPr>
          </w:p>
        </w:tc>
        <w:tc>
          <w:tcPr>
            <w:tcW w:w="74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8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w:t>
            </w: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8,393</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9,465</w:t>
            </w: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9,870</w:t>
            </w: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1,412</w:t>
            </w: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Issuance of subsidiaries’ shares</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351</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615</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2,370</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339</w:t>
            </w: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of redeemable noncontrolling interests</w:t>
            </w: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721</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588</w:t>
            </w: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926</w:t>
            </w: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132</w:t>
            </w:r>
          </w:p>
        </w:tc>
      </w:tr>
      <w:tr>
        <w:trPr>
          <w:trHeight w:val="223"/>
        </w:trPr>
        <w:tc>
          <w:tcPr>
            <w:tcW w:w="20" w:type="dxa"/>
            <w:vAlign w:val="bottom"/>
          </w:tcPr>
          <w:p>
            <w:pPr>
              <w:spacing w:after="0"/>
              <w:rPr>
                <w:sz w:val="19"/>
                <w:szCs w:val="19"/>
                <w:color w:val="auto"/>
              </w:rPr>
            </w:pPr>
          </w:p>
        </w:tc>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Repurchase of redeemable noncontrolling interests</w:t>
            </w:r>
          </w:p>
        </w:tc>
        <w:tc>
          <w:tcPr>
            <w:tcW w:w="7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(798)</w:t>
            </w:r>
          </w:p>
        </w:tc>
        <w:tc>
          <w:tcPr>
            <w:tcW w:w="8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9,465</w:t>
            </w:r>
          </w:p>
        </w:tc>
        <w:tc>
          <w:tcPr>
            <w:tcW w:w="260" w:type="dxa"/>
            <w:vAlign w:val="bottom"/>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9,870</w:t>
            </w:r>
          </w:p>
        </w:tc>
        <w:tc>
          <w:tcPr>
            <w:tcW w:w="200" w:type="dxa"/>
            <w:vAlign w:val="bottom"/>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13,166</w:t>
            </w:r>
          </w:p>
        </w:tc>
        <w:tc>
          <w:tcPr>
            <w:tcW w:w="260" w:type="dxa"/>
            <w:vAlign w:val="bottom"/>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w:t>
            </w:r>
          </w:p>
        </w:tc>
        <w:tc>
          <w:tcPr>
            <w:tcW w:w="4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A subsidiary of the Group issued preferred shares to certain non-controlling shareholders, which could be redeemed by such shareholders upon the occurrence of certain events that are not solely within the control of the Group. Therefore, these preferred shares were accounted for as redeemable noncontrolling interests. In 2024, 16,848,082 preferred shares were repurchased by this subsidiary.</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F-50</w:t>
      </w:r>
    </w:p>
    <w:p>
      <w:pPr>
        <w:sectPr>
          <w:pgSz w:w="11900" w:h="16838" w:orient="portrait"/>
          <w:cols w:equalWidth="0" w:num="1">
            <w:col w:w="11140"/>
          </w:cols>
          <w:pgMar w:left="320" w:top="482" w:right="439" w:bottom="1440" w:gutter="0" w:footer="0" w:header="0"/>
        </w:sectPr>
      </w:pPr>
    </w:p>
    <w:bookmarkStart w:id="276" w:name="page277"/>
    <w:bookmarkEnd w:id="2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4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BAIDU, INC.</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THE YEARS ENDED DECEMBER 31, 2023, 2024 AND 2025</w:t>
      </w:r>
    </w:p>
    <w:p>
      <w:pPr>
        <w:spacing w:after="0" w:line="234"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In 2023, 2024 and 2025, a subsidiary of the Group issued 407,103, 659,564 and 2,537,194 respectively, preferred shares to certain non-controlling shareholders, which could be redeemed by such shareholders upon the occurrence of certain events that are not solely within the control of the Group. Therefore, these preferred shares were accounted for as redeemable noncontrolling interests.</w:t>
      </w:r>
    </w:p>
    <w:p>
      <w:pPr>
        <w:spacing w:after="0" w:line="95"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The Company also has other subsidiaries or VIEs that have issued preferred shares which were accounted for as redeemable noncontrolling interests. As of December 31, 2025, those redeemable noncontrolling interests were insignificant.</w:t>
      </w:r>
    </w:p>
    <w:p>
      <w:pPr>
        <w:spacing w:after="0" w:line="92" w:lineRule="exact"/>
        <w:rPr>
          <w:sz w:val="20"/>
          <w:szCs w:val="20"/>
          <w:color w:val="auto"/>
        </w:rPr>
      </w:pPr>
    </w:p>
    <w:p>
      <w:pPr>
        <w:jc w:val="both"/>
        <w:ind w:left="120" w:right="20"/>
        <w:spacing w:after="0" w:line="267" w:lineRule="auto"/>
        <w:rPr>
          <w:sz w:val="20"/>
          <w:szCs w:val="20"/>
          <w:color w:val="auto"/>
        </w:rPr>
      </w:pPr>
      <w:r>
        <w:rPr>
          <w:rFonts w:ascii="Times New Roman" w:cs="Times New Roman" w:eastAsia="Times New Roman" w:hAnsi="Times New Roman"/>
          <w:sz w:val="18"/>
          <w:szCs w:val="18"/>
          <w:color w:val="auto"/>
        </w:rPr>
        <w:t xml:space="preserve">The Company accounts for the changes in accretion to the redemption value in accordance with ASC Topic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The Company elects to use the effective interest method to account for the changes of redemption value over the period from the date of issuance to the earliest redemption date of the noncontrolling interest.</w:t>
      </w:r>
    </w:p>
    <w:p>
      <w:pPr>
        <w:spacing w:after="0" w:line="198" w:lineRule="exact"/>
        <w:rPr>
          <w:sz w:val="20"/>
          <w:szCs w:val="20"/>
          <w:color w:val="auto"/>
        </w:rPr>
      </w:pPr>
    </w:p>
    <w:p>
      <w:pPr>
        <w:ind w:left="540" w:hanging="424"/>
        <w:spacing w:after="0"/>
        <w:tabs>
          <w:tab w:leader="none" w:pos="540" w:val="left"/>
        </w:tabs>
        <w:numPr>
          <w:ilvl w:val="0"/>
          <w:numId w:val="1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SHAREHOLDERS’ EQUITY</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Shares</w:t>
      </w:r>
    </w:p>
    <w:p>
      <w:pPr>
        <w:spacing w:after="0" w:line="121" w:lineRule="exact"/>
        <w:rPr>
          <w:sz w:val="20"/>
          <w:szCs w:val="20"/>
          <w:color w:val="auto"/>
        </w:rPr>
      </w:pPr>
    </w:p>
    <w:p>
      <w:pPr>
        <w:jc w:val="both"/>
        <w:ind w:left="120"/>
        <w:spacing w:after="0" w:line="254" w:lineRule="auto"/>
        <w:rPr>
          <w:sz w:val="20"/>
          <w:szCs w:val="20"/>
          <w:color w:val="auto"/>
        </w:rPr>
      </w:pPr>
      <w:r>
        <w:rPr>
          <w:rFonts w:ascii="Times New Roman" w:cs="Times New Roman" w:eastAsia="Times New Roman" w:hAnsi="Times New Roman"/>
          <w:sz w:val="18"/>
          <w:szCs w:val="18"/>
          <w:color w:val="auto"/>
        </w:rPr>
        <w:t>The authorized share capital consisted of 69,632,000,000 shares at a par value of US$0.000000625 per share, of which 66,000,000,000 shares were designated as Class A ordinary shares, 2,832,000,000 as Class B ordinary shares, and 800,000,000 shares designated as preferred shares. The rights of the holders of Class A and Class B ordinary shares are identical, except with respect to voting and conversion rights. Each share of Class A ordinary shares is entitled to one vote per share and is not convertible into Class B ordinary shares under any circumstances. Each share of Class B ordinary shares is entitled to ten votes per share and is convertible into one Class A ordinary share at any time by the holder thereof. Upon any transfer of Class B ordinary shares by a holder thereof to any person or entity that is not an affiliate of such holder, such Class B ordinary shares would be automatically converted into an equal number of Class A ordinary shares. The number of Class B ordinary shares transferred to Class A ordinary shares were 17,320,000, 440,000 and 320,000 during the years ended December 31, 2023, 2024 and 2025, respectively.</w:t>
      </w:r>
    </w:p>
    <w:p>
      <w:pPr>
        <w:spacing w:after="0" w:line="124"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In February 2023, the board of directors authorized a share repurchase program, under which the Company may repurchase up to US$5.0 billion of its ADSs or shares, effective until December 31, 2025. In the first quarter of 2026, the board of directors authorized a new share repurchase program, under which the Company may repurchase up to US$5.0 billion of its ADSs or shares, effective until December 31, 2028.</w:t>
      </w:r>
    </w:p>
    <w:p>
      <w:pPr>
        <w:spacing w:after="0" w:line="95"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The Company repurchased 42,661,000, 76,933,844 and 72,425,044 Class A ordinary shares from the open market with an aggregate purchase price of RMB4.8 billion, RMB6.4 billion and RMB5.6 billion (US$771 million) during the years ended December 31, 2023, 2024 and 2025, respectively, which has been approved by the Company’s board of directors. The repurchased shares were recorded in the treasury stock account.</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Treasury stock</w:t>
      </w:r>
    </w:p>
    <w:p>
      <w:pPr>
        <w:spacing w:after="0" w:line="121"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The treasury stock account includes 83,456,676 and 71,309,744 ordinary shares repurchased from the open market as of December 31, 2024 and 2025, respectively.</w:t>
      </w:r>
    </w:p>
    <w:p>
      <w:pPr>
        <w:spacing w:after="0" w:line="94" w:lineRule="exact"/>
        <w:rPr>
          <w:sz w:val="20"/>
          <w:szCs w:val="20"/>
          <w:color w:val="auto"/>
        </w:rPr>
      </w:pPr>
    </w:p>
    <w:p>
      <w:pPr>
        <w:jc w:val="both"/>
        <w:ind w:left="120" w:right="20"/>
        <w:spacing w:after="0" w:line="261" w:lineRule="auto"/>
        <w:rPr>
          <w:sz w:val="20"/>
          <w:szCs w:val="20"/>
          <w:color w:val="auto"/>
        </w:rPr>
      </w:pPr>
      <w:r>
        <w:rPr>
          <w:rFonts w:ascii="Times New Roman" w:cs="Times New Roman" w:eastAsia="Times New Roman" w:hAnsi="Times New Roman"/>
          <w:sz w:val="18"/>
          <w:szCs w:val="18"/>
          <w:color w:val="auto"/>
        </w:rPr>
        <w:t>Such treasury stock is reserved for future issuance upon the exercise of the vested share options and the vesting of restricted shares and the remaining are expected to be cancelled in the future. During the year ended December 31, 2025, 29,633,816 ordinary shares had been reissued to employees and directors upon the exercise of share options and vesting of restricted shares, and 54,938,160 ordinary shares had been cancelled. In January and February 2026, 71,016,408 ordinary shares had been cancelled in total.</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Retained Earnings</w:t>
      </w:r>
    </w:p>
    <w:p>
      <w:pPr>
        <w:spacing w:after="0" w:line="121" w:lineRule="exact"/>
        <w:rPr>
          <w:sz w:val="20"/>
          <w:szCs w:val="20"/>
          <w:color w:val="auto"/>
        </w:rPr>
      </w:pPr>
    </w:p>
    <w:p>
      <w:pPr>
        <w:jc w:val="both"/>
        <w:ind w:left="120" w:right="20"/>
        <w:spacing w:after="0" w:line="256" w:lineRule="auto"/>
        <w:rPr>
          <w:sz w:val="20"/>
          <w:szCs w:val="20"/>
          <w:color w:val="auto"/>
        </w:rPr>
      </w:pPr>
      <w:r>
        <w:rPr>
          <w:rFonts w:ascii="Times New Roman" w:cs="Times New Roman" w:eastAsia="Times New Roman" w:hAnsi="Times New Roman"/>
          <w:sz w:val="18"/>
          <w:szCs w:val="18"/>
          <w:color w:val="auto"/>
        </w:rPr>
        <w:t>Each of the Company’s PRC subsidiaries, VIEs and VIEs’ subsidiaries must make appropriations from their after-tax profits as reported in their PRC statutory accounts to non-distributable reserve funds, namely a statutory surplus fund and a discretionary surplus fund. Each of the Company’s PRC subsidiaries, VIEs and VIEs’ subsidiaries is required to allocate at least 10% of its after-tax profits to the statutory surplus fund until such fund has reached 50% of its respective registered capital. Appropriations to the discretionary surplus fund are at the discretion of the PRC subsidiaries, VIEs and VIEs’ subsidiaries. The reserves are not allowed to be transferred to the Company in the form of cash dividends, loans or advances, nor are they allowed for distribution except under liquidation.</w:t>
      </w:r>
    </w:p>
    <w:p>
      <w:pPr>
        <w:spacing w:after="0" w:line="113"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740" w:type="dxa"/>
            <w:vAlign w:val="bottom"/>
            <w:tcBorders>
              <w:bottom w:val="single" w:sz="8" w:color="auto"/>
            </w:tcBorders>
            <w:gridSpan w:val="4"/>
          </w:tcPr>
          <w:p>
            <w:pPr>
              <w:jc w:val="center"/>
              <w:ind w:left="462"/>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5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640" w:type="dxa"/>
            <w:vAlign w:val="bottom"/>
          </w:tcPr>
          <w:p>
            <w:pPr>
              <w:jc w:val="right"/>
              <w:ind w:right="10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80" w:type="dxa"/>
            <w:vAlign w:val="bottom"/>
            <w:gridSpan w:val="2"/>
          </w:tcPr>
          <w:p>
            <w:pPr>
              <w:jc w:val="right"/>
              <w:ind w:right="9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560" w:type="dxa"/>
            <w:vAlign w:val="bottom"/>
          </w:tcPr>
          <w:p>
            <w:pPr>
              <w:jc w:val="right"/>
              <w:ind w:right="5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2"/>
                <w:szCs w:val="12"/>
                <w:color w:val="auto"/>
              </w:rPr>
            </w:pPr>
          </w:p>
        </w:tc>
      </w:tr>
      <w:tr>
        <w:trPr>
          <w:trHeight w:val="117"/>
        </w:trPr>
        <w:tc>
          <w:tcPr>
            <w:tcW w:w="2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640" w:type="dxa"/>
            <w:vAlign w:val="bottom"/>
            <w:tcBorders>
              <w:top w:val="single" w:sz="8" w:color="auto"/>
            </w:tcBorders>
          </w:tcPr>
          <w:p>
            <w:pPr>
              <w:jc w:val="right"/>
              <w:ind w:right="82"/>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220" w:type="dxa"/>
            <w:vAlign w:val="bottom"/>
          </w:tcPr>
          <w:p>
            <w:pPr>
              <w:spacing w:after="0"/>
              <w:rPr>
                <w:sz w:val="10"/>
                <w:szCs w:val="10"/>
                <w:color w:val="auto"/>
              </w:rPr>
            </w:pPr>
          </w:p>
        </w:tc>
        <w:tc>
          <w:tcPr>
            <w:tcW w:w="660" w:type="dxa"/>
            <w:vAlign w:val="bottom"/>
            <w:tcBorders>
              <w:top w:val="single" w:sz="8" w:color="auto"/>
            </w:tcBorders>
          </w:tcPr>
          <w:p>
            <w:pPr>
              <w:jc w:val="right"/>
              <w:ind w:right="78"/>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220" w:type="dxa"/>
            <w:vAlign w:val="bottom"/>
          </w:tcPr>
          <w:p>
            <w:pPr>
              <w:spacing w:after="0"/>
              <w:rPr>
                <w:sz w:val="10"/>
                <w:szCs w:val="10"/>
                <w:color w:val="auto"/>
              </w:rPr>
            </w:pPr>
          </w:p>
        </w:tc>
        <w:tc>
          <w:tcPr>
            <w:tcW w:w="560" w:type="dxa"/>
            <w:vAlign w:val="bottom"/>
            <w:tcBorders>
              <w:top w:val="single" w:sz="8" w:color="auto"/>
            </w:tcBorders>
          </w:tcPr>
          <w:p>
            <w:pPr>
              <w:jc w:val="right"/>
              <w:ind w:right="78"/>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c>
          <w:tcPr>
            <w:tcW w:w="60" w:type="dxa"/>
            <w:vAlign w:val="bottom"/>
          </w:tcPr>
          <w:p>
            <w:pPr>
              <w:spacing w:after="0"/>
              <w:rPr>
                <w:sz w:val="10"/>
                <w:szCs w:val="10"/>
                <w:color w:val="auto"/>
              </w:rPr>
            </w:pPr>
          </w:p>
        </w:tc>
      </w:tr>
      <w:tr>
        <w:trPr>
          <w:trHeight w:val="173"/>
        </w:trPr>
        <w:tc>
          <w:tcPr>
            <w:tcW w:w="2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PRC statutory reserve funds</w:t>
            </w:r>
          </w:p>
        </w:tc>
        <w:tc>
          <w:tcPr>
            <w:tcW w:w="4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2,031</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2,096</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Unreserved retained earnings</w:t>
            </w:r>
          </w:p>
        </w:tc>
        <w:tc>
          <w:tcPr>
            <w:tcW w:w="362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178,042</w:t>
            </w:r>
          </w:p>
        </w:tc>
        <w:tc>
          <w:tcPr>
            <w:tcW w:w="22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175,598</w:t>
            </w:r>
          </w:p>
        </w:tc>
        <w:tc>
          <w:tcPr>
            <w:tcW w:w="22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25,110</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retained earnings</w:t>
            </w:r>
          </w:p>
        </w:tc>
        <w:tc>
          <w:tcPr>
            <w:tcW w:w="36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180,073</w:t>
            </w:r>
          </w:p>
        </w:tc>
        <w:tc>
          <w:tcPr>
            <w:tcW w:w="2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177,694</w:t>
            </w:r>
          </w:p>
        </w:tc>
        <w:tc>
          <w:tcPr>
            <w:tcW w:w="2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25,410</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4260" w:type="dxa"/>
            <w:vAlign w:val="bottom"/>
            <w:gridSpan w:val="2"/>
          </w:tcPr>
          <w:p>
            <w:pPr>
              <w:jc w:val="right"/>
              <w:ind w:right="2662"/>
              <w:spacing w:after="0"/>
              <w:rPr>
                <w:sz w:val="20"/>
                <w:szCs w:val="20"/>
                <w:color w:val="auto"/>
              </w:rPr>
            </w:pPr>
            <w:r>
              <w:rPr>
                <w:rFonts w:ascii="Times New Roman" w:cs="Times New Roman" w:eastAsia="Times New Roman" w:hAnsi="Times New Roman"/>
                <w:sz w:val="18"/>
                <w:szCs w:val="18"/>
                <w:color w:val="auto"/>
              </w:rPr>
              <w:t>F-51</w:t>
            </w: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277" w:name="page278"/>
    <w:bookmarkEnd w:id="2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44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BAIDU, INC.</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THE YEARS ENDED DECEMBER 31, 2023, 2024 AND 2025</w:t>
      </w:r>
    </w:p>
    <w:p>
      <w:pPr>
        <w:spacing w:after="0" w:line="234"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Under PRC laws and regulations, there are restrictions on the Company’s PRC subsidiaries, VIEs and VIEs’ subsidiaries with respect to transferring certain of their net assets to the Company either in the form of cash dividends, loans, or advances. Amounts of net assets restricted include paid in capital and statutory reserve funds of the Company’s PRC subsidiaries and the net assets of the VIEs in which the Company has no legal ownership, totaling RMB48.1 billion and RMB40.4 billion (US$5.8 billion) as of December 31, 2024 and 2025, respectively.</w:t>
      </w:r>
    </w:p>
    <w:p>
      <w:pPr>
        <w:spacing w:after="0" w:line="180" w:lineRule="exact"/>
        <w:rPr>
          <w:sz w:val="20"/>
          <w:szCs w:val="20"/>
          <w:color w:val="auto"/>
        </w:rPr>
      </w:pPr>
    </w:p>
    <w:p>
      <w:pPr>
        <w:jc w:val="both"/>
        <w:ind w:left="120" w:right="20"/>
        <w:spacing w:after="0" w:line="261" w:lineRule="auto"/>
        <w:rPr>
          <w:sz w:val="20"/>
          <w:szCs w:val="20"/>
          <w:color w:val="auto"/>
        </w:rPr>
      </w:pPr>
      <w:r>
        <w:rPr>
          <w:rFonts w:ascii="Times New Roman" w:cs="Times New Roman" w:eastAsia="Times New Roman" w:hAnsi="Times New Roman"/>
          <w:sz w:val="18"/>
          <w:szCs w:val="18"/>
          <w:color w:val="auto"/>
        </w:rPr>
        <w:t>Furthermore, cash transfers from the Company’s PRC subsidiaries to their parent companies outside of Chinese mainland are subject to PRC government control of currency conversion. Shortages in the availability of foreign currency may restrict the ability of the PRC subsidiaries, VIEs and VIEs’ subsidiaries to remit sufficient foreign currency to pay dividends or other payments to the Company, or otherwise satisfy their foreign currency denominated obligations.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Accumulated Other Comprehensive Income (Loss)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changes in accumulated other comprehensive income (loss) by component, net of tax, were as follows:</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700" w:type="dxa"/>
            <w:vAlign w:val="bottom"/>
          </w:tcPr>
          <w:p>
            <w:pPr>
              <w:spacing w:after="0"/>
              <w:rPr>
                <w:sz w:val="13"/>
                <w:szCs w:val="13"/>
                <w:color w:val="auto"/>
              </w:rPr>
            </w:pPr>
          </w:p>
        </w:tc>
        <w:tc>
          <w:tcPr>
            <w:tcW w:w="11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14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0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700" w:type="dxa"/>
            <w:vAlign w:val="bottom"/>
          </w:tcPr>
          <w:p>
            <w:pPr>
              <w:spacing w:after="0"/>
              <w:rPr>
                <w:sz w:val="12"/>
                <w:szCs w:val="12"/>
                <w:color w:val="auto"/>
              </w:rPr>
            </w:pPr>
          </w:p>
        </w:tc>
        <w:tc>
          <w:tcPr>
            <w:tcW w:w="116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46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gains (losses) on</w:t>
            </w:r>
          </w:p>
        </w:tc>
        <w:tc>
          <w:tcPr>
            <w:tcW w:w="106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gains</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00" w:type="dxa"/>
            <w:vAlign w:val="bottom"/>
          </w:tcPr>
          <w:p>
            <w:pPr>
              <w:spacing w:after="0"/>
              <w:rPr>
                <w:sz w:val="12"/>
                <w:szCs w:val="12"/>
                <w:color w:val="auto"/>
              </w:rPr>
            </w:pPr>
          </w:p>
        </w:tc>
        <w:tc>
          <w:tcPr>
            <w:tcW w:w="116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146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available-for-sale</w:t>
            </w:r>
          </w:p>
        </w:tc>
        <w:tc>
          <w:tcPr>
            <w:tcW w:w="106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(losses) on</w:t>
            </w:r>
          </w:p>
        </w:tc>
        <w:tc>
          <w:tcPr>
            <w:tcW w:w="640" w:type="dxa"/>
            <w:vAlign w:val="bottom"/>
            <w:gridSpan w:val="2"/>
            <w:vMerge w:val="restart"/>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6700" w:type="dxa"/>
            <w:vAlign w:val="bottom"/>
          </w:tcPr>
          <w:p>
            <w:pPr>
              <w:spacing w:after="0"/>
              <w:rPr>
                <w:sz w:val="15"/>
                <w:szCs w:val="15"/>
                <w:color w:val="auto"/>
              </w:rPr>
            </w:pPr>
          </w:p>
        </w:tc>
        <w:tc>
          <w:tcPr>
            <w:tcW w:w="11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4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0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derivatives</w:t>
            </w:r>
          </w:p>
        </w:tc>
        <w:tc>
          <w:tcPr>
            <w:tcW w:w="6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700" w:type="dxa"/>
            <w:vAlign w:val="bottom"/>
          </w:tcPr>
          <w:p>
            <w:pPr>
              <w:spacing w:after="0"/>
              <w:rPr>
                <w:sz w:val="10"/>
                <w:szCs w:val="10"/>
                <w:color w:val="auto"/>
              </w:rPr>
            </w:pPr>
          </w:p>
        </w:tc>
        <w:tc>
          <w:tcPr>
            <w:tcW w:w="7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400" w:type="dxa"/>
            <w:vAlign w:val="bottom"/>
          </w:tcPr>
          <w:p>
            <w:pPr>
              <w:spacing w:after="0"/>
              <w:rPr>
                <w:sz w:val="10"/>
                <w:szCs w:val="10"/>
                <w:color w:val="auto"/>
              </w:rPr>
            </w:pPr>
          </w:p>
        </w:tc>
        <w:tc>
          <w:tcPr>
            <w:tcW w:w="10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400" w:type="dxa"/>
            <w:vAlign w:val="bottom"/>
          </w:tcPr>
          <w:p>
            <w:pPr>
              <w:spacing w:after="0"/>
              <w:rPr>
                <w:sz w:val="10"/>
                <w:szCs w:val="10"/>
                <w:color w:val="auto"/>
              </w:rPr>
            </w:pPr>
          </w:p>
        </w:tc>
        <w:tc>
          <w:tcPr>
            <w:tcW w:w="6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400" w:type="dxa"/>
            <w:vAlign w:val="bottom"/>
          </w:tcPr>
          <w:p>
            <w:pPr>
              <w:spacing w:after="0"/>
              <w:rPr>
                <w:sz w:val="10"/>
                <w:szCs w:val="10"/>
                <w:color w:val="auto"/>
              </w:rPr>
            </w:pPr>
          </w:p>
        </w:tc>
        <w:tc>
          <w:tcPr>
            <w:tcW w:w="520" w:type="dxa"/>
            <w:vAlign w:val="bottom"/>
            <w:tcBorders>
              <w:top w:val="single" w:sz="8" w:color="auto"/>
            </w:tcBorders>
          </w:tcPr>
          <w:p>
            <w:pPr>
              <w:jc w:val="right"/>
              <w:ind w:right="12"/>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11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(1,326)</w:t>
            </w:r>
          </w:p>
        </w:tc>
        <w:tc>
          <w:tcPr>
            <w:tcW w:w="14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457</w:t>
            </w:r>
          </w:p>
        </w:tc>
        <w:tc>
          <w:tcPr>
            <w:tcW w:w="10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1,415</w:t>
            </w:r>
          </w:p>
        </w:tc>
        <w:tc>
          <w:tcPr>
            <w:tcW w:w="6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546</w:t>
            </w: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before reclassification</w:t>
            </w:r>
          </w:p>
        </w:tc>
        <w:tc>
          <w:tcPr>
            <w:tcW w:w="11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(626)</w:t>
            </w: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(188)</w:t>
            </w: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(422)</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loss</w:t>
            </w:r>
          </w:p>
        </w:tc>
        <w:tc>
          <w:tcPr>
            <w:tcW w:w="11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(287)</w:t>
            </w:r>
          </w:p>
        </w:tc>
        <w:tc>
          <w:tcPr>
            <w:tcW w:w="1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(13)</w:t>
            </w:r>
          </w:p>
        </w:tc>
        <w:tc>
          <w:tcPr>
            <w:tcW w:w="10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23"/>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Net current-period other comprehensive loss</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400" w:type="dxa"/>
            <w:vAlign w:val="bottom"/>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40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400" w:type="dxa"/>
            <w:vAlign w:val="bottom"/>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(1,536)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67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Other comprehensive income attribute to noncontrolling interests and redeemable</w:t>
            </w:r>
          </w:p>
        </w:tc>
        <w:tc>
          <w:tcPr>
            <w:tcW w:w="7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1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88</w:t>
            </w:r>
          </w:p>
        </w:tc>
        <w:tc>
          <w:tcPr>
            <w:tcW w:w="14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7</w:t>
            </w:r>
          </w:p>
        </w:tc>
        <w:tc>
          <w:tcPr>
            <w:tcW w:w="10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30"/>
        </w:trPr>
        <w:tc>
          <w:tcPr>
            <w:tcW w:w="6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(2,151)</w:t>
            </w:r>
          </w:p>
        </w:tc>
        <w:tc>
          <w:tcPr>
            <w:tcW w:w="400" w:type="dxa"/>
            <w:vAlign w:val="bottom"/>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263</w:t>
            </w:r>
          </w:p>
        </w:tc>
        <w:tc>
          <w:tcPr>
            <w:tcW w:w="40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993</w:t>
            </w:r>
          </w:p>
        </w:tc>
        <w:tc>
          <w:tcPr>
            <w:tcW w:w="400" w:type="dxa"/>
            <w:vAlign w:val="bottom"/>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(895)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 before reclassification</w:t>
            </w:r>
          </w:p>
        </w:tc>
        <w:tc>
          <w:tcPr>
            <w:tcW w:w="11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(428)</w:t>
            </w:r>
          </w:p>
        </w:tc>
        <w:tc>
          <w:tcPr>
            <w:tcW w:w="14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103</w:t>
            </w: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(387)</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income (loss)</w:t>
            </w:r>
          </w:p>
        </w:tc>
        <w:tc>
          <w:tcPr>
            <w:tcW w:w="11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(338)</w:t>
            </w:r>
          </w:p>
        </w:tc>
        <w:tc>
          <w:tcPr>
            <w:tcW w:w="14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71</w:t>
            </w:r>
          </w:p>
        </w:tc>
        <w:tc>
          <w:tcPr>
            <w:tcW w:w="10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current-period other comprehensive income (loss)</w:t>
            </w:r>
          </w:p>
        </w:tc>
        <w:tc>
          <w:tcPr>
            <w:tcW w:w="11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(766)</w:t>
            </w:r>
          </w:p>
        </w:tc>
        <w:tc>
          <w:tcPr>
            <w:tcW w:w="14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174</w:t>
            </w: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(387)</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0" w:type="dxa"/>
            <w:vAlign w:val="bottom"/>
          </w:tcPr>
          <w:p>
            <w:pPr>
              <w:spacing w:after="0"/>
              <w:rPr>
                <w:sz w:val="1"/>
                <w:szCs w:val="1"/>
                <w:color w:val="auto"/>
              </w:rPr>
            </w:pPr>
          </w:p>
        </w:tc>
      </w:tr>
      <w:tr>
        <w:trPr>
          <w:trHeight w:val="198"/>
        </w:trPr>
        <w:tc>
          <w:tcPr>
            <w:tcW w:w="67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Other comprehensive income attribute to noncontrolling interests and redeemable</w:t>
            </w: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1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71</w:t>
            </w:r>
          </w:p>
        </w:tc>
        <w:tc>
          <w:tcPr>
            <w:tcW w:w="14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11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(2,846)</w:t>
            </w:r>
          </w:p>
        </w:tc>
        <w:tc>
          <w:tcPr>
            <w:tcW w:w="14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437</w:t>
            </w:r>
          </w:p>
        </w:tc>
        <w:tc>
          <w:tcPr>
            <w:tcW w:w="10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606</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(1,803)</w:t>
            </w:r>
          </w:p>
        </w:tc>
        <w:tc>
          <w:tcPr>
            <w:tcW w:w="0" w:type="dxa"/>
            <w:vAlign w:val="bottom"/>
          </w:tcPr>
          <w:p>
            <w:pPr>
              <w:spacing w:after="0"/>
              <w:rPr>
                <w:sz w:val="1"/>
                <w:szCs w:val="1"/>
                <w:color w:val="auto"/>
              </w:rPr>
            </w:pPr>
          </w:p>
        </w:tc>
      </w:tr>
      <w:tr>
        <w:trPr>
          <w:trHeight w:val="223"/>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 before reclassification</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400" w:type="dxa"/>
            <w:vAlign w:val="bottom"/>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40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400" w:type="dxa"/>
            <w:vAlign w:val="bottom"/>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loss</w:t>
            </w:r>
          </w:p>
        </w:tc>
        <w:tc>
          <w:tcPr>
            <w:tcW w:w="11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(17)</w:t>
            </w:r>
          </w:p>
        </w:tc>
        <w:tc>
          <w:tcPr>
            <w:tcW w:w="10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3"/>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Net current-period other comprehensive income (loss)</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400" w:type="dxa"/>
            <w:vAlign w:val="bottom"/>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40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400" w:type="dxa"/>
            <w:vAlign w:val="bottom"/>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67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Other comprehensive income attribute to noncontrolling interests and redeemable</w:t>
            </w:r>
          </w:p>
        </w:tc>
        <w:tc>
          <w:tcPr>
            <w:tcW w:w="7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1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73</w:t>
            </w:r>
          </w:p>
        </w:tc>
        <w:tc>
          <w:tcPr>
            <w:tcW w:w="14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63</w:t>
            </w:r>
          </w:p>
        </w:tc>
        <w:tc>
          <w:tcPr>
            <w:tcW w:w="10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23"/>
        </w:trPr>
        <w:tc>
          <w:tcPr>
            <w:tcW w:w="6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2025</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(2,149)</w:t>
            </w:r>
          </w:p>
        </w:tc>
        <w:tc>
          <w:tcPr>
            <w:tcW w:w="40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404</w:t>
            </w:r>
          </w:p>
        </w:tc>
        <w:tc>
          <w:tcPr>
            <w:tcW w:w="4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95</w:t>
            </w:r>
          </w:p>
        </w:tc>
        <w:tc>
          <w:tcPr>
            <w:tcW w:w="40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(1,650</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2025, in US$</w:t>
            </w:r>
          </w:p>
        </w:tc>
        <w:tc>
          <w:tcPr>
            <w:tcW w:w="11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(308)</w:t>
            </w:r>
          </w:p>
        </w:tc>
        <w:tc>
          <w:tcPr>
            <w:tcW w:w="14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58</w:t>
            </w:r>
          </w:p>
        </w:tc>
        <w:tc>
          <w:tcPr>
            <w:tcW w:w="10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14</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(236)</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spacing w:after="0" w:line="256" w:lineRule="auto"/>
        <w:rPr>
          <w:sz w:val="20"/>
          <w:szCs w:val="20"/>
          <w:color w:val="auto"/>
        </w:rPr>
      </w:pPr>
      <w:r>
        <w:rPr>
          <w:rFonts w:ascii="Times New Roman" w:cs="Times New Roman" w:eastAsia="Times New Roman" w:hAnsi="Times New Roman"/>
          <w:sz w:val="18"/>
          <w:szCs w:val="18"/>
          <w:color w:val="auto"/>
        </w:rPr>
        <w:t>The amounts reclassified out of accumulated other comprehensive income (loss) represent realized foreign currency translation adjustments, which mainly arose from the disposal of the Group’s partial interests in Trip and realized gains (losses) on the sales of available-for-sale investments, which were recorded in “Others, net” in the consolidated statements of comprehensive income. The amounts reclassified were determined on the basis of specific identification. Gains on intracompany foreign currency transactions that are of a long-term-investment nature in the amount of RMB687 million, RMB530 million and RMB511 million (US$73 million) were included in the foreign currency translation adjustments for the years ended December 31, 2023, 2024 and 2025, respectively.</w:t>
      </w:r>
    </w:p>
    <w:p>
      <w:pPr>
        <w:spacing w:after="0" w:line="187"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tax expense allocated to each component of other comprehensive loss for the years ended December 31, 2023, 2024 and 2025:</w:t>
      </w:r>
    </w:p>
    <w:p>
      <w:pPr>
        <w:spacing w:after="0" w:line="182"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438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2300" w:type="dxa"/>
            <w:vAlign w:val="bottom"/>
            <w:gridSpan w:val="8"/>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438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3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438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3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300" w:type="dxa"/>
            <w:vAlign w:val="bottom"/>
          </w:tcPr>
          <w:p>
            <w:pPr>
              <w:spacing w:after="0"/>
              <w:rPr>
                <w:sz w:val="10"/>
                <w:szCs w:val="10"/>
                <w:color w:val="auto"/>
              </w:rPr>
            </w:pPr>
          </w:p>
        </w:tc>
        <w:tc>
          <w:tcPr>
            <w:tcW w:w="3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320" w:type="dxa"/>
            <w:vAlign w:val="bottom"/>
          </w:tcPr>
          <w:p>
            <w:pPr>
              <w:spacing w:after="0"/>
              <w:rPr>
                <w:sz w:val="10"/>
                <w:szCs w:val="10"/>
                <w:color w:val="auto"/>
              </w:rPr>
            </w:pPr>
          </w:p>
        </w:tc>
        <w:tc>
          <w:tcPr>
            <w:tcW w:w="340" w:type="dxa"/>
            <w:vAlign w:val="bottom"/>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300" w:type="dxa"/>
            <w:vAlign w:val="bottom"/>
          </w:tcPr>
          <w:p>
            <w:pPr>
              <w:spacing w:after="0"/>
              <w:rPr>
                <w:sz w:val="10"/>
                <w:szCs w:val="10"/>
                <w:color w:val="auto"/>
              </w:rPr>
            </w:pPr>
          </w:p>
        </w:tc>
        <w:tc>
          <w:tcPr>
            <w:tcW w:w="30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4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Unrealized losses on available-for-sale investments</w:t>
            </w:r>
          </w:p>
        </w:tc>
        <w:tc>
          <w:tcPr>
            <w:tcW w:w="3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380" w:type="dxa"/>
            <w:vAlign w:val="bottom"/>
            <w:vMerge w:val="continue"/>
          </w:tcPr>
          <w:p>
            <w:pPr>
              <w:spacing w:after="0"/>
              <w:rPr>
                <w:sz w:val="15"/>
                <w:szCs w:val="15"/>
                <w:color w:val="auto"/>
              </w:rPr>
            </w:pPr>
          </w:p>
        </w:tc>
        <w:tc>
          <w:tcPr>
            <w:tcW w:w="3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comprehensive loss before reclassification</w:t>
            </w:r>
          </w:p>
        </w:tc>
        <w:tc>
          <w:tcPr>
            <w:tcW w:w="340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w:t>
            </w:r>
          </w:p>
        </w:tc>
        <w:tc>
          <w:tcPr>
            <w:tcW w:w="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(18)</w:t>
            </w: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380" w:type="dxa"/>
            <w:vAlign w:val="bottom"/>
          </w:tcPr>
          <w:p>
            <w:pPr>
              <w:spacing w:after="0"/>
              <w:rPr>
                <w:sz w:val="24"/>
                <w:szCs w:val="24"/>
                <w:color w:val="auto"/>
              </w:rPr>
            </w:pPr>
          </w:p>
        </w:tc>
        <w:tc>
          <w:tcPr>
            <w:tcW w:w="4040" w:type="dxa"/>
            <w:vAlign w:val="bottom"/>
            <w:gridSpan w:val="3"/>
          </w:tcPr>
          <w:p>
            <w:pPr>
              <w:jc w:val="right"/>
              <w:ind w:right="3180"/>
              <w:spacing w:after="0"/>
              <w:rPr>
                <w:sz w:val="20"/>
                <w:szCs w:val="20"/>
                <w:color w:val="auto"/>
              </w:rPr>
            </w:pPr>
            <w:r>
              <w:rPr>
                <w:rFonts w:ascii="Times New Roman" w:cs="Times New Roman" w:eastAsia="Times New Roman" w:hAnsi="Times New Roman"/>
                <w:sz w:val="18"/>
                <w:szCs w:val="18"/>
                <w:color w:val="auto"/>
              </w:rPr>
              <w:t>F-52</w:t>
            </w: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278" w:name="page279"/>
    <w:bookmarkEnd w:id="2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44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BAIDU, INC.</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THE YEARS ENDED DECEMBER 31, 2023, 2024 AND 2025</w:t>
      </w:r>
    </w:p>
    <w:p>
      <w:pPr>
        <w:spacing w:after="0" w:line="230" w:lineRule="exact"/>
        <w:rPr>
          <w:sz w:val="20"/>
          <w:szCs w:val="20"/>
          <w:color w:val="auto"/>
        </w:rPr>
      </w:pPr>
    </w:p>
    <w:p>
      <w:pPr>
        <w:ind w:left="540" w:hanging="424"/>
        <w:spacing w:after="0"/>
        <w:tabs>
          <w:tab w:leader="none" w:pos="540" w:val="left"/>
        </w:tabs>
        <w:numPr>
          <w:ilvl w:val="0"/>
          <w:numId w:val="1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121"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Each ADS represents eight Class A ordinary shares. A reconciliation of net income attributable to Baidu, Inc. in the consolidated statements of comprehensive income to the numerator for the computation of basic and diluted earnings per share for the years ended December 31, 2023, 2024 and 2025 is as follows:</w:t>
      </w:r>
    </w:p>
    <w:p>
      <w:pPr>
        <w:spacing w:after="0" w:line="19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440" w:type="dxa"/>
            <w:vAlign w:val="bottom"/>
          </w:tcPr>
          <w:p>
            <w:pPr>
              <w:spacing w:after="0"/>
              <w:rPr>
                <w:sz w:val="15"/>
                <w:szCs w:val="15"/>
                <w:color w:val="auto"/>
              </w:rPr>
            </w:pPr>
          </w:p>
        </w:tc>
        <w:tc>
          <w:tcPr>
            <w:tcW w:w="2660" w:type="dxa"/>
            <w:vAlign w:val="bottom"/>
            <w:gridSpan w:val="8"/>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4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3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440" w:type="dxa"/>
            <w:vAlign w:val="bottom"/>
          </w:tcPr>
          <w:p>
            <w:pPr>
              <w:spacing w:after="0"/>
              <w:rPr>
                <w:sz w:val="10"/>
                <w:szCs w:val="10"/>
                <w:color w:val="auto"/>
              </w:rPr>
            </w:pPr>
          </w:p>
        </w:tc>
        <w:tc>
          <w:tcPr>
            <w:tcW w:w="5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200" w:type="dxa"/>
            <w:vAlign w:val="bottom"/>
          </w:tcPr>
          <w:p>
            <w:pPr>
              <w:spacing w:after="0"/>
              <w:rPr>
                <w:sz w:val="10"/>
                <w:szCs w:val="10"/>
                <w:color w:val="auto"/>
              </w:rPr>
            </w:pPr>
          </w:p>
        </w:tc>
        <w:tc>
          <w:tcPr>
            <w:tcW w:w="5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200" w:type="dxa"/>
            <w:vAlign w:val="bottom"/>
          </w:tcPr>
          <w:p>
            <w:pPr>
              <w:spacing w:after="0"/>
              <w:rPr>
                <w:sz w:val="10"/>
                <w:szCs w:val="10"/>
                <w:color w:val="auto"/>
              </w:rPr>
            </w:pPr>
          </w:p>
        </w:tc>
        <w:tc>
          <w:tcPr>
            <w:tcW w:w="4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200" w:type="dxa"/>
            <w:vAlign w:val="bottom"/>
          </w:tcPr>
          <w:p>
            <w:pPr>
              <w:spacing w:after="0"/>
              <w:rPr>
                <w:sz w:val="10"/>
                <w:szCs w:val="10"/>
                <w:color w:val="auto"/>
              </w:rPr>
            </w:pPr>
          </w:p>
        </w:tc>
        <w:tc>
          <w:tcPr>
            <w:tcW w:w="40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440" w:type="dxa"/>
            <w:vAlign w:val="bottom"/>
          </w:tcPr>
          <w:p>
            <w:pPr>
              <w:spacing w:after="0"/>
              <w:rPr>
                <w:sz w:val="12"/>
                <w:szCs w:val="12"/>
                <w:color w:val="auto"/>
              </w:rPr>
            </w:pPr>
          </w:p>
        </w:tc>
        <w:tc>
          <w:tcPr>
            <w:tcW w:w="2660" w:type="dxa"/>
            <w:vAlign w:val="bottom"/>
            <w:gridSpan w:val="8"/>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(In millions, including number of shares,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40" w:type="dxa"/>
            <w:vAlign w:val="bottom"/>
          </w:tcPr>
          <w:p>
            <w:pPr>
              <w:spacing w:after="0"/>
              <w:rPr>
                <w:sz w:val="15"/>
                <w:szCs w:val="15"/>
                <w:color w:val="auto"/>
              </w:rPr>
            </w:pPr>
          </w:p>
        </w:tc>
        <w:tc>
          <w:tcPr>
            <w:tcW w:w="2160" w:type="dxa"/>
            <w:vAlign w:val="bottom"/>
            <w:gridSpan w:val="6"/>
          </w:tcPr>
          <w:p>
            <w:pPr>
              <w:jc w:val="center"/>
              <w:ind w:left="300"/>
              <w:spacing w:after="0"/>
              <w:rPr>
                <w:sz w:val="20"/>
                <w:szCs w:val="20"/>
                <w:color w:val="auto"/>
              </w:rPr>
            </w:pPr>
            <w:r>
              <w:rPr>
                <w:rFonts w:ascii="Times New Roman" w:cs="Times New Roman" w:eastAsia="Times New Roman" w:hAnsi="Times New Roman"/>
                <w:sz w:val="14"/>
                <w:szCs w:val="14"/>
                <w:b w:val="1"/>
                <w:bCs w:val="1"/>
                <w:color w:val="auto"/>
              </w:rPr>
              <w:t>except for per share data)</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Baidu, Inc.</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20,315</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23,760</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5,589</w:t>
            </w: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Accretion of the redeemable noncontrolling interests</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(717)</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(588)</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(926)</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 for basic EPS computation</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19,598</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23,172</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4,663</w:t>
            </w: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Impact of diluted securities of subsidiaries and equity method investees</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(44)</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(105)</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(620)</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 for diluted EPS computation</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19,554</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23,067</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4,043</w:t>
            </w: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Class A and Class B ordinary share and basic and diluted earnings per</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ADS: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612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9"/>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4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120" w:type="dxa"/>
            <w:vAlign w:val="bottom"/>
          </w:tcPr>
          <w:p>
            <w:pPr>
              <w:spacing w:after="0"/>
              <w:rPr>
                <w:sz w:val="12"/>
                <w:szCs w:val="12"/>
                <w:color w:val="auto"/>
              </w:rPr>
            </w:pPr>
          </w:p>
        </w:tc>
        <w:tc>
          <w:tcPr>
            <w:tcW w:w="1120" w:type="dxa"/>
            <w:vAlign w:val="bottom"/>
            <w:gridSpan w:val="4"/>
          </w:tcPr>
          <w:p>
            <w:pPr>
              <w:jc w:val="right"/>
              <w:ind w:right="34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2"/>
                <w:szCs w:val="12"/>
                <w:color w:val="auto"/>
              </w:rPr>
            </w:pPr>
          </w:p>
        </w:tc>
        <w:tc>
          <w:tcPr>
            <w:tcW w:w="1100" w:type="dxa"/>
            <w:vAlign w:val="bottom"/>
            <w:gridSpan w:val="3"/>
          </w:tcPr>
          <w:p>
            <w:pPr>
              <w:jc w:val="right"/>
              <w:ind w:right="32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60" w:type="dxa"/>
            <w:vAlign w:val="bottom"/>
            <w:gridSpan w:val="4"/>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3"/>
          </w:tcPr>
          <w:p>
            <w:pPr>
              <w:ind w:left="40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6120" w:type="dxa"/>
            <w:vAlign w:val="bottom"/>
          </w:tcPr>
          <w:p>
            <w:pPr>
              <w:spacing w:after="0"/>
              <w:rPr>
                <w:sz w:val="10"/>
                <w:szCs w:val="10"/>
                <w:color w:val="auto"/>
              </w:rPr>
            </w:pPr>
          </w:p>
        </w:tc>
        <w:tc>
          <w:tcPr>
            <w:tcW w:w="520" w:type="dxa"/>
            <w:vAlign w:val="bottom"/>
            <w:tcBorders>
              <w:top w:val="single" w:sz="8" w:color="auto"/>
            </w:tcBorders>
            <w:gridSpan w:val="2"/>
          </w:tcPr>
          <w:p>
            <w:pPr>
              <w:jc w:val="center"/>
              <w:ind w:right="20"/>
              <w:spacing w:after="0" w:line="118" w:lineRule="exact"/>
              <w:rPr>
                <w:sz w:val="20"/>
                <w:szCs w:val="20"/>
                <w:color w:val="auto"/>
              </w:rPr>
            </w:pPr>
            <w:r>
              <w:rPr>
                <w:rFonts w:ascii="Times New Roman" w:cs="Times New Roman" w:eastAsia="Times New Roman" w:hAnsi="Times New Roman"/>
                <w:sz w:val="13"/>
                <w:szCs w:val="13"/>
                <w:b w:val="1"/>
                <w:bCs w:val="1"/>
                <w:color w:val="auto"/>
              </w:rPr>
              <w:t>Class A</w:t>
            </w:r>
          </w:p>
        </w:tc>
        <w:tc>
          <w:tcPr>
            <w:tcW w:w="12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Class B</w:t>
            </w:r>
          </w:p>
        </w:tc>
        <w:tc>
          <w:tcPr>
            <w:tcW w:w="140" w:type="dxa"/>
            <w:vAlign w:val="bottom"/>
          </w:tcPr>
          <w:p>
            <w:pPr>
              <w:spacing w:after="0"/>
              <w:rPr>
                <w:sz w:val="10"/>
                <w:szCs w:val="10"/>
                <w:color w:val="auto"/>
              </w:rPr>
            </w:pPr>
          </w:p>
        </w:tc>
        <w:tc>
          <w:tcPr>
            <w:tcW w:w="48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Class A</w:t>
            </w:r>
          </w:p>
        </w:tc>
        <w:tc>
          <w:tcPr>
            <w:tcW w:w="16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Class B</w:t>
            </w:r>
          </w:p>
        </w:tc>
        <w:tc>
          <w:tcPr>
            <w:tcW w:w="160" w:type="dxa"/>
            <w:vAlign w:val="bottom"/>
          </w:tcPr>
          <w:p>
            <w:pPr>
              <w:spacing w:after="0"/>
              <w:rPr>
                <w:sz w:val="10"/>
                <w:szCs w:val="10"/>
                <w:color w:val="auto"/>
              </w:rPr>
            </w:pPr>
          </w:p>
        </w:tc>
        <w:tc>
          <w:tcPr>
            <w:tcW w:w="1080" w:type="dxa"/>
            <w:vAlign w:val="bottom"/>
            <w:tcBorders>
              <w:top w:val="single" w:sz="8" w:color="auto"/>
            </w:tcBorders>
            <w:gridSpan w:val="4"/>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Class A  Class A</w:t>
            </w:r>
          </w:p>
        </w:tc>
        <w:tc>
          <w:tcPr>
            <w:tcW w:w="160" w:type="dxa"/>
            <w:vAlign w:val="bottom"/>
          </w:tcPr>
          <w:p>
            <w:pPr>
              <w:spacing w:after="0"/>
              <w:rPr>
                <w:sz w:val="10"/>
                <w:szCs w:val="10"/>
                <w:color w:val="auto"/>
              </w:rPr>
            </w:pPr>
          </w:p>
        </w:tc>
        <w:tc>
          <w:tcPr>
            <w:tcW w:w="620" w:type="dxa"/>
            <w:vAlign w:val="bottom"/>
            <w:tcBorders>
              <w:top w:val="single" w:sz="8" w:color="auto"/>
            </w:tcBorders>
            <w:gridSpan w:val="2"/>
          </w:tcPr>
          <w:p>
            <w:pPr>
              <w:jc w:val="right"/>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Class B</w:t>
            </w:r>
          </w:p>
        </w:tc>
        <w:tc>
          <w:tcPr>
            <w:tcW w:w="48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Class B</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120" w:type="dxa"/>
            <w:vAlign w:val="bottom"/>
          </w:tcPr>
          <w:p>
            <w:pPr>
              <w:spacing w:after="0"/>
              <w:rPr>
                <w:sz w:val="12"/>
                <w:szCs w:val="12"/>
                <w:color w:val="auto"/>
              </w:rPr>
            </w:pPr>
          </w:p>
        </w:tc>
        <w:tc>
          <w:tcPr>
            <w:tcW w:w="52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RMB</w:t>
            </w:r>
          </w:p>
        </w:tc>
        <w:tc>
          <w:tcPr>
            <w:tcW w:w="120" w:type="dxa"/>
            <w:vAlign w:val="bottom"/>
          </w:tcPr>
          <w:p>
            <w:pPr>
              <w:spacing w:after="0"/>
              <w:rPr>
                <w:sz w:val="12"/>
                <w:szCs w:val="12"/>
                <w:color w:val="auto"/>
              </w:rPr>
            </w:pPr>
          </w:p>
        </w:tc>
        <w:tc>
          <w:tcPr>
            <w:tcW w:w="6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RMB</w:t>
            </w: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Pr>
          <w:p>
            <w:pPr>
              <w:spacing w:after="0"/>
              <w:rPr>
                <w:sz w:val="12"/>
                <w:szCs w:val="12"/>
                <w:color w:val="auto"/>
              </w:rPr>
            </w:pPr>
          </w:p>
        </w:tc>
        <w:tc>
          <w:tcPr>
            <w:tcW w:w="700" w:type="dxa"/>
            <w:vAlign w:val="bottom"/>
            <w:gridSpan w:val="3"/>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RMB</w:t>
            </w:r>
          </w:p>
        </w:tc>
        <w:tc>
          <w:tcPr>
            <w:tcW w:w="5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US$</w:t>
            </w:r>
          </w:p>
        </w:tc>
        <w:tc>
          <w:tcPr>
            <w:tcW w:w="62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RMB</w:t>
            </w:r>
          </w:p>
        </w:tc>
        <w:tc>
          <w:tcPr>
            <w:tcW w:w="52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US$</w:t>
            </w:r>
          </w:p>
        </w:tc>
        <w:tc>
          <w:tcPr>
            <w:tcW w:w="0" w:type="dxa"/>
            <w:vAlign w:val="bottom"/>
          </w:tcPr>
          <w:p>
            <w:pPr>
              <w:spacing w:after="0"/>
              <w:rPr>
                <w:sz w:val="1"/>
                <w:szCs w:val="1"/>
                <w:color w:val="auto"/>
              </w:rPr>
            </w:pPr>
          </w:p>
        </w:tc>
      </w:tr>
      <w:tr>
        <w:trPr>
          <w:trHeight w:val="149"/>
        </w:trPr>
        <w:tc>
          <w:tcPr>
            <w:tcW w:w="6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60" w:type="dxa"/>
            <w:vAlign w:val="bottom"/>
            <w:gridSpan w:val="14"/>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(In millions, including number of shares and ADS, except for</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6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00" w:type="dxa"/>
            <w:vAlign w:val="bottom"/>
            <w:gridSpan w:val="9"/>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per share and per ADS data)</w:t>
            </w: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Earnings per share—basic:</w:t>
            </w: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Numerator</w:t>
            </w: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Allocation of net income attributable to Baidu, Inc.</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15,905</w:t>
            </w:r>
          </w:p>
        </w:tc>
        <w:tc>
          <w:tcPr>
            <w:tcW w:w="7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3,693</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18,812</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4,360</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3,767</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w:t>
            </w: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w w:val="99"/>
              </w:rPr>
              <w:t>896</w:t>
            </w: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w w:val="99"/>
              </w:rPr>
              <w:t>128</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1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Denominator</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120" w:type="dxa"/>
            <w:vAlign w:val="bottom"/>
            <w:vMerge w:val="continue"/>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 average ordinary shares outstanding</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2,278</w:t>
            </w:r>
          </w:p>
        </w:tc>
        <w:tc>
          <w:tcPr>
            <w:tcW w:w="7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529</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2,265</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2,202</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2,202</w:t>
            </w: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w w:val="99"/>
              </w:rPr>
              <w:t>524</w:t>
            </w: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w w:val="99"/>
              </w:rPr>
              <w:t>524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120" w:type="dxa"/>
            <w:vAlign w:val="bottom"/>
          </w:tcPr>
          <w:p>
            <w:pPr>
              <w:spacing w:after="0"/>
              <w:rPr>
                <w:sz w:val="20"/>
                <w:szCs w:val="20"/>
                <w:color w:val="auto"/>
              </w:rPr>
            </w:pPr>
            <w:r>
              <w:rPr>
                <w:rFonts w:ascii="Times New Roman" w:cs="Times New Roman" w:eastAsia="Times New Roman" w:hAnsi="Times New Roman"/>
                <w:sz w:val="16"/>
                <w:szCs w:val="16"/>
                <w:color w:val="auto"/>
              </w:rPr>
              <w:t>Denominator used for basic EPS</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2,278</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529</w:t>
            </w:r>
          </w:p>
        </w:tc>
        <w:tc>
          <w:tcPr>
            <w:tcW w:w="140" w:type="dxa"/>
            <w:vAlign w:val="bottom"/>
          </w:tcPr>
          <w:p>
            <w:pPr>
              <w:spacing w:after="0"/>
              <w:rPr>
                <w:sz w:val="17"/>
                <w:szCs w:val="17"/>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2,265</w:t>
            </w:r>
          </w:p>
        </w:tc>
        <w:tc>
          <w:tcPr>
            <w:tcW w:w="160" w:type="dxa"/>
            <w:vAlign w:val="bottom"/>
          </w:tcPr>
          <w:p>
            <w:pPr>
              <w:spacing w:after="0"/>
              <w:rPr>
                <w:sz w:val="17"/>
                <w:szCs w:val="17"/>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525</w:t>
            </w:r>
          </w:p>
        </w:tc>
        <w:tc>
          <w:tcPr>
            <w:tcW w:w="160" w:type="dxa"/>
            <w:vAlign w:val="bottom"/>
          </w:tcPr>
          <w:p>
            <w:pPr>
              <w:spacing w:after="0"/>
              <w:rPr>
                <w:sz w:val="17"/>
                <w:szCs w:val="17"/>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2,202</w:t>
            </w:r>
          </w:p>
        </w:tc>
        <w:tc>
          <w:tcPr>
            <w:tcW w:w="16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2,202</w:t>
            </w:r>
          </w:p>
        </w:tc>
        <w:tc>
          <w:tcPr>
            <w:tcW w:w="160" w:type="dxa"/>
            <w:vAlign w:val="bottom"/>
          </w:tcPr>
          <w:p>
            <w:pPr>
              <w:spacing w:after="0"/>
              <w:rPr>
                <w:sz w:val="17"/>
                <w:szCs w:val="17"/>
                <w:color w:val="auto"/>
              </w:rPr>
            </w:pPr>
          </w:p>
        </w:tc>
        <w:tc>
          <w:tcPr>
            <w:tcW w:w="48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w w:val="99"/>
              </w:rPr>
              <w:t>524</w:t>
            </w:r>
          </w:p>
        </w:tc>
        <w:tc>
          <w:tcPr>
            <w:tcW w:w="140" w:type="dxa"/>
            <w:vAlign w:val="bottom"/>
          </w:tcPr>
          <w:p>
            <w:pPr>
              <w:spacing w:after="0"/>
              <w:rPr>
                <w:sz w:val="17"/>
                <w:szCs w:val="17"/>
                <w:color w:val="auto"/>
              </w:rPr>
            </w:pPr>
          </w:p>
        </w:tc>
        <w:tc>
          <w:tcPr>
            <w:tcW w:w="48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w w:val="99"/>
              </w:rPr>
              <w:t>524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Earnings per share—basic</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6.98</w:t>
            </w:r>
          </w:p>
        </w:tc>
        <w:tc>
          <w:tcPr>
            <w:tcW w:w="7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6.98</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8.31</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8.31</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0.24</w:t>
            </w: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1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Earnings per share—diluted:</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120" w:type="dxa"/>
            <w:vAlign w:val="bottom"/>
            <w:vMerge w:val="continue"/>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Numerator</w:t>
            </w: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20" w:type="dxa"/>
            <w:vAlign w:val="bottom"/>
          </w:tcPr>
          <w:p>
            <w:pPr>
              <w:spacing w:after="0"/>
              <w:rPr>
                <w:sz w:val="20"/>
                <w:szCs w:val="20"/>
                <w:color w:val="auto"/>
              </w:rPr>
            </w:pPr>
            <w:r>
              <w:rPr>
                <w:rFonts w:ascii="Times New Roman" w:cs="Times New Roman" w:eastAsia="Times New Roman" w:hAnsi="Times New Roman"/>
                <w:sz w:val="16"/>
                <w:szCs w:val="16"/>
                <w:color w:val="auto"/>
              </w:rPr>
              <w:t>Allocation of net income attributable to Baidu, Inc. for diluted computation</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15,909</w:t>
            </w:r>
          </w:p>
        </w:tc>
        <w:tc>
          <w:tcPr>
            <w:tcW w:w="74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3,645</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18,741</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4,326</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3,273</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w:t>
            </w:r>
          </w:p>
        </w:tc>
        <w:tc>
          <w:tcPr>
            <w:tcW w:w="160" w:type="dxa"/>
            <w:vAlign w:val="bottom"/>
          </w:tcPr>
          <w:p>
            <w:pPr>
              <w:spacing w:after="0"/>
              <w:rPr>
                <w:sz w:val="17"/>
                <w:szCs w:val="17"/>
                <w:color w:val="auto"/>
              </w:rPr>
            </w:pPr>
          </w:p>
        </w:tc>
        <w:tc>
          <w:tcPr>
            <w:tcW w:w="480" w:type="dxa"/>
            <w:vAlign w:val="bottom"/>
          </w:tcPr>
          <w:p>
            <w:pPr>
              <w:ind w:left="220"/>
              <w:spacing w:after="0"/>
              <w:rPr>
                <w:sz w:val="20"/>
                <w:szCs w:val="20"/>
                <w:color w:val="auto"/>
              </w:rPr>
            </w:pPr>
            <w:r>
              <w:rPr>
                <w:rFonts w:ascii="Times New Roman" w:cs="Times New Roman" w:eastAsia="Times New Roman" w:hAnsi="Times New Roman"/>
                <w:sz w:val="16"/>
                <w:szCs w:val="16"/>
                <w:color w:val="auto"/>
                <w:w w:val="99"/>
              </w:rPr>
              <w:t>770</w:t>
            </w:r>
          </w:p>
        </w:tc>
        <w:tc>
          <w:tcPr>
            <w:tcW w:w="140" w:type="dxa"/>
            <w:vAlign w:val="bottom"/>
          </w:tcPr>
          <w:p>
            <w:pPr>
              <w:spacing w:after="0"/>
              <w:rPr>
                <w:sz w:val="17"/>
                <w:szCs w:val="17"/>
                <w:color w:val="auto"/>
              </w:rPr>
            </w:pPr>
          </w:p>
        </w:tc>
        <w:tc>
          <w:tcPr>
            <w:tcW w:w="5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110</w:t>
            </w:r>
          </w:p>
        </w:tc>
        <w:tc>
          <w:tcPr>
            <w:tcW w:w="0" w:type="dxa"/>
            <w:vAlign w:val="bottom"/>
          </w:tcPr>
          <w:p>
            <w:pPr>
              <w:spacing w:after="0"/>
              <w:rPr>
                <w:sz w:val="1"/>
                <w:szCs w:val="1"/>
                <w:color w:val="auto"/>
              </w:rPr>
            </w:pPr>
          </w:p>
        </w:tc>
      </w:tr>
      <w:tr>
        <w:trPr>
          <w:trHeight w:val="189"/>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Reallocation of net income attributable to Baidu, Inc. as a result of conversion of Class B to</w:t>
            </w:r>
          </w:p>
        </w:tc>
        <w:tc>
          <w:tcPr>
            <w:tcW w:w="5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Class A shares</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3,645</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— </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4,326</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110</w:t>
            </w:r>
          </w:p>
        </w:tc>
        <w:tc>
          <w:tcPr>
            <w:tcW w:w="6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— </w:t>
            </w:r>
          </w:p>
        </w:tc>
        <w:tc>
          <w:tcPr>
            <w:tcW w:w="5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07"/>
        </w:trPr>
        <w:tc>
          <w:tcPr>
            <w:tcW w:w="6120" w:type="dxa"/>
            <w:vAlign w:val="bottom"/>
          </w:tcPr>
          <w:p>
            <w:pPr>
              <w:spacing w:after="0"/>
              <w:rPr>
                <w:sz w:val="20"/>
                <w:szCs w:val="20"/>
                <w:color w:val="auto"/>
              </w:rPr>
            </w:pPr>
            <w:r>
              <w:rPr>
                <w:rFonts w:ascii="Times New Roman" w:cs="Times New Roman" w:eastAsia="Times New Roman" w:hAnsi="Times New Roman"/>
                <w:sz w:val="16"/>
                <w:szCs w:val="16"/>
                <w:color w:val="auto"/>
              </w:rPr>
              <w:t>Numerator for diluted EPS computation</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19,554</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3,645</w:t>
            </w:r>
          </w:p>
        </w:tc>
        <w:tc>
          <w:tcPr>
            <w:tcW w:w="140" w:type="dxa"/>
            <w:vAlign w:val="bottom"/>
          </w:tcPr>
          <w:p>
            <w:pPr>
              <w:spacing w:after="0"/>
              <w:rPr>
                <w:sz w:val="17"/>
                <w:szCs w:val="17"/>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23,067</w:t>
            </w:r>
          </w:p>
        </w:tc>
        <w:tc>
          <w:tcPr>
            <w:tcW w:w="160" w:type="dxa"/>
            <w:vAlign w:val="bottom"/>
          </w:tcPr>
          <w:p>
            <w:pPr>
              <w:spacing w:after="0"/>
              <w:rPr>
                <w:sz w:val="17"/>
                <w:szCs w:val="17"/>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4,326</w:t>
            </w:r>
          </w:p>
        </w:tc>
        <w:tc>
          <w:tcPr>
            <w:tcW w:w="160" w:type="dxa"/>
            <w:vAlign w:val="bottom"/>
          </w:tcPr>
          <w:p>
            <w:pPr>
              <w:spacing w:after="0"/>
              <w:rPr>
                <w:sz w:val="17"/>
                <w:szCs w:val="17"/>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4,043</w:t>
            </w:r>
          </w:p>
        </w:tc>
        <w:tc>
          <w:tcPr>
            <w:tcW w:w="16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578</w:t>
            </w:r>
          </w:p>
        </w:tc>
        <w:tc>
          <w:tcPr>
            <w:tcW w:w="160" w:type="dxa"/>
            <w:vAlign w:val="bottom"/>
          </w:tcPr>
          <w:p>
            <w:pPr>
              <w:spacing w:after="0"/>
              <w:rPr>
                <w:sz w:val="17"/>
                <w:szCs w:val="17"/>
                <w:color w:val="auto"/>
              </w:rPr>
            </w:pPr>
          </w:p>
        </w:tc>
        <w:tc>
          <w:tcPr>
            <w:tcW w:w="48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w w:val="99"/>
              </w:rPr>
              <w:t>770</w:t>
            </w:r>
          </w:p>
        </w:tc>
        <w:tc>
          <w:tcPr>
            <w:tcW w:w="140" w:type="dxa"/>
            <w:vAlign w:val="bottom"/>
          </w:tcPr>
          <w:p>
            <w:pPr>
              <w:spacing w:after="0"/>
              <w:rPr>
                <w:sz w:val="17"/>
                <w:szCs w:val="17"/>
                <w:color w:val="auto"/>
              </w:rPr>
            </w:pPr>
          </w:p>
        </w:tc>
        <w:tc>
          <w:tcPr>
            <w:tcW w:w="48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6"/>
                <w:szCs w:val="16"/>
                <w:color w:val="auto"/>
                <w:w w:val="91"/>
              </w:rPr>
              <w:t>110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Denominator</w:t>
            </w: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2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ordinary shares outstanding</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2,278</w:t>
            </w:r>
          </w:p>
        </w:tc>
        <w:tc>
          <w:tcPr>
            <w:tcW w:w="74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529</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2,265</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525</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2,202</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2,202</w:t>
            </w:r>
          </w:p>
        </w:tc>
        <w:tc>
          <w:tcPr>
            <w:tcW w:w="160" w:type="dxa"/>
            <w:vAlign w:val="bottom"/>
          </w:tcPr>
          <w:p>
            <w:pPr>
              <w:spacing w:after="0"/>
              <w:rPr>
                <w:sz w:val="17"/>
                <w:szCs w:val="17"/>
                <w:color w:val="auto"/>
              </w:rPr>
            </w:pPr>
          </w:p>
        </w:tc>
        <w:tc>
          <w:tcPr>
            <w:tcW w:w="480" w:type="dxa"/>
            <w:vAlign w:val="bottom"/>
          </w:tcPr>
          <w:p>
            <w:pPr>
              <w:ind w:left="220"/>
              <w:spacing w:after="0"/>
              <w:rPr>
                <w:sz w:val="20"/>
                <w:szCs w:val="20"/>
                <w:color w:val="auto"/>
              </w:rPr>
            </w:pPr>
            <w:r>
              <w:rPr>
                <w:rFonts w:ascii="Times New Roman" w:cs="Times New Roman" w:eastAsia="Times New Roman" w:hAnsi="Times New Roman"/>
                <w:sz w:val="16"/>
                <w:szCs w:val="16"/>
                <w:color w:val="auto"/>
                <w:w w:val="99"/>
              </w:rPr>
              <w:t>524</w:t>
            </w:r>
          </w:p>
        </w:tc>
        <w:tc>
          <w:tcPr>
            <w:tcW w:w="140" w:type="dxa"/>
            <w:vAlign w:val="bottom"/>
          </w:tcPr>
          <w:p>
            <w:pPr>
              <w:spacing w:after="0"/>
              <w:rPr>
                <w:sz w:val="17"/>
                <w:szCs w:val="17"/>
                <w:color w:val="auto"/>
              </w:rPr>
            </w:pPr>
          </w:p>
        </w:tc>
        <w:tc>
          <w:tcPr>
            <w:tcW w:w="480" w:type="dxa"/>
            <w:vAlign w:val="bottom"/>
          </w:tcPr>
          <w:p>
            <w:pPr>
              <w:ind w:left="220"/>
              <w:spacing w:after="0"/>
              <w:rPr>
                <w:sz w:val="20"/>
                <w:szCs w:val="20"/>
                <w:color w:val="auto"/>
              </w:rPr>
            </w:pPr>
            <w:r>
              <w:rPr>
                <w:rFonts w:ascii="Times New Roman" w:cs="Times New Roman" w:eastAsia="Times New Roman" w:hAnsi="Times New Roman"/>
                <w:sz w:val="16"/>
                <w:szCs w:val="16"/>
                <w:color w:val="auto"/>
                <w:w w:val="99"/>
              </w:rPr>
              <w:t>524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Conversion of Class B to Class A ordinary shares</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529</w:t>
            </w: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— </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w:t>
            </w: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w:t>
            </w:r>
          </w:p>
        </w:tc>
        <w:tc>
          <w:tcPr>
            <w:tcW w:w="1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— </w:t>
            </w:r>
          </w:p>
        </w:tc>
        <w:tc>
          <w:tcPr>
            <w:tcW w:w="5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09"/>
        </w:trPr>
        <w:tc>
          <w:tcPr>
            <w:tcW w:w="6120" w:type="dxa"/>
            <w:vAlign w:val="bottom"/>
          </w:tcPr>
          <w:p>
            <w:pPr>
              <w:spacing w:after="0"/>
              <w:rPr>
                <w:sz w:val="20"/>
                <w:szCs w:val="20"/>
                <w:color w:val="auto"/>
              </w:rPr>
            </w:pPr>
            <w:r>
              <w:rPr>
                <w:rFonts w:ascii="Times New Roman" w:cs="Times New Roman" w:eastAsia="Times New Roman" w:hAnsi="Times New Roman"/>
                <w:sz w:val="16"/>
                <w:szCs w:val="16"/>
                <w:color w:val="auto"/>
              </w:rPr>
              <w:t>Share-based awards</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w w:val="99"/>
              </w:rPr>
              <w:t>— </w:t>
            </w:r>
          </w:p>
        </w:tc>
        <w:tc>
          <w:tcPr>
            <w:tcW w:w="140" w:type="dxa"/>
            <w:vAlign w:val="bottom"/>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60" w:type="dxa"/>
            <w:vAlign w:val="bottom"/>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60" w:type="dxa"/>
            <w:vAlign w:val="bottom"/>
          </w:tcPr>
          <w:p>
            <w:pPr>
              <w:spacing w:after="0"/>
              <w:rPr>
                <w:sz w:val="18"/>
                <w:szCs w:val="18"/>
                <w:color w:val="auto"/>
              </w:rPr>
            </w:pPr>
          </w:p>
        </w:tc>
        <w:tc>
          <w:tcPr>
            <w:tcW w:w="4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w w:val="99"/>
              </w:rPr>
              <w:t>— </w:t>
            </w:r>
          </w:p>
        </w:tc>
        <w:tc>
          <w:tcPr>
            <w:tcW w:w="140" w:type="dxa"/>
            <w:vAlign w:val="bottom"/>
          </w:tcPr>
          <w:p>
            <w:pPr>
              <w:spacing w:after="0"/>
              <w:rPr>
                <w:sz w:val="18"/>
                <w:szCs w:val="18"/>
                <w:color w:val="auto"/>
              </w:rPr>
            </w:pPr>
          </w:p>
        </w:tc>
        <w:tc>
          <w:tcPr>
            <w:tcW w:w="4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w w:val="99"/>
              </w:rPr>
              <w:t>— </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Denominator used for diluted EPS</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2,837</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w:t>
            </w:r>
          </w:p>
        </w:tc>
        <w:tc>
          <w:tcPr>
            <w:tcW w:w="14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2,798</w:t>
            </w:r>
          </w:p>
        </w:tc>
        <w:tc>
          <w:tcPr>
            <w:tcW w:w="16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w:t>
            </w:r>
          </w:p>
        </w:tc>
        <w:tc>
          <w:tcPr>
            <w:tcW w:w="16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2,744</w:t>
            </w:r>
          </w:p>
        </w:tc>
        <w:tc>
          <w:tcPr>
            <w:tcW w:w="1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2,744</w:t>
            </w:r>
          </w:p>
        </w:tc>
        <w:tc>
          <w:tcPr>
            <w:tcW w:w="16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w w:val="99"/>
              </w:rPr>
              <w:t>524</w:t>
            </w:r>
          </w:p>
        </w:tc>
        <w:tc>
          <w:tcPr>
            <w:tcW w:w="14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w w:val="99"/>
              </w:rPr>
              <w:t>524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1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Earnings per share—diluted</w:t>
            </w:r>
          </w:p>
        </w:tc>
        <w:tc>
          <w:tcPr>
            <w:tcW w:w="520" w:type="dxa"/>
            <w:vAlign w:val="bottom"/>
            <w:gridSpan w:val="2"/>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120" w:type="dxa"/>
            <w:vAlign w:val="bottom"/>
            <w:vMerge w:val="continue"/>
          </w:tcPr>
          <w:p>
            <w:pPr>
              <w:spacing w:after="0"/>
              <w:rPr>
                <w:sz w:val="16"/>
                <w:szCs w:val="16"/>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6.89</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6.89</w:t>
            </w:r>
          </w:p>
        </w:tc>
        <w:tc>
          <w:tcPr>
            <w:tcW w:w="140" w:type="dxa"/>
            <w:vAlign w:val="bottom"/>
          </w:tcPr>
          <w:p>
            <w:pPr>
              <w:spacing w:after="0"/>
              <w:rPr>
                <w:sz w:val="16"/>
                <w:szCs w:val="16"/>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8.24</w:t>
            </w:r>
          </w:p>
        </w:tc>
        <w:tc>
          <w:tcPr>
            <w:tcW w:w="160" w:type="dxa"/>
            <w:vAlign w:val="bottom"/>
          </w:tcPr>
          <w:p>
            <w:pPr>
              <w:spacing w:after="0"/>
              <w:rPr>
                <w:sz w:val="16"/>
                <w:szCs w:val="16"/>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8.24</w:t>
            </w:r>
          </w:p>
        </w:tc>
        <w:tc>
          <w:tcPr>
            <w:tcW w:w="160" w:type="dxa"/>
            <w:vAlign w:val="bottom"/>
          </w:tcPr>
          <w:p>
            <w:pPr>
              <w:spacing w:after="0"/>
              <w:rPr>
                <w:sz w:val="16"/>
                <w:szCs w:val="16"/>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160" w:type="dxa"/>
            <w:vAlign w:val="bottom"/>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0.21</w:t>
            </w:r>
          </w:p>
        </w:tc>
        <w:tc>
          <w:tcPr>
            <w:tcW w:w="160" w:type="dxa"/>
            <w:vAlign w:val="bottom"/>
          </w:tcPr>
          <w:p>
            <w:pPr>
              <w:spacing w:after="0"/>
              <w:rPr>
                <w:sz w:val="16"/>
                <w:szCs w:val="16"/>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140" w:type="dxa"/>
            <w:vAlign w:val="bottom"/>
          </w:tcPr>
          <w:p>
            <w:pPr>
              <w:spacing w:after="0"/>
              <w:rPr>
                <w:sz w:val="16"/>
                <w:szCs w:val="16"/>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Earnings per ADS (1 ADS equals 8 Class A ordinary shares):</w:t>
            </w: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20" w:type="dxa"/>
            <w:vAlign w:val="bottom"/>
          </w:tcPr>
          <w:p>
            <w:pPr>
              <w:spacing w:after="0"/>
              <w:rPr>
                <w:sz w:val="20"/>
                <w:szCs w:val="20"/>
                <w:color w:val="auto"/>
              </w:rPr>
            </w:pPr>
            <w:r>
              <w:rPr>
                <w:rFonts w:ascii="Times New Roman" w:cs="Times New Roman" w:eastAsia="Times New Roman" w:hAnsi="Times New Roman"/>
                <w:sz w:val="16"/>
                <w:szCs w:val="16"/>
                <w:color w:val="auto"/>
              </w:rPr>
              <w:t>Denominator used for earnings per ADS—basic</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285</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275</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w:t>
            </w: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Denominator used for earnings per ADS—diluted</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w:t>
            </w:r>
          </w:p>
        </w:tc>
        <w:tc>
          <w:tcPr>
            <w:tcW w:w="1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w:t>
            </w: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1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Earnings per ADS—basic</w:t>
            </w:r>
          </w:p>
        </w:tc>
        <w:tc>
          <w:tcPr>
            <w:tcW w:w="5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120" w:type="dxa"/>
            <w:vAlign w:val="bottom"/>
            <w:vMerge w:val="continue"/>
          </w:tcPr>
          <w:p>
            <w:pPr>
              <w:spacing w:after="0"/>
              <w:rPr>
                <w:sz w:val="16"/>
                <w:szCs w:val="16"/>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55.83</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66.40</w:t>
            </w: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13.67</w:t>
            </w:r>
          </w:p>
        </w:tc>
        <w:tc>
          <w:tcPr>
            <w:tcW w:w="160" w:type="dxa"/>
            <w:vAlign w:val="bottom"/>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Earnings per ADS—diluted</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55.08</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65.91</w:t>
            </w: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11.78</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The Company did not include the effect of (i) convertible senior notes issued by iQIYI for the year ended December 31, 2025, (ii) certain share options issued by iQIYI and other subsidiaries for the year ended December 31, 2025, and (iii) certain share options issued by certain subsidiaries for the years ended December 31, 2023 and 2024, in the computation of diluted earnings per share, as their effects would be anti-dilutive.</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F-53</w:t>
      </w:r>
    </w:p>
    <w:p>
      <w:pPr>
        <w:sectPr>
          <w:pgSz w:w="11900" w:h="16838" w:orient="portrait"/>
          <w:cols w:equalWidth="0" w:num="1">
            <w:col w:w="11140"/>
          </w:cols>
          <w:pgMar w:left="320" w:top="482" w:right="439" w:bottom="1440" w:gutter="0" w:footer="0" w:header="0"/>
        </w:sectPr>
      </w:pPr>
    </w:p>
    <w:bookmarkStart w:id="279" w:name="page280"/>
    <w:bookmarkEnd w:id="2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45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BAIDU, INC.</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THE YEARS ENDED DECEMBER 31, 2023, 2024 AND 2025</w:t>
      </w:r>
    </w:p>
    <w:p>
      <w:pPr>
        <w:spacing w:after="0" w:line="230" w:lineRule="exact"/>
        <w:rPr>
          <w:sz w:val="20"/>
          <w:szCs w:val="20"/>
          <w:color w:val="auto"/>
        </w:rPr>
      </w:pPr>
    </w:p>
    <w:p>
      <w:pPr>
        <w:ind w:left="540" w:hanging="424"/>
        <w:spacing w:after="0"/>
        <w:tabs>
          <w:tab w:leader="none" w:pos="540" w:val="left"/>
        </w:tabs>
        <w:numPr>
          <w:ilvl w:val="0"/>
          <w:numId w:val="1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AWARDS PLAN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Baidu, Inc.</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2008 Share Incentive plan</w:t>
      </w:r>
    </w:p>
    <w:p>
      <w:pPr>
        <w:spacing w:after="0" w:line="117" w:lineRule="exact"/>
        <w:rPr>
          <w:sz w:val="20"/>
          <w:szCs w:val="20"/>
          <w:color w:val="auto"/>
        </w:rPr>
      </w:pPr>
    </w:p>
    <w:p>
      <w:pPr>
        <w:jc w:val="both"/>
        <w:ind w:left="120" w:right="20"/>
        <w:spacing w:after="0" w:line="256" w:lineRule="auto"/>
        <w:rPr>
          <w:sz w:val="20"/>
          <w:szCs w:val="20"/>
          <w:color w:val="auto"/>
        </w:rPr>
      </w:pPr>
      <w:r>
        <w:rPr>
          <w:rFonts w:ascii="Times New Roman" w:cs="Times New Roman" w:eastAsia="Times New Roman" w:hAnsi="Times New Roman"/>
          <w:sz w:val="18"/>
          <w:szCs w:val="18"/>
          <w:color w:val="auto"/>
        </w:rPr>
        <w:t>In December 2008, the Company adopted a share incentive plan (the “2008 Plan”), which provides for the granting of share incentives, including incentive share options (“ISOs”), restricted shares and any other form of award pursuant to the 2008 Plan, to members of the board, employees, consultants and non-employees of the Company. The Company reserved 274,302,160 Class A ordinary shares for issuance under the 2008 Plan, which expired in the year 2018. The vesting schedule, time and condition to exercise options is determined by the Company’s compensation committee. The term of the options may not exceed ten years from the date of the grant, except that five years is the maximum term of an ISO granted to an employee who holds more than 10% of the voting power of the Company’s share capital.</w:t>
      </w:r>
    </w:p>
    <w:p>
      <w:pPr>
        <w:spacing w:after="0" w:line="10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2018 Share Incentive Plan</w:t>
      </w:r>
    </w:p>
    <w:p>
      <w:pPr>
        <w:spacing w:after="0" w:line="117" w:lineRule="exact"/>
        <w:rPr>
          <w:sz w:val="20"/>
          <w:szCs w:val="20"/>
          <w:color w:val="auto"/>
        </w:rPr>
      </w:pPr>
    </w:p>
    <w:p>
      <w:pPr>
        <w:jc w:val="both"/>
        <w:ind w:left="120" w:right="20"/>
        <w:spacing w:after="0" w:line="261" w:lineRule="auto"/>
        <w:rPr>
          <w:sz w:val="20"/>
          <w:szCs w:val="20"/>
          <w:color w:val="auto"/>
        </w:rPr>
      </w:pPr>
      <w:r>
        <w:rPr>
          <w:rFonts w:ascii="Times New Roman" w:cs="Times New Roman" w:eastAsia="Times New Roman" w:hAnsi="Times New Roman"/>
          <w:sz w:val="18"/>
          <w:szCs w:val="18"/>
          <w:color w:val="auto"/>
        </w:rPr>
        <w:t>In July 2018, the Company adopted a share incentive plan (the “2018 Plan”), which provides for the granting of share incentives, including ISOs, restricted shares and any other form of award pursuant to the 2018 Plan, to members of the board, employees, consultants, and non-employees of the Company. The 2018 Plan has a ten-year term and a maximum number of 275,516,000 Class A ordinary shares available for issuance pursuant to all awards under the 2018 Plan.</w:t>
      </w:r>
    </w:p>
    <w:p>
      <w:pPr>
        <w:spacing w:after="0" w:line="11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2023 Share Incentive Plan</w:t>
      </w:r>
    </w:p>
    <w:p>
      <w:pPr>
        <w:spacing w:after="0" w:line="117" w:lineRule="exact"/>
        <w:rPr>
          <w:sz w:val="20"/>
          <w:szCs w:val="20"/>
          <w:color w:val="auto"/>
        </w:rPr>
      </w:pPr>
    </w:p>
    <w:p>
      <w:pPr>
        <w:jc w:val="both"/>
        <w:ind w:left="120" w:right="20"/>
        <w:spacing w:after="0" w:line="261" w:lineRule="auto"/>
        <w:rPr>
          <w:sz w:val="20"/>
          <w:szCs w:val="20"/>
          <w:color w:val="auto"/>
        </w:rPr>
      </w:pPr>
      <w:r>
        <w:rPr>
          <w:rFonts w:ascii="Times New Roman" w:cs="Times New Roman" w:eastAsia="Times New Roman" w:hAnsi="Times New Roman"/>
          <w:sz w:val="18"/>
          <w:szCs w:val="18"/>
          <w:color w:val="auto"/>
        </w:rPr>
        <w:t>In August 2023, the Company adopted a share incentive plan (the “2023 Plan”), which provides for the granting of ISOs, restricted shares, restricted share units; and any other form of awards granted to a participant pursuant to the 2023 plan to members of the board, employees, and consultants of the Company. The 2023 Plan has a maximum number of 281,230,346 Class A ordinary shares available for issuance pursuant to all awards under the 2023 Plan.</w:t>
      </w:r>
    </w:p>
    <w:p>
      <w:pPr>
        <w:spacing w:after="0" w:line="72" w:lineRule="exact"/>
        <w:rPr>
          <w:sz w:val="20"/>
          <w:szCs w:val="20"/>
          <w:color w:val="auto"/>
        </w:rPr>
      </w:pPr>
    </w:p>
    <w:p>
      <w:pPr>
        <w:jc w:val="both"/>
        <w:ind w:left="120"/>
        <w:spacing w:after="0" w:line="256" w:lineRule="auto"/>
        <w:rPr>
          <w:sz w:val="20"/>
          <w:szCs w:val="20"/>
          <w:color w:val="auto"/>
        </w:rPr>
      </w:pPr>
      <w:r>
        <w:rPr>
          <w:rFonts w:ascii="Times New Roman" w:cs="Times New Roman" w:eastAsia="Times New Roman" w:hAnsi="Times New Roman"/>
          <w:sz w:val="18"/>
          <w:szCs w:val="18"/>
          <w:color w:val="auto"/>
        </w:rPr>
        <w:t>Under the 2008 Plan, the 2018 Plan and the 2023 Plan, the exercise price of an option may be amended or adjusted at the discretion of the compensation committee, the determination of which would be final, binding and conclusive. To the extent not prohibited by applicable laws or exchange rules, a downward adjustment of the exercise prices would be effective without the approval of the Company’s shareholders or the approval of the affected grantees. If the Company grants an ISO to an employee who, at the time of that grant, owns shares representing more than 10% of the voting power of all classes of the Company’s share capital, the exercise price cannot be less than 110% of the fair market value of the Company’s ordinary shares on the date of that grant.</w:t>
      </w:r>
    </w:p>
    <w:p>
      <w:pPr>
        <w:spacing w:after="0" w:line="1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Incentive share options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summarizes the option activity for the year ended December 31, 2025:</w:t>
      </w:r>
    </w:p>
    <w:p>
      <w:pPr>
        <w:spacing w:after="0" w:line="112"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6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46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58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3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40" w:type="dxa"/>
            <w:vAlign w:val="bottom"/>
          </w:tcPr>
          <w:p>
            <w:pPr>
              <w:spacing w:after="0"/>
              <w:rPr>
                <w:sz w:val="12"/>
                <w:szCs w:val="12"/>
                <w:color w:val="auto"/>
              </w:rPr>
            </w:pPr>
          </w:p>
        </w:tc>
        <w:tc>
          <w:tcPr>
            <w:tcW w:w="150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Number of share</w:t>
            </w:r>
          </w:p>
        </w:tc>
        <w:tc>
          <w:tcPr>
            <w:tcW w:w="1580" w:type="dxa"/>
            <w:vAlign w:val="bottom"/>
            <w:gridSpan w:val="2"/>
            <w:vMerge w:val="continue"/>
          </w:tcPr>
          <w:p>
            <w:pPr>
              <w:spacing w:after="0"/>
              <w:rPr>
                <w:sz w:val="12"/>
                <w:szCs w:val="12"/>
                <w:color w:val="auto"/>
              </w:rPr>
            </w:pPr>
          </w:p>
        </w:tc>
        <w:tc>
          <w:tcPr>
            <w:tcW w:w="13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0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9"/>
        </w:trPr>
        <w:tc>
          <w:tcPr>
            <w:tcW w:w="464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58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13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life</w:t>
            </w:r>
          </w:p>
        </w:tc>
        <w:tc>
          <w:tcPr>
            <w:tcW w:w="10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value (US$ in</w:t>
            </w:r>
          </w:p>
        </w:tc>
        <w:tc>
          <w:tcPr>
            <w:tcW w:w="0" w:type="dxa"/>
            <w:vAlign w:val="bottom"/>
          </w:tcPr>
          <w:p>
            <w:pPr>
              <w:spacing w:after="0"/>
              <w:rPr>
                <w:sz w:val="1"/>
                <w:szCs w:val="1"/>
                <w:color w:val="auto"/>
              </w:rPr>
            </w:pPr>
          </w:p>
        </w:tc>
      </w:tr>
      <w:tr>
        <w:trPr>
          <w:trHeight w:val="173"/>
        </w:trPr>
        <w:tc>
          <w:tcPr>
            <w:tcW w:w="4640" w:type="dxa"/>
            <w:vAlign w:val="bottom"/>
          </w:tcPr>
          <w:p>
            <w:pPr>
              <w:spacing w:after="0"/>
              <w:rPr>
                <w:sz w:val="15"/>
                <w:szCs w:val="15"/>
                <w:color w:val="auto"/>
              </w:rPr>
            </w:pPr>
          </w:p>
        </w:tc>
        <w:tc>
          <w:tcPr>
            <w:tcW w:w="150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5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9"/>
              </w:rPr>
              <w:t>(US$)</w:t>
            </w: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10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millions)</w:t>
            </w:r>
          </w:p>
        </w:tc>
        <w:tc>
          <w:tcPr>
            <w:tcW w:w="0" w:type="dxa"/>
            <w:vAlign w:val="bottom"/>
          </w:tcPr>
          <w:p>
            <w:pPr>
              <w:spacing w:after="0"/>
              <w:rPr>
                <w:sz w:val="1"/>
                <w:szCs w:val="1"/>
                <w:color w:val="auto"/>
              </w:rPr>
            </w:pPr>
          </w:p>
        </w:tc>
      </w:tr>
      <w:tr>
        <w:trPr>
          <w:trHeight w:val="196"/>
        </w:trPr>
        <w:tc>
          <w:tcPr>
            <w:tcW w:w="46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Incentive share options</w:t>
            </w:r>
          </w:p>
        </w:tc>
        <w:tc>
          <w:tcPr>
            <w:tcW w:w="10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Outstanding, December 31, 2024</w:t>
            </w:r>
          </w:p>
        </w:tc>
        <w:tc>
          <w:tcPr>
            <w:tcW w:w="15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16,363,784</w:t>
            </w: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              19*</w:t>
            </w:r>
          </w:p>
        </w:tc>
        <w:tc>
          <w:tcPr>
            <w:tcW w:w="13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w w:val="98"/>
              </w:rPr>
              <w:t>              3.4</w:t>
            </w:r>
          </w:p>
        </w:tc>
        <w:tc>
          <w:tcPr>
            <w:tcW w:w="10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0"/>
              </w:rPr>
              <w:t>              — </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w:t>
            </w:r>
          </w:p>
        </w:tc>
        <w:tc>
          <w:tcPr>
            <w:tcW w:w="15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744,768</w:t>
            </w:r>
          </w:p>
        </w:tc>
        <w:tc>
          <w:tcPr>
            <w:tcW w:w="15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11*</w:t>
            </w:r>
          </w:p>
        </w:tc>
        <w:tc>
          <w:tcPr>
            <w:tcW w:w="9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15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(1,336,600)</w:t>
            </w: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12*</w:t>
            </w: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Forfeited/Cancelled</w:t>
            </w:r>
          </w:p>
        </w:tc>
        <w:tc>
          <w:tcPr>
            <w:tcW w:w="15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(5,731,800)</w:t>
            </w:r>
          </w:p>
        </w:tc>
        <w:tc>
          <w:tcPr>
            <w:tcW w:w="15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25*</w:t>
            </w:r>
          </w:p>
        </w:tc>
        <w:tc>
          <w:tcPr>
            <w:tcW w:w="9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Outstanding, December 31, 2025</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10,040,152</w:t>
            </w:r>
          </w:p>
        </w:tc>
        <w:tc>
          <w:tcPr>
            <w:tcW w:w="420" w:type="dxa"/>
            <w:vAlign w:val="bottom"/>
          </w:tcPr>
          <w:p>
            <w:pPr>
              <w:spacing w:after="0"/>
              <w:rPr>
                <w:sz w:val="19"/>
                <w:szCs w:val="19"/>
                <w:color w:val="auto"/>
              </w:rPr>
            </w:pP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16*</w:t>
            </w:r>
          </w:p>
        </w:tc>
        <w:tc>
          <w:tcPr>
            <w:tcW w:w="13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3.7</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and expected to vest at December 31, 2025</w:t>
            </w:r>
          </w:p>
        </w:tc>
        <w:tc>
          <w:tcPr>
            <w:tcW w:w="15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9,908,816</w:t>
            </w:r>
          </w:p>
        </w:tc>
        <w:tc>
          <w:tcPr>
            <w:tcW w:w="15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16*</w:t>
            </w:r>
          </w:p>
        </w:tc>
        <w:tc>
          <w:tcPr>
            <w:tcW w:w="13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3.6</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4"/>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Exercisable at December 31, 2025</w:t>
            </w:r>
          </w:p>
        </w:tc>
        <w:tc>
          <w:tcPr>
            <w:tcW w:w="15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9,263,816</w:t>
            </w: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17*</w:t>
            </w:r>
          </w:p>
        </w:tc>
        <w:tc>
          <w:tcPr>
            <w:tcW w:w="13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3.2</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540" w:hanging="424"/>
        <w:spacing w:after="0"/>
        <w:tabs>
          <w:tab w:leader="none" w:pos="54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exercise price per Class A ordinary share, and each ADS represents eight Class A ordinary shares.</w:t>
      </w:r>
    </w:p>
    <w:p>
      <w:pPr>
        <w:spacing w:after="0" w:line="117"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Total intrinsic value of options exercised for the years ended December 31, 2023, 2024 and 2025 was RMB64 million, nil and RMB35 million (US$5 million), respectively. The total fair value of options vested during the years ended December 31, 2023, 2024 and 2025 was RMB85 million, RMB36 million and RMB35 million (US$5 million), respectively.</w:t>
      </w:r>
    </w:p>
    <w:p>
      <w:pPr>
        <w:spacing w:after="0" w:line="68" w:lineRule="exact"/>
        <w:rPr>
          <w:sz w:val="20"/>
          <w:szCs w:val="20"/>
          <w:color w:val="auto"/>
        </w:rPr>
      </w:pPr>
    </w:p>
    <w:p>
      <w:pPr>
        <w:jc w:val="both"/>
        <w:ind w:left="120" w:right="20"/>
        <w:spacing w:after="0" w:line="261" w:lineRule="auto"/>
        <w:rPr>
          <w:sz w:val="20"/>
          <w:szCs w:val="20"/>
          <w:color w:val="auto"/>
        </w:rPr>
      </w:pPr>
      <w:r>
        <w:rPr>
          <w:rFonts w:ascii="Times New Roman" w:cs="Times New Roman" w:eastAsia="Times New Roman" w:hAnsi="Times New Roman"/>
          <w:sz w:val="18"/>
          <w:szCs w:val="18"/>
          <w:color w:val="auto"/>
        </w:rPr>
        <w:t>Share options are usually subject to vesting schedules ranging from two to four years. As of December 31, 2025, RMB21 million (US$3 million) of unrecognized share-based compensation cost related to share options is expected to be recognized over a weighted-average vesting period of 3.1 years. To the extent the actual forfeiture rate is different from the original estimate, actual share-based compensation costs related to these awards may be different from expectation.</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F-54</w:t>
      </w:r>
    </w:p>
    <w:p>
      <w:pPr>
        <w:sectPr>
          <w:pgSz w:w="11900" w:h="16838" w:orient="portrait"/>
          <w:cols w:equalWidth="0" w:num="1">
            <w:col w:w="11140"/>
          </w:cols>
          <w:pgMar w:left="320" w:top="482" w:right="439" w:bottom="1440" w:gutter="0" w:footer="0" w:header="0"/>
        </w:sectPr>
      </w:pPr>
    </w:p>
    <w:bookmarkStart w:id="280" w:name="page281"/>
    <w:bookmarkEnd w:id="2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45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BAIDU, INC.</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THE YEARS ENDED DECEMBER 31, 2023, 2024 AND 2025</w:t>
      </w:r>
    </w:p>
    <w:p>
      <w:pPr>
        <w:spacing w:after="0" w:line="234"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The fair value of each option award was estimated on the date of grant using the Black-Scholes-Merton valuation model. The volatility assumption was estimated based on historical volatility of the Company’s share price applying the guidance provided by ASC 718. Assumptions of the expected term were based on the vesting and contractual terms and employee demographics. The risk-free rate for periods within the contractual life of the option is based on the U.S. Treasury yield curve in effect at the time of grant.</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presents the assumptions used to estimate the fair values of the share options granted in the years presented:</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7020" w:type="dxa"/>
            <w:vAlign w:val="bottom"/>
          </w:tcPr>
          <w:p>
            <w:pPr>
              <w:spacing w:after="0"/>
              <w:rPr>
                <w:sz w:val="13"/>
                <w:szCs w:val="13"/>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years ended</w:t>
            </w:r>
          </w:p>
        </w:tc>
      </w:tr>
      <w:tr>
        <w:trPr>
          <w:trHeight w:val="173"/>
        </w:trPr>
        <w:tc>
          <w:tcPr>
            <w:tcW w:w="7020" w:type="dxa"/>
            <w:vAlign w:val="bottom"/>
          </w:tcPr>
          <w:p>
            <w:pPr>
              <w:spacing w:after="0"/>
              <w:rPr>
                <w:sz w:val="15"/>
                <w:szCs w:val="15"/>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7020" w:type="dxa"/>
            <w:vAlign w:val="bottom"/>
            <w:tcBorders>
              <w:bottom w:val="single" w:sz="8" w:color="CCEEFF"/>
            </w:tcBorders>
          </w:tcPr>
          <w:p>
            <w:pPr>
              <w:spacing w:after="0"/>
              <w:rPr>
                <w:sz w:val="12"/>
                <w:szCs w:val="12"/>
                <w:color w:val="auto"/>
              </w:rPr>
            </w:pPr>
          </w:p>
        </w:tc>
        <w:tc>
          <w:tcPr>
            <w:tcW w:w="134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209"/>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3.86~4.35%</w:t>
            </w:r>
          </w:p>
        </w:tc>
      </w:tr>
      <w:tr>
        <w:trPr>
          <w:trHeight w:val="216"/>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1"/>
              </w:rPr>
              <w:t>— </w:t>
            </w:r>
          </w:p>
        </w:tc>
      </w:tr>
      <w:tr>
        <w:trPr>
          <w:trHeight w:val="216"/>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 range</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51.11%~51.64%</w:t>
            </w:r>
          </w:p>
        </w:tc>
      </w:tr>
      <w:tr>
        <w:trPr>
          <w:trHeight w:val="234"/>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5.19~5.65</w:t>
            </w:r>
          </w:p>
        </w:tc>
      </w:tr>
    </w:tbl>
    <w:p>
      <w:pPr>
        <w:spacing w:after="0" w:line="1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Note: The company didn’t grant share options in 2023 and 2024.</w:t>
      </w:r>
    </w:p>
    <w:p>
      <w:pPr>
        <w:spacing w:after="0" w:line="227"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In addition, the Company recognizes share-based compensation expense net of estimated forfeiture for shares expected to vest over the service period of the award. Estimated forfeiture rates are primarily based on historical experience of employee turnover.</w:t>
      </w:r>
    </w:p>
    <w:p>
      <w:pPr>
        <w:spacing w:after="0" w:line="162" w:lineRule="exact"/>
        <w:rPr>
          <w:sz w:val="20"/>
          <w:szCs w:val="20"/>
          <w:color w:val="auto"/>
        </w:rPr>
      </w:pPr>
    </w:p>
    <w:p>
      <w:pPr>
        <w:jc w:val="both"/>
        <w:ind w:left="120"/>
        <w:spacing w:after="0" w:line="282" w:lineRule="auto"/>
        <w:rPr>
          <w:sz w:val="20"/>
          <w:szCs w:val="20"/>
          <w:color w:val="auto"/>
        </w:rPr>
      </w:pPr>
      <w:r>
        <w:rPr>
          <w:rFonts w:ascii="Times New Roman" w:cs="Times New Roman" w:eastAsia="Times New Roman" w:hAnsi="Times New Roman"/>
          <w:sz w:val="18"/>
          <w:szCs w:val="18"/>
          <w:color w:val="auto"/>
        </w:rPr>
        <w:t>The exercise price of options granted during the year ended December 31, 2025 equaled the market price of the ordinary shares on the grant date. The weighted-average grant-date fair value of options granted during the year ended December 31, 2025 was US$6.</w:t>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Restricted Shares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Restricted Shares activity for the year ended December 31, 2025 was as follow:</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540" w:type="dxa"/>
            <w:vAlign w:val="bottom"/>
          </w:tcPr>
          <w:p>
            <w:pPr>
              <w:spacing w:after="0"/>
              <w:rPr>
                <w:sz w:val="13"/>
                <w:szCs w:val="13"/>
                <w:color w:val="auto"/>
              </w:rPr>
            </w:pPr>
          </w:p>
        </w:tc>
        <w:tc>
          <w:tcPr>
            <w:tcW w:w="2000" w:type="dxa"/>
            <w:vAlign w:val="bottom"/>
            <w:gridSpan w:val="3"/>
          </w:tcPr>
          <w:p>
            <w:pPr>
              <w:jc w:val="right"/>
              <w:ind w:right="12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8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Weighted average grant date</w:t>
            </w:r>
          </w:p>
        </w:tc>
      </w:tr>
      <w:tr>
        <w:trPr>
          <w:trHeight w:val="173"/>
        </w:trPr>
        <w:tc>
          <w:tcPr>
            <w:tcW w:w="4540" w:type="dxa"/>
            <w:vAlign w:val="bottom"/>
          </w:tcPr>
          <w:p>
            <w:pPr>
              <w:spacing w:after="0"/>
              <w:rPr>
                <w:sz w:val="15"/>
                <w:szCs w:val="15"/>
                <w:color w:val="auto"/>
              </w:rPr>
            </w:pPr>
          </w:p>
        </w:tc>
        <w:tc>
          <w:tcPr>
            <w:tcW w:w="2000" w:type="dxa"/>
            <w:vAlign w:val="bottom"/>
            <w:gridSpan w:val="3"/>
          </w:tcPr>
          <w:p>
            <w:pPr>
              <w:jc w:val="right"/>
              <w:ind w:right="13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fair value (US$)</w:t>
            </w:r>
          </w:p>
        </w:tc>
      </w:tr>
      <w:tr>
        <w:trPr>
          <w:trHeight w:val="196"/>
        </w:trPr>
        <w:tc>
          <w:tcPr>
            <w:tcW w:w="45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Restricted Shares</w:t>
            </w:r>
          </w:p>
        </w:tc>
        <w:tc>
          <w:tcPr>
            <w:tcW w:w="9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CCEEFF"/>
            </w:tcBorders>
            <w:shd w:val="clear" w:color="auto" w:fill="CCEEFF"/>
          </w:tcPr>
          <w:p>
            <w:pPr>
              <w:spacing w:after="0"/>
              <w:rPr>
                <w:sz w:val="17"/>
                <w:szCs w:val="17"/>
                <w:color w:val="auto"/>
              </w:rPr>
            </w:pPr>
          </w:p>
        </w:tc>
        <w:tc>
          <w:tcPr>
            <w:tcW w:w="17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Unvested, December 31, 2024</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82,321,904</w:t>
            </w:r>
          </w:p>
        </w:tc>
        <w:tc>
          <w:tcPr>
            <w:tcW w:w="1040" w:type="dxa"/>
            <w:vAlign w:val="bottom"/>
          </w:tcPr>
          <w:p>
            <w:pPr>
              <w:spacing w:after="0"/>
              <w:rPr>
                <w:sz w:val="18"/>
                <w:szCs w:val="18"/>
                <w:color w:val="auto"/>
              </w:rPr>
            </w:pPr>
          </w:p>
        </w:tc>
        <w:tc>
          <w:tcPr>
            <w:tcW w:w="1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15</w:t>
            </w: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55,790,824</w:t>
            </w:r>
          </w:p>
        </w:tc>
        <w:tc>
          <w:tcPr>
            <w:tcW w:w="10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2000" w:type="dxa"/>
            <w:vAlign w:val="bottom"/>
            <w:gridSpan w:val="3"/>
          </w:tcPr>
          <w:p>
            <w:pPr>
              <w:jc w:val="right"/>
              <w:ind w:right="1000"/>
              <w:spacing w:after="0"/>
              <w:rPr>
                <w:sz w:val="20"/>
                <w:szCs w:val="20"/>
                <w:color w:val="auto"/>
              </w:rPr>
            </w:pPr>
            <w:r>
              <w:rPr>
                <w:rFonts w:ascii="Times New Roman" w:cs="Times New Roman" w:eastAsia="Times New Roman" w:hAnsi="Times New Roman"/>
                <w:sz w:val="18"/>
                <w:szCs w:val="18"/>
                <w:color w:val="auto"/>
              </w:rPr>
              <w:t>(29,623,776)</w:t>
            </w:r>
          </w:p>
        </w:tc>
        <w:tc>
          <w:tcPr>
            <w:tcW w:w="1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Forfeited/Cancelled</w:t>
            </w:r>
          </w:p>
        </w:tc>
        <w:tc>
          <w:tcPr>
            <w:tcW w:w="2000" w:type="dxa"/>
            <w:vAlign w:val="bottom"/>
            <w:gridSpan w:val="3"/>
            <w:shd w:val="clear" w:color="auto" w:fill="CCEEFF"/>
          </w:tcPr>
          <w:p>
            <w:pPr>
              <w:jc w:val="right"/>
              <w:ind w:right="1000"/>
              <w:spacing w:after="0"/>
              <w:rPr>
                <w:sz w:val="20"/>
                <w:szCs w:val="20"/>
                <w:color w:val="auto"/>
              </w:rPr>
            </w:pPr>
            <w:r>
              <w:rPr>
                <w:rFonts w:ascii="Times New Roman" w:cs="Times New Roman" w:eastAsia="Times New Roman" w:hAnsi="Times New Roman"/>
                <w:sz w:val="18"/>
                <w:szCs w:val="18"/>
                <w:color w:val="auto"/>
              </w:rPr>
              <w:t>(14,428,184)</w:t>
            </w:r>
          </w:p>
        </w:tc>
        <w:tc>
          <w:tcPr>
            <w:tcW w:w="1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r>
      <w:tr>
        <w:trPr>
          <w:trHeight w:val="223"/>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Unvested, December 31, 2025</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94,060,768</w:t>
            </w:r>
          </w:p>
        </w:tc>
        <w:tc>
          <w:tcPr>
            <w:tcW w:w="20" w:type="dxa"/>
            <w:vAlign w:val="bottom"/>
            <w:tcBorders>
              <w:bottom w:val="single" w:sz="8" w:color="auto"/>
            </w:tcBorders>
          </w:tcPr>
          <w:p>
            <w:pPr>
              <w:spacing w:after="0"/>
              <w:rPr>
                <w:sz w:val="19"/>
                <w:szCs w:val="19"/>
                <w:color w:val="auto"/>
              </w:rPr>
            </w:pPr>
          </w:p>
        </w:tc>
        <w:tc>
          <w:tcPr>
            <w:tcW w:w="1040" w:type="dxa"/>
            <w:vAlign w:val="bottom"/>
          </w:tcPr>
          <w:p>
            <w:pPr>
              <w:spacing w:after="0"/>
              <w:rPr>
                <w:sz w:val="19"/>
                <w:szCs w:val="19"/>
                <w:color w:val="auto"/>
              </w:rPr>
            </w:pPr>
          </w:p>
        </w:tc>
        <w:tc>
          <w:tcPr>
            <w:tcW w:w="1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r>
      <w:tr>
        <w:trPr>
          <w:trHeight w:val="20"/>
        </w:trPr>
        <w:tc>
          <w:tcPr>
            <w:tcW w:w="45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The total fair value of the restricted shares vested during the years ended December 31, 2023, 2024 and 2025 was RMB6.1 billion, RMB4.4 billion and RMB3.4 billion (US$483 million), respectively. The weighted-average grant-date fair value of the Restricted Shares granted during the years ended December 31, 2023, 2024 and 2025 was US$17, US$11 and US$11, respectively.</w:t>
      </w:r>
    </w:p>
    <w:p>
      <w:pPr>
        <w:spacing w:after="0" w:line="176" w:lineRule="exact"/>
        <w:rPr>
          <w:sz w:val="20"/>
          <w:szCs w:val="20"/>
          <w:color w:val="auto"/>
        </w:rPr>
      </w:pPr>
    </w:p>
    <w:p>
      <w:pPr>
        <w:jc w:val="both"/>
        <w:ind w:left="120"/>
        <w:spacing w:after="0" w:line="258" w:lineRule="auto"/>
        <w:rPr>
          <w:sz w:val="20"/>
          <w:szCs w:val="20"/>
          <w:color w:val="auto"/>
        </w:rPr>
      </w:pPr>
      <w:r>
        <w:rPr>
          <w:rFonts w:ascii="Times New Roman" w:cs="Times New Roman" w:eastAsia="Times New Roman" w:hAnsi="Times New Roman"/>
          <w:sz w:val="18"/>
          <w:szCs w:val="18"/>
          <w:color w:val="auto"/>
        </w:rPr>
        <w:t>As of December 31, 2025, there was RMB3.8 billion (US$548 million) of unrecognized share-based compensation cost related to restricted shares, which is expected to be recognized over a weighted-average vesting period of 2.9 years. To the extent the actual forfeiture rate is different from the original estimate, the actual share-based compensation costs related to these awards may be different from expectation. To the extent the Company revises this estimate in the future, share-based compensation expense could be materially impacted in the year of revision, as well as in the following years.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F-55</w:t>
      </w:r>
    </w:p>
    <w:p>
      <w:pPr>
        <w:sectPr>
          <w:pgSz w:w="11900" w:h="16838" w:orient="portrait"/>
          <w:cols w:equalWidth="0" w:num="1">
            <w:col w:w="11140"/>
          </w:cols>
          <w:pgMar w:left="320" w:top="482" w:right="439" w:bottom="1440" w:gutter="0" w:footer="0" w:header="0"/>
        </w:sectPr>
      </w:pPr>
    </w:p>
    <w:bookmarkStart w:id="281" w:name="page282"/>
    <w:bookmarkEnd w:id="2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45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BAIDU, INC.</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THE YEARS ENDED DECEMBER 31, 2023, 2024 AND 2025</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Subsidiaries-iQIYI</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2010 Equity Incentive Plan</w:t>
      </w:r>
    </w:p>
    <w:p>
      <w:pPr>
        <w:spacing w:after="0" w:line="117" w:lineRule="exact"/>
        <w:rPr>
          <w:sz w:val="20"/>
          <w:szCs w:val="20"/>
          <w:color w:val="auto"/>
        </w:rPr>
      </w:pPr>
    </w:p>
    <w:p>
      <w:pPr>
        <w:jc w:val="both"/>
        <w:ind w:left="120"/>
        <w:spacing w:after="0" w:line="258" w:lineRule="auto"/>
        <w:rPr>
          <w:sz w:val="20"/>
          <w:szCs w:val="20"/>
          <w:color w:val="auto"/>
        </w:rPr>
      </w:pPr>
      <w:r>
        <w:rPr>
          <w:rFonts w:ascii="Times New Roman" w:cs="Times New Roman" w:eastAsia="Times New Roman" w:hAnsi="Times New Roman"/>
          <w:sz w:val="18"/>
          <w:szCs w:val="18"/>
          <w:color w:val="auto"/>
        </w:rPr>
        <w:t>On October 18, 2010, iQIYI adopted its 2010 Equity Incentive Plan (the “iQIYI 2010 Plan”), which permits the grant of restricted shares, options and share appreciation rights to the employees, directors, officers and consultants of iQIYI. Under the iQIYI 2010 plan, a total of 58,875,478 iQIYI’s ordinary shares were initially reserved for issuance and subsequently increased to 589,729,714 iQIYI’s ordinary shares. The iQIYI 2010 Plan is valid and effective for an original term of ten years, and further extended to twenty years on September 15, 2020 commencing from its adoption. Except for service conditions, there were no other vesting conditions for all the awards under the iQIYI 2010 Plan. All options vest over a four-year period.</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2021 Equity Incentive Plan</w:t>
      </w:r>
    </w:p>
    <w:p>
      <w:pPr>
        <w:spacing w:after="0" w:line="117" w:lineRule="exact"/>
        <w:rPr>
          <w:sz w:val="20"/>
          <w:szCs w:val="20"/>
          <w:color w:val="auto"/>
        </w:rPr>
      </w:pPr>
    </w:p>
    <w:p>
      <w:pPr>
        <w:jc w:val="both"/>
        <w:ind w:left="120"/>
        <w:spacing w:after="0" w:line="255" w:lineRule="auto"/>
        <w:rPr>
          <w:sz w:val="20"/>
          <w:szCs w:val="20"/>
          <w:color w:val="auto"/>
        </w:rPr>
      </w:pPr>
      <w:r>
        <w:rPr>
          <w:rFonts w:ascii="Times New Roman" w:cs="Times New Roman" w:eastAsia="Times New Roman" w:hAnsi="Times New Roman"/>
          <w:sz w:val="18"/>
          <w:szCs w:val="18"/>
          <w:color w:val="auto"/>
        </w:rPr>
        <w:t>On December 2, 2021, iQIYI adopted its 2021 Equity Incentive Plan (the “iQIYI 2021 Plan”), which permits the grant of restricted shares units and options to the directors, employees, consultants and other individuals of iQIYI. Under the iQIYI 2021 Plan, the maximum aggregate number of ordinary shares which may be issued pursuant to all awards shall initially be 364,000,000 iQIYI’s ordinary shares, provided that if restricted share units or options with US$0 exercise price are granted, each restricted share unit and option with US$0 exercise price (that entitles the holder to one ordinary share) granted shall reduce the number of ordinary shares under the iQIYI 2021 Plan available for future grants by 1.3 ordinary shares. The iQIYI 2021 Plan is valid and effective for a term of ten years commencing from its adoption. Except for service conditions, there were no other vesting conditions for all the awards under the iQIYI 2021 Plan. All options vest over a four-year period.</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2024 Equity Incentive Plan</w:t>
      </w:r>
    </w:p>
    <w:p>
      <w:pPr>
        <w:spacing w:after="0" w:line="117" w:lineRule="exact"/>
        <w:rPr>
          <w:sz w:val="20"/>
          <w:szCs w:val="20"/>
          <w:color w:val="auto"/>
        </w:rPr>
      </w:pPr>
    </w:p>
    <w:p>
      <w:pPr>
        <w:jc w:val="both"/>
        <w:ind w:left="120" w:right="20"/>
        <w:spacing w:after="0" w:line="258" w:lineRule="auto"/>
        <w:rPr>
          <w:sz w:val="20"/>
          <w:szCs w:val="20"/>
          <w:color w:val="auto"/>
        </w:rPr>
      </w:pPr>
      <w:r>
        <w:rPr>
          <w:rFonts w:ascii="Times New Roman" w:cs="Times New Roman" w:eastAsia="Times New Roman" w:hAnsi="Times New Roman"/>
          <w:sz w:val="18"/>
          <w:szCs w:val="18"/>
          <w:color w:val="auto"/>
        </w:rPr>
        <w:t>On May 8, 2024, iQIYI adopted its 2024 Equity Incentive Plan (the “iQIYI’s 2024 Plan”), which permits the grant of restricted shares units and options to the directors, employees, consultants and other individuals of iQIYI. Under the iQIYI 2024 Plan, the maximum aggregate number of ordinary shares which may be issued pursuant to all awards shall initially be 350,000,000 iQIYI’s ordinary shares. The iQIYI 2024 Plan is valid and effective for a term of ten years commencing from its adoption. Except for service conditions, there were no other vesting conditions for all the awards under the iQIYI 2024 Plan. All options vest over a four-year period.</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sets forth the summary of employee option activity for the year ended December 31, 2025:</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3"/>
                <w:szCs w:val="13"/>
                <w:color w:val="auto"/>
              </w:rPr>
            </w:pPr>
          </w:p>
        </w:tc>
        <w:tc>
          <w:tcPr>
            <w:tcW w:w="92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0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20" w:type="dxa"/>
            <w:vAlign w:val="bottom"/>
          </w:tcPr>
          <w:p>
            <w:pPr>
              <w:spacing w:after="0"/>
              <w:rPr>
                <w:sz w:val="12"/>
                <w:szCs w:val="12"/>
                <w:color w:val="auto"/>
              </w:rPr>
            </w:pPr>
          </w:p>
        </w:tc>
        <w:tc>
          <w:tcPr>
            <w:tcW w:w="9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10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life</w:t>
            </w:r>
          </w:p>
        </w:tc>
        <w:tc>
          <w:tcPr>
            <w:tcW w:w="120" w:type="dxa"/>
            <w:vAlign w:val="bottom"/>
          </w:tcPr>
          <w:p>
            <w:pPr>
              <w:spacing w:after="0"/>
              <w:rPr>
                <w:sz w:val="12"/>
                <w:szCs w:val="12"/>
                <w:color w:val="auto"/>
              </w:rPr>
            </w:pPr>
          </w:p>
        </w:tc>
        <w:tc>
          <w:tcPr>
            <w:tcW w:w="9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value (US$ in</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64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share options</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(US$)</w:t>
            </w:r>
          </w:p>
        </w:tc>
        <w:tc>
          <w:tcPr>
            <w:tcW w:w="26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millions)</w:t>
            </w:r>
          </w:p>
        </w:tc>
        <w:tc>
          <w:tcPr>
            <w:tcW w:w="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December 31, 2024</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578,455,922</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0.28</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76,706,000</w:t>
            </w:r>
          </w:p>
        </w:tc>
        <w:tc>
          <w:tcPr>
            <w:tcW w:w="13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0.01</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Forfeited/Expired</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(26,876,122)</w:t>
            </w:r>
          </w:p>
        </w:tc>
        <w:tc>
          <w:tcPr>
            <w:tcW w:w="13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0.24</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(14,490,399)</w:t>
            </w:r>
          </w:p>
        </w:tc>
        <w:tc>
          <w:tcPr>
            <w:tcW w:w="13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0.00</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December 31, 2025</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613,795,401</w:t>
            </w:r>
          </w:p>
        </w:tc>
        <w:tc>
          <w:tcPr>
            <w:tcW w:w="8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0.25</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w:t>
            </w:r>
          </w:p>
        </w:tc>
        <w:tc>
          <w:tcPr>
            <w:tcW w:w="10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0"/>
        </w:trPr>
        <w:tc>
          <w:tcPr>
            <w:tcW w:w="56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Vested and expected to vest at December 31, 2025</w:t>
            </w:r>
          </w:p>
        </w:tc>
        <w:tc>
          <w:tcPr>
            <w:tcW w:w="1040" w:type="dxa"/>
            <w:vAlign w:val="bottom"/>
            <w:gridSpan w:val="2"/>
          </w:tcPr>
          <w:p>
            <w:pPr>
              <w:spacing w:after="0" w:line="20" w:lineRule="exact"/>
              <w:rPr>
                <w:sz w:val="1"/>
                <w:szCs w:val="1"/>
                <w:color w:val="auto"/>
              </w:rPr>
            </w:pPr>
          </w:p>
        </w:tc>
        <w:tc>
          <w:tcPr>
            <w:tcW w:w="132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8"/>
                <w:szCs w:val="18"/>
                <w:color w:val="auto"/>
              </w:rPr>
              <w:t>0.26</w:t>
            </w:r>
          </w:p>
        </w:tc>
        <w:tc>
          <w:tcPr>
            <w:tcW w:w="10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5.9</w:t>
            </w:r>
          </w:p>
        </w:tc>
        <w:tc>
          <w:tcPr>
            <w:tcW w:w="104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line="20" w:lineRule="exact"/>
              <w:rPr>
                <w:sz w:val="1"/>
                <w:szCs w:val="1"/>
                <w:color w:val="auto"/>
              </w:rPr>
            </w:pPr>
          </w:p>
        </w:tc>
      </w:tr>
      <w:tr>
        <w:trPr>
          <w:trHeight w:val="210"/>
        </w:trPr>
        <w:tc>
          <w:tcPr>
            <w:tcW w:w="5660" w:type="dxa"/>
            <w:vAlign w:val="bottom"/>
            <w:gridSpan w:val="2"/>
            <w:vMerge w:val="continue"/>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597,060,358</w:t>
            </w:r>
          </w:p>
        </w:tc>
        <w:tc>
          <w:tcPr>
            <w:tcW w:w="80" w:type="dxa"/>
            <w:vAlign w:val="bottom"/>
          </w:tcPr>
          <w:p>
            <w:pPr>
              <w:spacing w:after="0"/>
              <w:rPr>
                <w:sz w:val="18"/>
                <w:szCs w:val="18"/>
                <w:color w:val="auto"/>
              </w:rPr>
            </w:pPr>
          </w:p>
        </w:tc>
        <w:tc>
          <w:tcPr>
            <w:tcW w:w="1320" w:type="dxa"/>
            <w:vAlign w:val="bottom"/>
            <w:gridSpan w:val="3"/>
            <w:vMerge w:val="continue"/>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04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at December 31, 2025</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419,870,276</w:t>
            </w:r>
          </w:p>
        </w:tc>
        <w:tc>
          <w:tcPr>
            <w:tcW w:w="13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0.36</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w:t>
            </w:r>
          </w:p>
        </w:tc>
        <w:tc>
          <w:tcPr>
            <w:tcW w:w="10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As of December 31, 2025, there was RMB450 million (US$64 million) of unrecognized share-based compensation cost related to share options granted by iQIYI which is expected to be recognized over a weighted-average period of 2.1 years.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F-56</w:t>
      </w:r>
    </w:p>
    <w:p>
      <w:pPr>
        <w:sectPr>
          <w:pgSz w:w="11900" w:h="16838" w:orient="portrait"/>
          <w:cols w:equalWidth="0" w:num="1">
            <w:col w:w="11140"/>
          </w:cols>
          <w:pgMar w:left="320" w:top="482" w:right="439" w:bottom="1440" w:gutter="0" w:footer="0" w:header="0"/>
        </w:sectPr>
      </w:pPr>
    </w:p>
    <w:bookmarkStart w:id="282" w:name="page283"/>
    <w:bookmarkEnd w:id="2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45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BAIDU, INC.</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THE YEARS ENDED DECEMBER 31, 2023, 2024 AND 2025</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Subsidiaries</w:t>
      </w:r>
    </w:p>
    <w:p>
      <w:pPr>
        <w:spacing w:after="0" w:line="121" w:lineRule="exact"/>
        <w:rPr>
          <w:sz w:val="20"/>
          <w:szCs w:val="20"/>
          <w:color w:val="auto"/>
        </w:rPr>
      </w:pPr>
    </w:p>
    <w:p>
      <w:pPr>
        <w:jc w:val="both"/>
        <w:ind w:left="120" w:right="20"/>
        <w:spacing w:after="0" w:line="261" w:lineRule="auto"/>
        <w:rPr>
          <w:sz w:val="20"/>
          <w:szCs w:val="20"/>
          <w:color w:val="auto"/>
        </w:rPr>
      </w:pPr>
      <w:r>
        <w:rPr>
          <w:rFonts w:ascii="Times New Roman" w:cs="Times New Roman" w:eastAsia="Times New Roman" w:hAnsi="Times New Roman"/>
          <w:sz w:val="18"/>
          <w:szCs w:val="18"/>
          <w:color w:val="auto"/>
        </w:rPr>
        <w:t>In 2025, several subsidiaries of the Company have granted restricted shares and share options tied to the valuation of the subsidiaries to the employees of the Company, which will be settled by the subsidiaries upon vesting or exercise of these awards. These awards are generally subject to a four-year vesting schedule as determined by the administrator of the plan. During the year ended December 31, 2025, the expenses recognized in respect of the share-based awards relating to these subsidiaries are insignificant.</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summarizes the total share-based compensation cost recognized by the Group:</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7600" w:type="dxa"/>
            <w:vAlign w:val="bottom"/>
          </w:tcPr>
          <w:p>
            <w:pPr>
              <w:spacing w:after="0"/>
              <w:rPr>
                <w:sz w:val="15"/>
                <w:szCs w:val="15"/>
                <w:color w:val="auto"/>
              </w:rPr>
            </w:pPr>
          </w:p>
        </w:tc>
        <w:tc>
          <w:tcPr>
            <w:tcW w:w="2520" w:type="dxa"/>
            <w:vAlign w:val="bottom"/>
            <w:gridSpan w:val="9"/>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r>
      <w:tr>
        <w:trPr>
          <w:trHeight w:val="142"/>
        </w:trPr>
        <w:tc>
          <w:tcPr>
            <w:tcW w:w="760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1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r>
      <w:tr>
        <w:trPr>
          <w:trHeight w:val="117"/>
        </w:trPr>
        <w:tc>
          <w:tcPr>
            <w:tcW w:w="7600" w:type="dxa"/>
            <w:vAlign w:val="bottom"/>
          </w:tcPr>
          <w:p>
            <w:pPr>
              <w:spacing w:after="0"/>
              <w:rPr>
                <w:sz w:val="10"/>
                <w:szCs w:val="10"/>
                <w:color w:val="auto"/>
              </w:rPr>
            </w:pPr>
          </w:p>
        </w:tc>
        <w:tc>
          <w:tcPr>
            <w:tcW w:w="46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260" w:type="dxa"/>
            <w:vAlign w:val="bottom"/>
            <w:gridSpan w:val="2"/>
          </w:tcPr>
          <w:p>
            <w:pPr>
              <w:spacing w:after="0"/>
              <w:rPr>
                <w:sz w:val="10"/>
                <w:szCs w:val="10"/>
                <w:color w:val="auto"/>
              </w:rPr>
            </w:pPr>
          </w:p>
        </w:tc>
        <w:tc>
          <w:tcPr>
            <w:tcW w:w="46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260" w:type="dxa"/>
            <w:vAlign w:val="bottom"/>
          </w:tcPr>
          <w:p>
            <w:pPr>
              <w:spacing w:after="0"/>
              <w:rPr>
                <w:sz w:val="10"/>
                <w:szCs w:val="10"/>
                <w:color w:val="auto"/>
              </w:rPr>
            </w:pPr>
          </w:p>
        </w:tc>
        <w:tc>
          <w:tcPr>
            <w:tcW w:w="46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240" w:type="dxa"/>
            <w:vAlign w:val="bottom"/>
          </w:tcPr>
          <w:p>
            <w:pPr>
              <w:spacing w:after="0"/>
              <w:rPr>
                <w:sz w:val="10"/>
                <w:szCs w:val="10"/>
                <w:color w:val="auto"/>
              </w:rPr>
            </w:pPr>
          </w:p>
        </w:tc>
        <w:tc>
          <w:tcPr>
            <w:tcW w:w="34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c>
          <w:tcPr>
            <w:tcW w:w="40" w:type="dxa"/>
            <w:vAlign w:val="bottom"/>
          </w:tcPr>
          <w:p>
            <w:pPr>
              <w:spacing w:after="0"/>
              <w:rPr>
                <w:sz w:val="10"/>
                <w:szCs w:val="10"/>
                <w:color w:val="auto"/>
              </w:rPr>
            </w:pPr>
          </w:p>
        </w:tc>
      </w:tr>
      <w:tr>
        <w:trPr>
          <w:trHeight w:val="173"/>
        </w:trPr>
        <w:tc>
          <w:tcPr>
            <w:tcW w:w="76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gridSpan w:val="4"/>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16"/>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7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590</w:t>
            </w: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461</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389</w:t>
            </w:r>
          </w:p>
        </w:tc>
        <w:tc>
          <w:tcPr>
            <w:tcW w:w="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1,678</w:t>
            </w:r>
          </w:p>
        </w:tc>
        <w:tc>
          <w:tcPr>
            <w:tcW w:w="24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1,427</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1,181</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169</w:t>
            </w:r>
          </w:p>
        </w:tc>
      </w:tr>
      <w:tr>
        <w:trPr>
          <w:trHeight w:val="216"/>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4,077</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2,896</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2,035</w:t>
            </w:r>
          </w:p>
        </w:tc>
        <w:tc>
          <w:tcPr>
            <w:tcW w:w="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292</w:t>
            </w:r>
          </w:p>
        </w:tc>
      </w:tr>
      <w:tr>
        <w:trPr>
          <w:trHeight w:val="223"/>
        </w:trPr>
        <w:tc>
          <w:tcPr>
            <w:tcW w:w="7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6,345</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4,784</w:t>
            </w:r>
          </w:p>
        </w:tc>
        <w:tc>
          <w:tcPr>
            <w:tcW w:w="26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3,605</w:t>
            </w:r>
          </w:p>
        </w:tc>
        <w:tc>
          <w:tcPr>
            <w:tcW w:w="24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40" w:type="dxa"/>
            <w:vAlign w:val="bottom"/>
          </w:tcPr>
          <w:p>
            <w:pPr>
              <w:spacing w:after="0"/>
              <w:rPr>
                <w:sz w:val="19"/>
                <w:szCs w:val="19"/>
                <w:color w:val="auto"/>
              </w:rPr>
            </w:pPr>
          </w:p>
        </w:tc>
      </w:tr>
      <w:tr>
        <w:trPr>
          <w:trHeight w:val="20"/>
        </w:trPr>
        <w:tc>
          <w:tcPr>
            <w:tcW w:w="76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56"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24.</w:t>
        <w:tab/>
        <w:t>RELATED PARTY TRANSACTIONS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Related Party Transactions with Investees</w:t>
      </w:r>
    </w:p>
    <w:p>
      <w:pPr>
        <w:spacing w:after="0" w:line="121"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Related party transactions provided by the Group primarily related to online marketing services and others. The following table summarizes the revenue recognized from transactions with investees for the years ended December 31, 2023, 2024 and 2025.</w:t>
      </w:r>
    </w:p>
    <w:p>
      <w:pPr>
        <w:spacing w:after="0" w:line="182"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7600" w:type="dxa"/>
            <w:vAlign w:val="bottom"/>
          </w:tcPr>
          <w:p>
            <w:pPr>
              <w:spacing w:after="0"/>
              <w:rPr>
                <w:sz w:val="15"/>
                <w:szCs w:val="15"/>
                <w:color w:val="auto"/>
              </w:rPr>
            </w:pPr>
          </w:p>
        </w:tc>
        <w:tc>
          <w:tcPr>
            <w:tcW w:w="2520" w:type="dxa"/>
            <w:vAlign w:val="bottom"/>
            <w:gridSpan w:val="9"/>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r>
      <w:tr>
        <w:trPr>
          <w:trHeight w:val="142"/>
        </w:trPr>
        <w:tc>
          <w:tcPr>
            <w:tcW w:w="760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1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r>
      <w:tr>
        <w:trPr>
          <w:trHeight w:val="117"/>
        </w:trPr>
        <w:tc>
          <w:tcPr>
            <w:tcW w:w="7600" w:type="dxa"/>
            <w:vAlign w:val="bottom"/>
          </w:tcPr>
          <w:p>
            <w:pPr>
              <w:spacing w:after="0"/>
              <w:rPr>
                <w:sz w:val="10"/>
                <w:szCs w:val="10"/>
                <w:color w:val="auto"/>
              </w:rPr>
            </w:pPr>
          </w:p>
        </w:tc>
        <w:tc>
          <w:tcPr>
            <w:tcW w:w="46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260" w:type="dxa"/>
            <w:vAlign w:val="bottom"/>
            <w:gridSpan w:val="2"/>
          </w:tcPr>
          <w:p>
            <w:pPr>
              <w:spacing w:after="0"/>
              <w:rPr>
                <w:sz w:val="10"/>
                <w:szCs w:val="10"/>
                <w:color w:val="auto"/>
              </w:rPr>
            </w:pPr>
          </w:p>
        </w:tc>
        <w:tc>
          <w:tcPr>
            <w:tcW w:w="46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260" w:type="dxa"/>
            <w:vAlign w:val="bottom"/>
          </w:tcPr>
          <w:p>
            <w:pPr>
              <w:spacing w:after="0"/>
              <w:rPr>
                <w:sz w:val="10"/>
                <w:szCs w:val="10"/>
                <w:color w:val="auto"/>
              </w:rPr>
            </w:pPr>
          </w:p>
        </w:tc>
        <w:tc>
          <w:tcPr>
            <w:tcW w:w="46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240" w:type="dxa"/>
            <w:vAlign w:val="bottom"/>
          </w:tcPr>
          <w:p>
            <w:pPr>
              <w:spacing w:after="0"/>
              <w:rPr>
                <w:sz w:val="10"/>
                <w:szCs w:val="10"/>
                <w:color w:val="auto"/>
              </w:rPr>
            </w:pPr>
          </w:p>
        </w:tc>
        <w:tc>
          <w:tcPr>
            <w:tcW w:w="340" w:type="dxa"/>
            <w:vAlign w:val="bottom"/>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c>
          <w:tcPr>
            <w:tcW w:w="40" w:type="dxa"/>
            <w:vAlign w:val="bottom"/>
          </w:tcPr>
          <w:p>
            <w:pPr>
              <w:spacing w:after="0"/>
              <w:rPr>
                <w:sz w:val="10"/>
                <w:szCs w:val="10"/>
                <w:color w:val="auto"/>
              </w:rPr>
            </w:pPr>
          </w:p>
        </w:tc>
      </w:tr>
      <w:tr>
        <w:trPr>
          <w:trHeight w:val="173"/>
        </w:trPr>
        <w:tc>
          <w:tcPr>
            <w:tcW w:w="76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gridSpan w:val="4"/>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16"/>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Related Party A</w:t>
            </w:r>
          </w:p>
        </w:tc>
        <w:tc>
          <w:tcPr>
            <w:tcW w:w="7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540</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393</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351</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Related Party B</w:t>
            </w:r>
          </w:p>
        </w:tc>
        <w:tc>
          <w:tcPr>
            <w:tcW w:w="7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924</w:t>
            </w: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919</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979</w:t>
            </w:r>
          </w:p>
        </w:tc>
        <w:tc>
          <w:tcPr>
            <w:tcW w:w="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140</w:t>
            </w:r>
          </w:p>
        </w:tc>
      </w:tr>
      <w:tr>
        <w:trPr>
          <w:trHeight w:val="216"/>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Related Party D</w:t>
            </w:r>
          </w:p>
        </w:tc>
        <w:tc>
          <w:tcPr>
            <w:tcW w:w="7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338</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523</w:t>
            </w:r>
          </w:p>
        </w:tc>
        <w:tc>
          <w:tcPr>
            <w:tcW w:w="7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Investees</w:t>
            </w:r>
          </w:p>
        </w:tc>
        <w:tc>
          <w:tcPr>
            <w:tcW w:w="7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897</w:t>
            </w: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893</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777</w:t>
            </w:r>
          </w:p>
        </w:tc>
        <w:tc>
          <w:tcPr>
            <w:tcW w:w="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111</w:t>
            </w:r>
          </w:p>
        </w:tc>
      </w:tr>
      <w:tr>
        <w:trPr>
          <w:trHeight w:val="223"/>
        </w:trPr>
        <w:tc>
          <w:tcPr>
            <w:tcW w:w="7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2,699</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2,728</w:t>
            </w:r>
          </w:p>
        </w:tc>
        <w:tc>
          <w:tcPr>
            <w:tcW w:w="26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2,107</w:t>
            </w:r>
          </w:p>
        </w:tc>
        <w:tc>
          <w:tcPr>
            <w:tcW w:w="24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301</w:t>
            </w:r>
          </w:p>
        </w:tc>
        <w:tc>
          <w:tcPr>
            <w:tcW w:w="40" w:type="dxa"/>
            <w:vAlign w:val="bottom"/>
          </w:tcPr>
          <w:p>
            <w:pPr>
              <w:spacing w:after="0"/>
              <w:rPr>
                <w:sz w:val="19"/>
                <w:szCs w:val="19"/>
                <w:color w:val="auto"/>
              </w:rPr>
            </w:pPr>
          </w:p>
        </w:tc>
      </w:tr>
      <w:tr>
        <w:trPr>
          <w:trHeight w:val="20"/>
        </w:trPr>
        <w:tc>
          <w:tcPr>
            <w:tcW w:w="76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The Group purchased content, traffic acquisition and other services from investees in an amount of RMB2.6 billion, RMB2.5 billion and RMB2.1 billion (US$304 million) for the years ended December 31, 2023, 2024 and 2025, respectively.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Related Party Transactions with Others</w:t>
      </w:r>
    </w:p>
    <w:p>
      <w:pPr>
        <w:spacing w:after="0" w:line="121"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In 2023, related party transactions with Related Party C, over which the Group can significantly influence its management or operating policies, were in the total amount of RMB1.8 billion, and mainly comprised of online marketing services provided to the related party. Since January 2024, Related Party C ceased to be a related party of the Group.</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addition, other related party transactions were insignificant for each of the years presented.</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F-57</w:t>
      </w:r>
    </w:p>
    <w:p>
      <w:pPr>
        <w:sectPr>
          <w:pgSz w:w="11900" w:h="16838" w:orient="portrait"/>
          <w:cols w:equalWidth="0" w:num="1">
            <w:col w:w="11140"/>
          </w:cols>
          <w:pgMar w:left="320" w:top="482" w:right="439" w:bottom="1440" w:gutter="0" w:footer="0" w:header="0"/>
        </w:sectPr>
      </w:pPr>
    </w:p>
    <w:bookmarkStart w:id="283" w:name="page284"/>
    <w:bookmarkEnd w:id="2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45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BAIDU, INC.</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THE YEARS ENDED DECEMBER 31, 2023, 2024 AND 2025</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Balances of Due from/Due to Related Parties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of December 31, 2024 and 2025, amounts due from/due to related parties were as follows:</w:t>
      </w:r>
    </w:p>
    <w:p>
      <w:pPr>
        <w:spacing w:after="0" w:line="225"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Except for the non-trade balances as of December 31, 2024 and 2025 relating to transactions disclosed below, amounts due from/due to related parties arising from the ordinary and usual course of business of the Group were trade in nature.</w:t>
      </w:r>
    </w:p>
    <w:p>
      <w:pPr>
        <w:spacing w:after="0" w:line="18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7500" w:type="dxa"/>
            <w:vAlign w:val="bottom"/>
          </w:tcPr>
          <w:p>
            <w:pPr>
              <w:spacing w:after="0"/>
              <w:rPr>
                <w:sz w:val="15"/>
                <w:szCs w:val="15"/>
                <w:color w:val="auto"/>
              </w:rPr>
            </w:pPr>
          </w:p>
        </w:tc>
        <w:tc>
          <w:tcPr>
            <w:tcW w:w="1760" w:type="dxa"/>
            <w:vAlign w:val="bottom"/>
            <w:gridSpan w:val="6"/>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42"/>
        </w:trPr>
        <w:tc>
          <w:tcPr>
            <w:tcW w:w="7500" w:type="dxa"/>
            <w:vAlign w:val="bottom"/>
          </w:tcPr>
          <w:p>
            <w:pPr>
              <w:spacing w:after="0"/>
              <w:rPr>
                <w:sz w:val="12"/>
                <w:szCs w:val="12"/>
                <w:color w:val="auto"/>
              </w:rPr>
            </w:pPr>
          </w:p>
        </w:tc>
        <w:tc>
          <w:tcPr>
            <w:tcW w:w="460" w:type="dxa"/>
            <w:vAlign w:val="bottom"/>
            <w:tcBorders>
              <w:top w:val="single" w:sz="8" w:color="auto"/>
            </w:tcBorders>
          </w:tcPr>
          <w:p>
            <w:pPr>
              <w:jc w:val="right"/>
              <w:ind w:right="1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60" w:type="dxa"/>
            <w:vAlign w:val="bottom"/>
          </w:tcPr>
          <w:p>
            <w:pPr>
              <w:spacing w:after="0"/>
              <w:rPr>
                <w:sz w:val="12"/>
                <w:szCs w:val="12"/>
                <w:color w:val="auto"/>
              </w:rPr>
            </w:pPr>
          </w:p>
        </w:tc>
      </w:tr>
      <w:tr>
        <w:trPr>
          <w:trHeight w:val="117"/>
        </w:trPr>
        <w:tc>
          <w:tcPr>
            <w:tcW w:w="7500" w:type="dxa"/>
            <w:vAlign w:val="bottom"/>
          </w:tcPr>
          <w:p>
            <w:pPr>
              <w:spacing w:after="0"/>
              <w:rPr>
                <w:sz w:val="10"/>
                <w:szCs w:val="10"/>
                <w:color w:val="auto"/>
              </w:rPr>
            </w:pPr>
          </w:p>
        </w:tc>
        <w:tc>
          <w:tcPr>
            <w:tcW w:w="46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220" w:type="dxa"/>
            <w:vAlign w:val="bottom"/>
          </w:tcPr>
          <w:p>
            <w:pPr>
              <w:spacing w:after="0"/>
              <w:rPr>
                <w:sz w:val="10"/>
                <w:szCs w:val="10"/>
                <w:color w:val="auto"/>
              </w:rPr>
            </w:pPr>
          </w:p>
        </w:tc>
        <w:tc>
          <w:tcPr>
            <w:tcW w:w="46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240" w:type="dxa"/>
            <w:vAlign w:val="bottom"/>
          </w:tcPr>
          <w:p>
            <w:pPr>
              <w:spacing w:after="0"/>
              <w:rPr>
                <w:sz w:val="10"/>
                <w:szCs w:val="10"/>
                <w:color w:val="auto"/>
              </w:rPr>
            </w:pPr>
          </w:p>
        </w:tc>
        <w:tc>
          <w:tcPr>
            <w:tcW w:w="32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c>
          <w:tcPr>
            <w:tcW w:w="60" w:type="dxa"/>
            <w:vAlign w:val="bottom"/>
          </w:tcPr>
          <w:p>
            <w:pPr>
              <w:spacing w:after="0"/>
              <w:rPr>
                <w:sz w:val="10"/>
                <w:szCs w:val="10"/>
                <w:color w:val="auto"/>
              </w:rPr>
            </w:pPr>
          </w:p>
        </w:tc>
      </w:tr>
      <w:tr>
        <w:trPr>
          <w:trHeight w:val="173"/>
        </w:trPr>
        <w:tc>
          <w:tcPr>
            <w:tcW w:w="7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2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16"/>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Amounts due from related parties, current:</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500" w:type="dxa"/>
            <w:vAlign w:val="bottom"/>
          </w:tcPr>
          <w:p>
            <w:pPr>
              <w:ind w:left="360"/>
              <w:spacing w:after="0" w:line="216" w:lineRule="exact"/>
              <w:rPr>
                <w:sz w:val="20"/>
                <w:szCs w:val="20"/>
                <w:color w:val="auto"/>
              </w:rPr>
            </w:pPr>
            <w:r>
              <w:rPr>
                <w:rFonts w:ascii="Times New Roman" w:cs="Times New Roman" w:eastAsia="Times New Roman" w:hAnsi="Times New Roman"/>
                <w:sz w:val="18"/>
                <w:szCs w:val="18"/>
                <w:color w:val="auto"/>
              </w:rPr>
              <w:t>Related Party B</w:t>
            </w:r>
            <w:r>
              <w:rPr>
                <w:rFonts w:ascii="Times New Roman" w:cs="Times New Roman" w:eastAsia="Times New Roman" w:hAnsi="Times New Roman"/>
                <w:sz w:val="22"/>
                <w:szCs w:val="22"/>
                <w:color w:val="auto"/>
                <w:vertAlign w:val="superscript"/>
              </w:rPr>
              <w:t>(i)</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2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60" w:type="dxa"/>
            <w:vAlign w:val="bottom"/>
          </w:tcPr>
          <w:p>
            <w:pPr>
              <w:spacing w:after="0"/>
              <w:rPr>
                <w:sz w:val="18"/>
                <w:szCs w:val="18"/>
                <w:color w:val="auto"/>
              </w:rPr>
            </w:pPr>
          </w:p>
        </w:tc>
      </w:tr>
      <w:tr>
        <w:trPr>
          <w:trHeight w:val="216"/>
        </w:trPr>
        <w:tc>
          <w:tcPr>
            <w:tcW w:w="750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8"/>
                <w:szCs w:val="18"/>
                <w:color w:val="auto"/>
              </w:rPr>
              <w:t>Other Related Parties</w:t>
            </w:r>
            <w:r>
              <w:rPr>
                <w:rFonts w:ascii="Times New Roman" w:cs="Times New Roman" w:eastAsia="Times New Roman" w:hAnsi="Times New Roman"/>
                <w:sz w:val="22"/>
                <w:szCs w:val="22"/>
                <w:color w:val="auto"/>
                <w:vertAlign w:val="superscript"/>
              </w:rPr>
              <w:t>(ii)</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2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2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60" w:type="dxa"/>
            <w:vAlign w:val="bottom"/>
            <w:shd w:val="clear" w:color="auto" w:fill="CCEEFF"/>
          </w:tcPr>
          <w:p>
            <w:pPr>
              <w:spacing w:after="0"/>
              <w:rPr>
                <w:sz w:val="18"/>
                <w:szCs w:val="18"/>
                <w:color w:val="auto"/>
              </w:rPr>
            </w:pPr>
          </w:p>
        </w:tc>
      </w:tr>
      <w:tr>
        <w:trPr>
          <w:trHeight w:val="237"/>
        </w:trPr>
        <w:tc>
          <w:tcPr>
            <w:tcW w:w="75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24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60" w:type="dxa"/>
            <w:vAlign w:val="bottom"/>
          </w:tcPr>
          <w:p>
            <w:pPr>
              <w:spacing w:after="0"/>
              <w:rPr>
                <w:sz w:val="20"/>
                <w:szCs w:val="20"/>
                <w:color w:val="auto"/>
              </w:rPr>
            </w:pPr>
          </w:p>
        </w:tc>
      </w:tr>
      <w:tr>
        <w:trPr>
          <w:trHeight w:val="20"/>
        </w:trPr>
        <w:tc>
          <w:tcPr>
            <w:tcW w:w="75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Amounts due from related parties, non-current:</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7500" w:type="dxa"/>
            <w:vAlign w:val="bottom"/>
          </w:tcPr>
          <w:p>
            <w:pPr>
              <w:ind w:left="360"/>
              <w:spacing w:after="0" w:line="229" w:lineRule="exact"/>
              <w:rPr>
                <w:sz w:val="20"/>
                <w:szCs w:val="20"/>
                <w:color w:val="auto"/>
              </w:rPr>
            </w:pPr>
            <w:r>
              <w:rPr>
                <w:rFonts w:ascii="Times New Roman" w:cs="Times New Roman" w:eastAsia="Times New Roman" w:hAnsi="Times New Roman"/>
                <w:sz w:val="18"/>
                <w:szCs w:val="18"/>
                <w:color w:val="auto"/>
              </w:rPr>
              <w:t>Other Related Parties</w:t>
            </w:r>
            <w:r>
              <w:rPr>
                <w:rFonts w:ascii="Times New Roman" w:cs="Times New Roman" w:eastAsia="Times New Roman" w:hAnsi="Times New Roman"/>
                <w:sz w:val="22"/>
                <w:szCs w:val="22"/>
                <w:color w:val="auto"/>
                <w:vertAlign w:val="superscript"/>
              </w:rPr>
              <w:t>(iii)</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60" w:type="dxa"/>
            <w:vAlign w:val="bottom"/>
          </w:tcPr>
          <w:p>
            <w:pPr>
              <w:spacing w:after="0"/>
              <w:rPr>
                <w:sz w:val="19"/>
                <w:szCs w:val="19"/>
                <w:color w:val="auto"/>
              </w:rPr>
            </w:pPr>
          </w:p>
        </w:tc>
      </w:tr>
      <w:tr>
        <w:trPr>
          <w:trHeight w:val="20"/>
        </w:trPr>
        <w:tc>
          <w:tcPr>
            <w:tcW w:w="75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Amounts due to related parties, current:</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500" w:type="dxa"/>
            <w:vAlign w:val="bottom"/>
          </w:tcPr>
          <w:p>
            <w:pPr>
              <w:ind w:left="360"/>
              <w:spacing w:after="0" w:line="216" w:lineRule="exact"/>
              <w:rPr>
                <w:sz w:val="20"/>
                <w:szCs w:val="20"/>
                <w:color w:val="auto"/>
              </w:rPr>
            </w:pPr>
            <w:r>
              <w:rPr>
                <w:rFonts w:ascii="Times New Roman" w:cs="Times New Roman" w:eastAsia="Times New Roman" w:hAnsi="Times New Roman"/>
                <w:sz w:val="18"/>
                <w:szCs w:val="18"/>
                <w:color w:val="auto"/>
              </w:rPr>
              <w:t>Related Party B</w:t>
            </w:r>
            <w:r>
              <w:rPr>
                <w:rFonts w:ascii="Times New Roman" w:cs="Times New Roman" w:eastAsia="Times New Roman" w:hAnsi="Times New Roman"/>
                <w:sz w:val="22"/>
                <w:szCs w:val="22"/>
                <w:color w:val="auto"/>
                <w:vertAlign w:val="superscript"/>
              </w:rPr>
              <w:t>(iv)</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2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60" w:type="dxa"/>
            <w:vAlign w:val="bottom"/>
          </w:tcPr>
          <w:p>
            <w:pPr>
              <w:spacing w:after="0"/>
              <w:rPr>
                <w:sz w:val="18"/>
                <w:szCs w:val="18"/>
                <w:color w:val="auto"/>
              </w:rPr>
            </w:pPr>
          </w:p>
        </w:tc>
      </w:tr>
      <w:tr>
        <w:trPr>
          <w:trHeight w:val="229"/>
        </w:trPr>
        <w:tc>
          <w:tcPr>
            <w:tcW w:w="7500" w:type="dxa"/>
            <w:vAlign w:val="bottom"/>
            <w:shd w:val="clear" w:color="auto" w:fill="CCEEFF"/>
          </w:tcPr>
          <w:p>
            <w:pPr>
              <w:ind w:left="360"/>
              <w:spacing w:after="0" w:line="229" w:lineRule="exact"/>
              <w:rPr>
                <w:sz w:val="20"/>
                <w:szCs w:val="20"/>
                <w:color w:val="auto"/>
              </w:rPr>
            </w:pPr>
            <w:r>
              <w:rPr>
                <w:rFonts w:ascii="Times New Roman" w:cs="Times New Roman" w:eastAsia="Times New Roman" w:hAnsi="Times New Roman"/>
                <w:sz w:val="18"/>
                <w:szCs w:val="18"/>
                <w:color w:val="auto"/>
              </w:rPr>
              <w:t>Other Related Parties</w:t>
            </w:r>
            <w:r>
              <w:rPr>
                <w:rFonts w:ascii="Times New Roman" w:cs="Times New Roman" w:eastAsia="Times New Roman" w:hAnsi="Times New Roman"/>
                <w:sz w:val="22"/>
                <w:szCs w:val="22"/>
                <w:color w:val="auto"/>
                <w:vertAlign w:val="superscript"/>
              </w:rPr>
              <w:t>(v)</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w:t>
            </w:r>
          </w:p>
        </w:tc>
        <w:tc>
          <w:tcPr>
            <w:tcW w:w="2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w:t>
            </w:r>
          </w:p>
        </w:tc>
        <w:tc>
          <w:tcPr>
            <w:tcW w:w="2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60" w:type="dxa"/>
            <w:vAlign w:val="bottom"/>
            <w:shd w:val="clear" w:color="auto" w:fill="CCEEFF"/>
          </w:tcPr>
          <w:p>
            <w:pPr>
              <w:spacing w:after="0"/>
              <w:rPr>
                <w:sz w:val="19"/>
                <w:szCs w:val="19"/>
                <w:color w:val="auto"/>
              </w:rPr>
            </w:pPr>
          </w:p>
        </w:tc>
      </w:tr>
      <w:tr>
        <w:trPr>
          <w:trHeight w:val="237"/>
        </w:trPr>
        <w:tc>
          <w:tcPr>
            <w:tcW w:w="75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1,794</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1,988</w:t>
            </w:r>
          </w:p>
        </w:tc>
        <w:tc>
          <w:tcPr>
            <w:tcW w:w="24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60" w:type="dxa"/>
            <w:vAlign w:val="bottom"/>
          </w:tcPr>
          <w:p>
            <w:pPr>
              <w:spacing w:after="0"/>
              <w:rPr>
                <w:sz w:val="20"/>
                <w:szCs w:val="20"/>
                <w:color w:val="auto"/>
              </w:rPr>
            </w:pPr>
          </w:p>
        </w:tc>
      </w:tr>
      <w:tr>
        <w:trPr>
          <w:trHeight w:val="20"/>
        </w:trPr>
        <w:tc>
          <w:tcPr>
            <w:tcW w:w="75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Amounts due to related parties, non-current:</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9"/>
        </w:trPr>
        <w:tc>
          <w:tcPr>
            <w:tcW w:w="7500" w:type="dxa"/>
            <w:vAlign w:val="bottom"/>
          </w:tcPr>
          <w:p>
            <w:pPr>
              <w:ind w:left="360"/>
              <w:spacing w:after="0" w:line="229" w:lineRule="exact"/>
              <w:rPr>
                <w:sz w:val="20"/>
                <w:szCs w:val="20"/>
                <w:color w:val="auto"/>
              </w:rPr>
            </w:pPr>
            <w:r>
              <w:rPr>
                <w:rFonts w:ascii="Times New Roman" w:cs="Times New Roman" w:eastAsia="Times New Roman" w:hAnsi="Times New Roman"/>
                <w:sz w:val="18"/>
                <w:szCs w:val="18"/>
                <w:color w:val="auto"/>
              </w:rPr>
              <w:t>Other Related Parties</w:t>
            </w:r>
            <w:r>
              <w:rPr>
                <w:rFonts w:ascii="Times New Roman" w:cs="Times New Roman" w:eastAsia="Times New Roman" w:hAnsi="Times New Roman"/>
                <w:sz w:val="22"/>
                <w:szCs w:val="22"/>
                <w:color w:val="auto"/>
                <w:vertAlign w:val="superscript"/>
              </w:rPr>
              <w:t>(vi)</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Pr>
          <w:p>
            <w:pPr>
              <w:spacing w:after="0"/>
              <w:rPr>
                <w:sz w:val="19"/>
                <w:szCs w:val="19"/>
                <w:color w:val="auto"/>
              </w:rPr>
            </w:pPr>
          </w:p>
        </w:tc>
      </w:tr>
      <w:tr>
        <w:trPr>
          <w:trHeight w:val="20"/>
        </w:trPr>
        <w:tc>
          <w:tcPr>
            <w:tcW w:w="75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38" w:lineRule="exact"/>
        <w:rPr>
          <w:sz w:val="20"/>
          <w:szCs w:val="20"/>
          <w:color w:val="auto"/>
        </w:rPr>
      </w:pPr>
    </w:p>
    <w:p>
      <w:pPr>
        <w:ind w:left="660" w:hanging="544"/>
        <w:spacing w:after="0"/>
        <w:tabs>
          <w:tab w:leader="none" w:pos="66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balance mainly represents receivables arising from providing online marketing services and others to Related Party B.</w:t>
      </w:r>
    </w:p>
    <w:p>
      <w:pPr>
        <w:spacing w:after="0" w:line="27" w:lineRule="exact"/>
        <w:rPr>
          <w:rFonts w:ascii="Times New Roman" w:cs="Times New Roman" w:eastAsia="Times New Roman" w:hAnsi="Times New Roman"/>
          <w:sz w:val="18"/>
          <w:szCs w:val="18"/>
          <w:color w:val="auto"/>
        </w:rPr>
      </w:pPr>
    </w:p>
    <w:p>
      <w:pPr>
        <w:ind w:left="660" w:hanging="544"/>
        <w:spacing w:after="0" w:line="250" w:lineRule="auto"/>
        <w:tabs>
          <w:tab w:leader="none" w:pos="66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balance mainly represents amounts arising from online marketing services and others the Group provided to its investees in ordinary course of business.</w:t>
      </w:r>
    </w:p>
    <w:p>
      <w:pPr>
        <w:ind w:left="660" w:hanging="544"/>
        <w:spacing w:after="0"/>
        <w:tabs>
          <w:tab w:leader="none" w:pos="66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balance mainly represents prepayments for licensed copyrights to be received from the Group’s investees.</w:t>
      </w:r>
    </w:p>
    <w:p>
      <w:pPr>
        <w:spacing w:after="0" w:line="9"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balance mainly represents amounts arising from purchasing services from Related Party B in the ordinary course of business.</w:t>
      </w:r>
    </w:p>
    <w:p>
      <w:pPr>
        <w:spacing w:after="0" w:line="9" w:lineRule="exact"/>
        <w:rPr>
          <w:rFonts w:ascii="Times New Roman" w:cs="Times New Roman" w:eastAsia="Times New Roman" w:hAnsi="Times New Roman"/>
          <w:sz w:val="18"/>
          <w:szCs w:val="18"/>
          <w:color w:val="auto"/>
        </w:rPr>
      </w:pPr>
    </w:p>
    <w:p>
      <w:pPr>
        <w:ind w:left="660" w:hanging="544"/>
        <w:spacing w:after="0" w:line="250" w:lineRule="auto"/>
        <w:tabs>
          <w:tab w:leader="none" w:pos="66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balance mainly represents amounts owed to the Group’s investees for acquisition of contents assets and advances made for online marketing services and non-trade amounts payable for acquiring the equity interest of the Group’s investees.</w:t>
      </w:r>
    </w:p>
    <w:p>
      <w:pPr>
        <w:ind w:left="660" w:hanging="544"/>
        <w:spacing w:after="0"/>
        <w:tabs>
          <w:tab w:leader="none" w:pos="66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balance mainly represents deferred revenue in relation to licenses of intellectual property to be provided to the Group’s investees.</w:t>
      </w:r>
    </w:p>
    <w:p>
      <w:pPr>
        <w:spacing w:after="0" w:line="351" w:lineRule="exact"/>
        <w:rPr>
          <w:sz w:val="20"/>
          <w:szCs w:val="20"/>
          <w:color w:val="auto"/>
        </w:rPr>
      </w:pPr>
    </w:p>
    <w:p>
      <w:pPr>
        <w:ind w:left="540" w:hanging="424"/>
        <w:spacing w:after="0"/>
        <w:tabs>
          <w:tab w:leader="none" w:pos="540" w:val="left"/>
        </w:tabs>
        <w:numPr>
          <w:ilvl w:val="0"/>
          <w:numId w:val="1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REPORTING</w:t>
      </w:r>
    </w:p>
    <w:p>
      <w:pPr>
        <w:spacing w:after="0" w:line="121"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The Company’s operations are organized into two segments, consisting of Baidu General Business and iQIYI. Baidu General Business mainly provides online marketing services and others including cloud services. iQIYI produces, aggregates and distributes a wide variety of professionally produced content, as well as a broad spectrum of other video content, in a variety of formats.</w:t>
      </w:r>
    </w:p>
    <w:p>
      <w:pPr>
        <w:spacing w:after="0" w:line="176"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The Company derives the results of the segments directly from its internal management reporting system. The CODM reviews the performance of each segment based on its operating results and uses these results to evaluate the performance of, and to allocate resources to, each of the segments. Because substantially all of the Group’s long-lived assets and revenue are located in and derived from the PRC, geographical segments are not presented. The Company does not allocate assets to its segments as the CODM does not evaluate the performance of segments using asset information.</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F-58</w:t>
      </w:r>
    </w:p>
    <w:p>
      <w:pPr>
        <w:sectPr>
          <w:pgSz w:w="11900" w:h="16838" w:orient="portrait"/>
          <w:cols w:equalWidth="0" w:num="1">
            <w:col w:w="11120"/>
          </w:cols>
          <w:pgMar w:left="320" w:top="482" w:right="459" w:bottom="1440" w:gutter="0" w:footer="0" w:header="0"/>
        </w:sectPr>
      </w:pPr>
    </w:p>
    <w:bookmarkStart w:id="284" w:name="page285"/>
    <w:bookmarkEnd w:id="2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45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BAIDU, INC.</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THE YEARS ENDED DECEMBER 31, 2023, 2024 AND 2025</w:t>
      </w:r>
    </w:p>
    <w:p>
      <w:pPr>
        <w:spacing w:after="0" w:line="2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table below provides a summary of the Group’s operating segment operating results for the year ended December 31, 2023.</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120" w:type="dxa"/>
            <w:vAlign w:val="bottom"/>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 ended December 31, 2023</w:t>
            </w:r>
          </w:p>
        </w:tc>
        <w:tc>
          <w:tcPr>
            <w:tcW w:w="0" w:type="dxa"/>
            <w:vAlign w:val="bottom"/>
          </w:tcPr>
          <w:p>
            <w:pPr>
              <w:spacing w:after="0"/>
              <w:rPr>
                <w:sz w:val="1"/>
                <w:szCs w:val="1"/>
                <w:color w:val="auto"/>
              </w:rPr>
            </w:pPr>
          </w:p>
        </w:tc>
      </w:tr>
      <w:tr>
        <w:trPr>
          <w:trHeight w:val="117"/>
        </w:trPr>
        <w:tc>
          <w:tcPr>
            <w:tcW w:w="7240" w:type="dxa"/>
            <w:vAlign w:val="bottom"/>
          </w:tcPr>
          <w:p>
            <w:pPr>
              <w:spacing w:after="0"/>
              <w:rPr>
                <w:sz w:val="10"/>
                <w:szCs w:val="10"/>
                <w:color w:val="auto"/>
              </w:rPr>
            </w:pPr>
          </w:p>
        </w:tc>
        <w:tc>
          <w:tcPr>
            <w:tcW w:w="660" w:type="dxa"/>
            <w:vAlign w:val="bottom"/>
            <w:tcBorders>
              <w:top w:val="single" w:sz="8" w:color="auto"/>
            </w:tcBorders>
            <w:gridSpan w:val="2"/>
          </w:tcPr>
          <w:p>
            <w:pPr>
              <w:jc w:val="center"/>
              <w:ind w:right="20"/>
              <w:spacing w:after="0" w:line="118" w:lineRule="exact"/>
              <w:rPr>
                <w:sz w:val="20"/>
                <w:szCs w:val="20"/>
                <w:color w:val="auto"/>
              </w:rPr>
            </w:pPr>
            <w:r>
              <w:rPr>
                <w:rFonts w:ascii="Times New Roman" w:cs="Times New Roman" w:eastAsia="Times New Roman" w:hAnsi="Times New Roman"/>
                <w:sz w:val="13"/>
                <w:szCs w:val="13"/>
                <w:b w:val="1"/>
                <w:bCs w:val="1"/>
                <w:color w:val="auto"/>
              </w:rPr>
              <w:t>Baidu</w:t>
            </w:r>
          </w:p>
        </w:tc>
        <w:tc>
          <w:tcPr>
            <w:tcW w:w="2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Intersegment</w:t>
            </w:r>
          </w:p>
        </w:tc>
        <w:tc>
          <w:tcPr>
            <w:tcW w:w="8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7240" w:type="dxa"/>
            <w:vAlign w:val="bottom"/>
          </w:tcPr>
          <w:p>
            <w:pPr>
              <w:spacing w:after="0"/>
              <w:rPr>
                <w:sz w:val="12"/>
                <w:szCs w:val="12"/>
                <w:color w:val="auto"/>
              </w:rPr>
            </w:pPr>
          </w:p>
        </w:tc>
        <w:tc>
          <w:tcPr>
            <w:tcW w:w="66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General</w:t>
            </w:r>
          </w:p>
        </w:tc>
        <w:tc>
          <w:tcPr>
            <w:tcW w:w="240" w:type="dxa"/>
            <w:vAlign w:val="bottom"/>
          </w:tcPr>
          <w:p>
            <w:pPr>
              <w:spacing w:after="0"/>
              <w:rPr>
                <w:sz w:val="12"/>
                <w:szCs w:val="12"/>
                <w:color w:val="auto"/>
              </w:rPr>
            </w:pPr>
          </w:p>
        </w:tc>
        <w:tc>
          <w:tcPr>
            <w:tcW w:w="880" w:type="dxa"/>
            <w:vAlign w:val="bottom"/>
            <w:gridSpan w:val="2"/>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iQIYI</w:t>
            </w:r>
          </w:p>
        </w:tc>
        <w:tc>
          <w:tcPr>
            <w:tcW w:w="1120" w:type="dxa"/>
            <w:vAlign w:val="bottom"/>
            <w:gridSpan w:val="2"/>
            <w:vMerge w:val="continue"/>
          </w:tcPr>
          <w:p>
            <w:pPr>
              <w:spacing w:after="0"/>
              <w:rPr>
                <w:sz w:val="12"/>
                <w:szCs w:val="12"/>
                <w:color w:val="auto"/>
              </w:rPr>
            </w:pPr>
          </w:p>
        </w:tc>
        <w:tc>
          <w:tcPr>
            <w:tcW w:w="8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73"/>
        </w:trPr>
        <w:tc>
          <w:tcPr>
            <w:tcW w:w="7240" w:type="dxa"/>
            <w:vAlign w:val="bottom"/>
          </w:tcPr>
          <w:p>
            <w:pPr>
              <w:spacing w:after="0"/>
              <w:rPr>
                <w:sz w:val="15"/>
                <w:szCs w:val="15"/>
                <w:color w:val="auto"/>
              </w:rPr>
            </w:pPr>
          </w:p>
        </w:tc>
        <w:tc>
          <w:tcPr>
            <w:tcW w:w="66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Business</w:t>
            </w:r>
          </w:p>
        </w:tc>
        <w:tc>
          <w:tcPr>
            <w:tcW w:w="24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8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7240" w:type="dxa"/>
            <w:vAlign w:val="bottom"/>
          </w:tcPr>
          <w:p>
            <w:pPr>
              <w:spacing w:after="0"/>
              <w:rPr>
                <w:sz w:val="10"/>
                <w:szCs w:val="10"/>
                <w:color w:val="auto"/>
              </w:rPr>
            </w:pPr>
          </w:p>
        </w:tc>
        <w:tc>
          <w:tcPr>
            <w:tcW w:w="6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Borders>
              <w:top w:val="single" w:sz="8" w:color="auto"/>
            </w:tcBorders>
          </w:tcPr>
          <w:p>
            <w:pPr>
              <w:jc w:val="right"/>
              <w:ind w:right="20"/>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320" w:type="dxa"/>
            <w:vAlign w:val="bottom"/>
          </w:tcPr>
          <w:p>
            <w:pPr>
              <w:spacing w:after="0"/>
              <w:rPr>
                <w:sz w:val="10"/>
                <w:szCs w:val="10"/>
                <w:color w:val="auto"/>
              </w:rPr>
            </w:pPr>
          </w:p>
        </w:tc>
        <w:tc>
          <w:tcPr>
            <w:tcW w:w="8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300" w:type="dxa"/>
            <w:vAlign w:val="bottom"/>
          </w:tcPr>
          <w:p>
            <w:pPr>
              <w:spacing w:after="0"/>
              <w:rPr>
                <w:sz w:val="10"/>
                <w:szCs w:val="10"/>
                <w:color w:val="auto"/>
              </w:rPr>
            </w:pPr>
          </w:p>
        </w:tc>
        <w:tc>
          <w:tcPr>
            <w:tcW w:w="820" w:type="dxa"/>
            <w:vAlign w:val="bottom"/>
            <w:tcBorders>
              <w:top w:val="single" w:sz="8" w:color="auto"/>
            </w:tcBorders>
          </w:tcPr>
          <w:p>
            <w:pPr>
              <w:jc w:val="right"/>
              <w:ind w:right="153"/>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7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40" w:type="dxa"/>
            <w:vAlign w:val="bottom"/>
            <w:gridSpan w:val="3"/>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103,465</w:t>
            </w:r>
          </w:p>
        </w:tc>
        <w:tc>
          <w:tcPr>
            <w:tcW w:w="1120" w:type="dxa"/>
            <w:vAlign w:val="bottom"/>
            <w:gridSpan w:val="3"/>
            <w:shd w:val="clear" w:color="auto" w:fill="CCEEFF"/>
          </w:tcPr>
          <w:p>
            <w:pPr>
              <w:jc w:val="right"/>
              <w:ind w:right="248"/>
              <w:spacing w:after="0"/>
              <w:rPr>
                <w:sz w:val="20"/>
                <w:szCs w:val="20"/>
                <w:color w:val="auto"/>
              </w:rPr>
            </w:pPr>
            <w:r>
              <w:rPr>
                <w:rFonts w:ascii="Times New Roman" w:cs="Times New Roman" w:eastAsia="Times New Roman" w:hAnsi="Times New Roman"/>
                <w:sz w:val="18"/>
                <w:szCs w:val="18"/>
                <w:b w:val="1"/>
                <w:bCs w:val="1"/>
                <w:color w:val="auto"/>
              </w:rPr>
              <w:t>31,873</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(740)</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134,598</w:t>
            </w:r>
          </w:p>
        </w:tc>
        <w:tc>
          <w:tcPr>
            <w:tcW w:w="0" w:type="dxa"/>
            <w:vAlign w:val="bottom"/>
          </w:tcPr>
          <w:p>
            <w:pPr>
              <w:spacing w:after="0"/>
              <w:rPr>
                <w:sz w:val="1"/>
                <w:szCs w:val="1"/>
                <w:color w:val="auto"/>
              </w:rPr>
            </w:pPr>
          </w:p>
        </w:tc>
      </w:tr>
      <w:tr>
        <w:trPr>
          <w:trHeight w:val="223"/>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6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revenue</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42,592</w:t>
            </w:r>
          </w:p>
        </w:tc>
        <w:tc>
          <w:tcPr>
            <w:tcW w:w="1120" w:type="dxa"/>
            <w:vAlign w:val="bottom"/>
            <w:gridSpan w:val="3"/>
            <w:shd w:val="clear" w:color="auto" w:fill="CCEEFF"/>
          </w:tcPr>
          <w:p>
            <w:pPr>
              <w:jc w:val="right"/>
              <w:ind w:right="248"/>
              <w:spacing w:after="0"/>
              <w:rPr>
                <w:sz w:val="20"/>
                <w:szCs w:val="20"/>
                <w:color w:val="auto"/>
              </w:rPr>
            </w:pPr>
            <w:r>
              <w:rPr>
                <w:rFonts w:ascii="Times New Roman" w:cs="Times New Roman" w:eastAsia="Times New Roman" w:hAnsi="Times New Roman"/>
                <w:sz w:val="18"/>
                <w:szCs w:val="18"/>
                <w:color w:val="auto"/>
              </w:rPr>
              <w:t>23,103</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(664)</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65,031</w:t>
            </w:r>
          </w:p>
        </w:tc>
        <w:tc>
          <w:tcPr>
            <w:tcW w:w="0" w:type="dxa"/>
            <w:vAlign w:val="bottom"/>
          </w:tcPr>
          <w:p>
            <w:pPr>
              <w:spacing w:after="0"/>
              <w:rPr>
                <w:sz w:val="1"/>
                <w:szCs w:val="1"/>
                <w:color w:val="auto"/>
              </w:rPr>
            </w:pPr>
          </w:p>
        </w:tc>
      </w:tr>
      <w:tr>
        <w:trPr>
          <w:trHeight w:val="216"/>
        </w:trPr>
        <w:tc>
          <w:tcPr>
            <w:tcW w:w="7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19,623</w:t>
            </w:r>
          </w:p>
        </w:tc>
        <w:tc>
          <w:tcPr>
            <w:tcW w:w="1120" w:type="dxa"/>
            <w:vAlign w:val="bottom"/>
            <w:gridSpan w:val="3"/>
          </w:tcPr>
          <w:p>
            <w:pPr>
              <w:jc w:val="right"/>
              <w:ind w:right="248"/>
              <w:spacing w:after="0"/>
              <w:rPr>
                <w:sz w:val="20"/>
                <w:szCs w:val="20"/>
                <w:color w:val="auto"/>
              </w:rPr>
            </w:pPr>
            <w:r>
              <w:rPr>
                <w:rFonts w:ascii="Times New Roman" w:cs="Times New Roman" w:eastAsia="Times New Roman" w:hAnsi="Times New Roman"/>
                <w:sz w:val="18"/>
                <w:szCs w:val="18"/>
                <w:color w:val="auto"/>
              </w:rPr>
              <w:t>4,014</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(118)</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23,519</w:t>
            </w: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22,425</w:t>
            </w:r>
          </w:p>
        </w:tc>
        <w:tc>
          <w:tcPr>
            <w:tcW w:w="1120" w:type="dxa"/>
            <w:vAlign w:val="bottom"/>
            <w:gridSpan w:val="3"/>
            <w:shd w:val="clear" w:color="auto" w:fill="CCEEFF"/>
          </w:tcPr>
          <w:p>
            <w:pPr>
              <w:jc w:val="right"/>
              <w:ind w:right="248"/>
              <w:spacing w:after="0"/>
              <w:rPr>
                <w:sz w:val="20"/>
                <w:szCs w:val="20"/>
                <w:color w:val="auto"/>
              </w:rPr>
            </w:pPr>
            <w:r>
              <w:rPr>
                <w:rFonts w:ascii="Times New Roman" w:cs="Times New Roman" w:eastAsia="Times New Roman" w:hAnsi="Times New Roman"/>
                <w:sz w:val="18"/>
                <w:szCs w:val="18"/>
                <w:color w:val="auto"/>
              </w:rPr>
              <w:t>1,767</w:t>
            </w: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24,192</w:t>
            </w:r>
          </w:p>
        </w:tc>
        <w:tc>
          <w:tcPr>
            <w:tcW w:w="0" w:type="dxa"/>
            <w:vAlign w:val="bottom"/>
          </w:tcPr>
          <w:p>
            <w:pPr>
              <w:spacing w:after="0"/>
              <w:rPr>
                <w:sz w:val="1"/>
                <w:szCs w:val="1"/>
                <w:color w:val="auto"/>
              </w:rPr>
            </w:pPr>
          </w:p>
        </w:tc>
      </w:tr>
      <w:tr>
        <w:trPr>
          <w:trHeight w:val="216"/>
        </w:trPr>
        <w:tc>
          <w:tcPr>
            <w:tcW w:w="7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costs and expenses</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84,640</w:t>
            </w:r>
          </w:p>
        </w:tc>
        <w:tc>
          <w:tcPr>
            <w:tcW w:w="1120" w:type="dxa"/>
            <w:vAlign w:val="bottom"/>
            <w:gridSpan w:val="3"/>
          </w:tcPr>
          <w:p>
            <w:pPr>
              <w:jc w:val="right"/>
              <w:ind w:right="248"/>
              <w:spacing w:after="0"/>
              <w:rPr>
                <w:sz w:val="20"/>
                <w:szCs w:val="20"/>
                <w:color w:val="auto"/>
              </w:rPr>
            </w:pPr>
            <w:r>
              <w:rPr>
                <w:rFonts w:ascii="Times New Roman" w:cs="Times New Roman" w:eastAsia="Times New Roman" w:hAnsi="Times New Roman"/>
                <w:sz w:val="18"/>
                <w:szCs w:val="18"/>
                <w:b w:val="1"/>
                <w:bCs w:val="1"/>
                <w:color w:val="auto"/>
              </w:rPr>
              <w:t>28,884</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(782)</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112,742</w:t>
            </w:r>
          </w:p>
        </w:tc>
        <w:tc>
          <w:tcPr>
            <w:tcW w:w="0" w:type="dxa"/>
            <w:vAlign w:val="bottom"/>
          </w:tcPr>
          <w:p>
            <w:pPr>
              <w:spacing w:after="0"/>
              <w:rPr>
                <w:sz w:val="1"/>
                <w:szCs w:val="1"/>
                <w:color w:val="auto"/>
              </w:rPr>
            </w:pPr>
          </w:p>
        </w:tc>
      </w:tr>
      <w:tr>
        <w:trPr>
          <w:trHeight w:val="27"/>
        </w:trPr>
        <w:tc>
          <w:tcPr>
            <w:tcW w:w="72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18,825</w:t>
            </w:r>
          </w:p>
        </w:tc>
        <w:tc>
          <w:tcPr>
            <w:tcW w:w="1120" w:type="dxa"/>
            <w:vAlign w:val="bottom"/>
            <w:gridSpan w:val="3"/>
            <w:shd w:val="clear" w:color="auto" w:fill="CCEEFF"/>
          </w:tcPr>
          <w:p>
            <w:pPr>
              <w:jc w:val="right"/>
              <w:ind w:right="248"/>
              <w:spacing w:after="0"/>
              <w:rPr>
                <w:sz w:val="20"/>
                <w:szCs w:val="20"/>
                <w:color w:val="auto"/>
              </w:rPr>
            </w:pPr>
            <w:r>
              <w:rPr>
                <w:rFonts w:ascii="Times New Roman" w:cs="Times New Roman" w:eastAsia="Times New Roman" w:hAnsi="Times New Roman"/>
                <w:sz w:val="18"/>
                <w:szCs w:val="18"/>
                <w:b w:val="1"/>
                <w:bCs w:val="1"/>
                <w:color w:val="auto"/>
              </w:rPr>
              <w:t>2,989</w:t>
            </w: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42</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21,856</w:t>
            </w:r>
          </w:p>
        </w:tc>
        <w:tc>
          <w:tcPr>
            <w:tcW w:w="0" w:type="dxa"/>
            <w:vAlign w:val="bottom"/>
          </w:tcPr>
          <w:p>
            <w:pPr>
              <w:spacing w:after="0"/>
              <w:rPr>
                <w:sz w:val="1"/>
                <w:szCs w:val="1"/>
                <w:color w:val="auto"/>
              </w:rPr>
            </w:pPr>
          </w:p>
        </w:tc>
      </w:tr>
      <w:tr>
        <w:trPr>
          <w:trHeight w:val="230"/>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Total other income (loss), net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4,298</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32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23,123</w:t>
            </w:r>
          </w:p>
        </w:tc>
        <w:tc>
          <w:tcPr>
            <w:tcW w:w="1120" w:type="dxa"/>
            <w:vAlign w:val="bottom"/>
            <w:gridSpan w:val="3"/>
            <w:shd w:val="clear" w:color="auto" w:fill="CCEEFF"/>
          </w:tcPr>
          <w:p>
            <w:pPr>
              <w:jc w:val="right"/>
              <w:ind w:right="248"/>
              <w:spacing w:after="0"/>
              <w:rPr>
                <w:sz w:val="20"/>
                <w:szCs w:val="20"/>
                <w:color w:val="auto"/>
              </w:rPr>
            </w:pPr>
            <w:r>
              <w:rPr>
                <w:rFonts w:ascii="Times New Roman" w:cs="Times New Roman" w:eastAsia="Times New Roman" w:hAnsi="Times New Roman"/>
                <w:sz w:val="18"/>
                <w:szCs w:val="18"/>
                <w:b w:val="1"/>
                <w:bCs w:val="1"/>
                <w:color w:val="auto"/>
              </w:rPr>
              <w:t>2,033</w:t>
            </w: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42</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25,198</w:t>
            </w:r>
          </w:p>
        </w:tc>
        <w:tc>
          <w:tcPr>
            <w:tcW w:w="0" w:type="dxa"/>
            <w:vAlign w:val="bottom"/>
          </w:tcPr>
          <w:p>
            <w:pPr>
              <w:spacing w:after="0"/>
              <w:rPr>
                <w:sz w:val="1"/>
                <w:szCs w:val="1"/>
                <w:color w:val="auto"/>
              </w:rPr>
            </w:pPr>
          </w:p>
        </w:tc>
      </w:tr>
      <w:tr>
        <w:trPr>
          <w:trHeight w:val="324"/>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3,568</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gridSpan w:val="2"/>
          </w:tcPr>
          <w:p>
            <w:pPr>
              <w:jc w:val="right"/>
              <w:ind w:right="248"/>
              <w:spacing w:after="0"/>
              <w:rPr>
                <w:sz w:val="20"/>
                <w:szCs w:val="20"/>
                <w:color w:val="auto"/>
              </w:rPr>
            </w:pPr>
            <w:r>
              <w:rPr>
                <w:rFonts w:ascii="Times New Roman" w:cs="Times New Roman" w:eastAsia="Times New Roman" w:hAnsi="Times New Roman"/>
                <w:sz w:val="18"/>
                <w:szCs w:val="18"/>
                <w:color w:val="auto"/>
              </w:rPr>
              <w:t>81</w:t>
            </w: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3,649</w:t>
            </w:r>
          </w:p>
        </w:tc>
        <w:tc>
          <w:tcPr>
            <w:tcW w:w="0" w:type="dxa"/>
            <w:vAlign w:val="bottom"/>
          </w:tcPr>
          <w:p>
            <w:pPr>
              <w:spacing w:after="0"/>
              <w:rPr>
                <w:sz w:val="1"/>
                <w:szCs w:val="1"/>
                <w:color w:val="auto"/>
              </w:rPr>
            </w:pPr>
          </w:p>
        </w:tc>
      </w:tr>
      <w:tr>
        <w:trPr>
          <w:trHeight w:val="27"/>
        </w:trPr>
        <w:tc>
          <w:tcPr>
            <w:tcW w:w="72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19,555</w:t>
            </w:r>
          </w:p>
        </w:tc>
        <w:tc>
          <w:tcPr>
            <w:tcW w:w="1120" w:type="dxa"/>
            <w:vAlign w:val="bottom"/>
            <w:gridSpan w:val="3"/>
            <w:shd w:val="clear" w:color="auto" w:fill="CCEEFF"/>
          </w:tcPr>
          <w:p>
            <w:pPr>
              <w:jc w:val="right"/>
              <w:ind w:right="248"/>
              <w:spacing w:after="0"/>
              <w:rPr>
                <w:sz w:val="20"/>
                <w:szCs w:val="20"/>
                <w:color w:val="auto"/>
              </w:rPr>
            </w:pPr>
            <w:r>
              <w:rPr>
                <w:rFonts w:ascii="Times New Roman" w:cs="Times New Roman" w:eastAsia="Times New Roman" w:hAnsi="Times New Roman"/>
                <w:sz w:val="18"/>
                <w:szCs w:val="18"/>
                <w:b w:val="1"/>
                <w:bCs w:val="1"/>
                <w:color w:val="auto"/>
              </w:rPr>
              <w:t>1,952</w:t>
            </w: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42</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21,549</w:t>
            </w: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154</w:t>
            </w:r>
          </w:p>
        </w:tc>
        <w:tc>
          <w:tcPr>
            <w:tcW w:w="1120" w:type="dxa"/>
            <w:vAlign w:val="bottom"/>
            <w:gridSpan w:val="3"/>
          </w:tcPr>
          <w:p>
            <w:pPr>
              <w:jc w:val="right"/>
              <w:ind w:right="248"/>
              <w:spacing w:after="0"/>
              <w:rPr>
                <w:sz w:val="20"/>
                <w:szCs w:val="20"/>
                <w:color w:val="auto"/>
              </w:rPr>
            </w:pPr>
            <w:r>
              <w:rPr>
                <w:rFonts w:ascii="Times New Roman" w:cs="Times New Roman" w:eastAsia="Times New Roman" w:hAnsi="Times New Roman"/>
                <w:sz w:val="18"/>
                <w:szCs w:val="18"/>
                <w:color w:val="auto"/>
              </w:rPr>
              <w:t>27</w:t>
            </w: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1,053</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1,234</w:t>
            </w:r>
          </w:p>
        </w:tc>
        <w:tc>
          <w:tcPr>
            <w:tcW w:w="0" w:type="dxa"/>
            <w:vAlign w:val="bottom"/>
          </w:tcPr>
          <w:p>
            <w:pPr>
              <w:spacing w:after="0"/>
              <w:rPr>
                <w:sz w:val="1"/>
                <w:szCs w:val="1"/>
                <w:color w:val="auto"/>
              </w:rPr>
            </w:pPr>
          </w:p>
        </w:tc>
      </w:tr>
      <w:tr>
        <w:trPr>
          <w:trHeight w:val="27"/>
        </w:trPr>
        <w:tc>
          <w:tcPr>
            <w:tcW w:w="72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Baidu, Inc.</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19,401</w:t>
            </w:r>
          </w:p>
        </w:tc>
        <w:tc>
          <w:tcPr>
            <w:tcW w:w="1120" w:type="dxa"/>
            <w:vAlign w:val="bottom"/>
            <w:gridSpan w:val="3"/>
            <w:shd w:val="clear" w:color="auto" w:fill="CCEEFF"/>
          </w:tcPr>
          <w:p>
            <w:pPr>
              <w:jc w:val="right"/>
              <w:ind w:right="248"/>
              <w:spacing w:after="0"/>
              <w:rPr>
                <w:sz w:val="20"/>
                <w:szCs w:val="20"/>
                <w:color w:val="auto"/>
              </w:rPr>
            </w:pPr>
            <w:r>
              <w:rPr>
                <w:rFonts w:ascii="Times New Roman" w:cs="Times New Roman" w:eastAsia="Times New Roman" w:hAnsi="Times New Roman"/>
                <w:sz w:val="18"/>
                <w:szCs w:val="18"/>
                <w:b w:val="1"/>
                <w:bCs w:val="1"/>
                <w:color w:val="auto"/>
              </w:rPr>
              <w:t>1,925</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(1,011)</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20,315</w:t>
            </w: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table below provides a summary of the Group’s operating segment operating results for the year ended December 31, 2024.</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9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5"/>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For the year ended December 31, 2024</w:t>
            </w:r>
          </w:p>
        </w:tc>
        <w:tc>
          <w:tcPr>
            <w:tcW w:w="8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90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280" w:type="dxa"/>
            <w:vAlign w:val="bottom"/>
            <w:gridSpan w:val="2"/>
          </w:tcPr>
          <w:p>
            <w:pPr>
              <w:jc w:val="center"/>
              <w:ind w:right="308"/>
              <w:spacing w:after="0" w:line="118" w:lineRule="exact"/>
              <w:rPr>
                <w:sz w:val="20"/>
                <w:szCs w:val="20"/>
                <w:color w:val="auto"/>
              </w:rPr>
            </w:pPr>
            <w:r>
              <w:rPr>
                <w:rFonts w:ascii="Times New Roman" w:cs="Times New Roman" w:eastAsia="Times New Roman" w:hAnsi="Times New Roman"/>
                <w:sz w:val="13"/>
                <w:szCs w:val="13"/>
                <w:b w:val="1"/>
                <w:bCs w:val="1"/>
                <w:color w:val="auto"/>
              </w:rPr>
              <w:t>Baidu General</w:t>
            </w:r>
          </w:p>
        </w:tc>
        <w:tc>
          <w:tcPr>
            <w:tcW w:w="96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iQIYI</w:t>
            </w:r>
          </w:p>
        </w:tc>
        <w:tc>
          <w:tcPr>
            <w:tcW w:w="1200" w:type="dxa"/>
            <w:vAlign w:val="bottom"/>
            <w:gridSpan w:val="2"/>
          </w:tcPr>
          <w:p>
            <w:pPr>
              <w:jc w:val="center"/>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Intersegment</w:t>
            </w:r>
          </w:p>
        </w:tc>
        <w:tc>
          <w:tcPr>
            <w:tcW w:w="8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73"/>
        </w:trPr>
        <w:tc>
          <w:tcPr>
            <w:tcW w:w="49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280" w:type="dxa"/>
            <w:vAlign w:val="bottom"/>
            <w:gridSpan w:val="2"/>
          </w:tcPr>
          <w:p>
            <w:pPr>
              <w:jc w:val="center"/>
              <w:ind w:right="328"/>
              <w:spacing w:after="0"/>
              <w:rPr>
                <w:sz w:val="20"/>
                <w:szCs w:val="20"/>
                <w:color w:val="auto"/>
              </w:rPr>
            </w:pPr>
            <w:r>
              <w:rPr>
                <w:rFonts w:ascii="Times New Roman" w:cs="Times New Roman" w:eastAsia="Times New Roman" w:hAnsi="Times New Roman"/>
                <w:sz w:val="14"/>
                <w:szCs w:val="14"/>
                <w:b w:val="1"/>
                <w:bCs w:val="1"/>
                <w:color w:val="auto"/>
              </w:rPr>
              <w:t>Business</w:t>
            </w:r>
          </w:p>
        </w:tc>
        <w:tc>
          <w:tcPr>
            <w:tcW w:w="960" w:type="dxa"/>
            <w:vAlign w:val="bottom"/>
            <w:gridSpan w:val="2"/>
            <w:vMerge w:val="continue"/>
          </w:tcPr>
          <w:p>
            <w:pPr>
              <w:spacing w:after="0"/>
              <w:rPr>
                <w:sz w:val="15"/>
                <w:szCs w:val="15"/>
                <w:color w:val="auto"/>
              </w:rPr>
            </w:pPr>
          </w:p>
        </w:tc>
        <w:tc>
          <w:tcPr>
            <w:tcW w:w="12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8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90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9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380" w:type="dxa"/>
            <w:vAlign w:val="bottom"/>
          </w:tcPr>
          <w:p>
            <w:pPr>
              <w:spacing w:after="0"/>
              <w:rPr>
                <w:sz w:val="10"/>
                <w:szCs w:val="10"/>
                <w:color w:val="auto"/>
              </w:rPr>
            </w:pPr>
          </w:p>
        </w:tc>
        <w:tc>
          <w:tcPr>
            <w:tcW w:w="560" w:type="dxa"/>
            <w:vAlign w:val="bottom"/>
            <w:tcBorders>
              <w:top w:val="single" w:sz="8" w:color="auto"/>
            </w:tcBorders>
          </w:tcPr>
          <w:p>
            <w:pPr>
              <w:jc w:val="right"/>
              <w:ind w:right="14"/>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400" w:type="dxa"/>
            <w:vAlign w:val="bottom"/>
          </w:tcPr>
          <w:p>
            <w:pPr>
              <w:spacing w:after="0"/>
              <w:rPr>
                <w:sz w:val="10"/>
                <w:szCs w:val="10"/>
                <w:color w:val="auto"/>
              </w:rPr>
            </w:pPr>
          </w:p>
        </w:tc>
        <w:tc>
          <w:tcPr>
            <w:tcW w:w="8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380" w:type="dxa"/>
            <w:vAlign w:val="bottom"/>
          </w:tcPr>
          <w:p>
            <w:pPr>
              <w:spacing w:after="0"/>
              <w:rPr>
                <w:sz w:val="10"/>
                <w:szCs w:val="10"/>
                <w:color w:val="auto"/>
              </w:rPr>
            </w:pPr>
          </w:p>
        </w:tc>
        <w:tc>
          <w:tcPr>
            <w:tcW w:w="820" w:type="dxa"/>
            <w:vAlign w:val="bottom"/>
            <w:tcBorders>
              <w:top w:val="single" w:sz="8" w:color="auto"/>
            </w:tcBorders>
          </w:tcPr>
          <w:p>
            <w:pPr>
              <w:jc w:val="right"/>
              <w:ind w:right="153"/>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9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160" w:type="dxa"/>
            <w:vAlign w:val="bottom"/>
            <w:gridSpan w:val="4"/>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080" w:type="dxa"/>
            <w:vAlign w:val="bottom"/>
            <w:gridSpan w:val="3"/>
            <w:shd w:val="clear" w:color="auto" w:fill="CCEEFF"/>
          </w:tcPr>
          <w:p>
            <w:pPr>
              <w:jc w:val="right"/>
              <w:ind w:right="308"/>
              <w:spacing w:after="0"/>
              <w:rPr>
                <w:sz w:val="20"/>
                <w:szCs w:val="20"/>
                <w:color w:val="auto"/>
              </w:rPr>
            </w:pPr>
            <w:r>
              <w:rPr>
                <w:rFonts w:ascii="Times New Roman" w:cs="Times New Roman" w:eastAsia="Times New Roman" w:hAnsi="Times New Roman"/>
                <w:sz w:val="18"/>
                <w:szCs w:val="18"/>
                <w:b w:val="1"/>
                <w:bCs w:val="1"/>
                <w:color w:val="auto"/>
              </w:rPr>
              <w:t>104,712</w:t>
            </w:r>
          </w:p>
        </w:tc>
        <w:tc>
          <w:tcPr>
            <w:tcW w:w="9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29,225</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(812)</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133,125</w:t>
            </w:r>
          </w:p>
        </w:tc>
        <w:tc>
          <w:tcPr>
            <w:tcW w:w="0" w:type="dxa"/>
            <w:vAlign w:val="bottom"/>
          </w:tcPr>
          <w:p>
            <w:pPr>
              <w:spacing w:after="0"/>
              <w:rPr>
                <w:sz w:val="1"/>
                <w:szCs w:val="1"/>
                <w:color w:val="auto"/>
              </w:rPr>
            </w:pPr>
          </w:p>
        </w:tc>
      </w:tr>
      <w:tr>
        <w:trPr>
          <w:trHeight w:val="223"/>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180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revenue</w:t>
            </w:r>
          </w:p>
        </w:tc>
        <w:tc>
          <w:tcPr>
            <w:tcW w:w="3080" w:type="dxa"/>
            <w:vAlign w:val="bottom"/>
            <w:gridSpan w:val="3"/>
            <w:shd w:val="clear" w:color="auto" w:fill="CCEEFF"/>
          </w:tcPr>
          <w:p>
            <w:pPr>
              <w:jc w:val="right"/>
              <w:ind w:right="308"/>
              <w:spacing w:after="0"/>
              <w:rPr>
                <w:sz w:val="20"/>
                <w:szCs w:val="20"/>
                <w:color w:val="auto"/>
              </w:rPr>
            </w:pPr>
            <w:r>
              <w:rPr>
                <w:rFonts w:ascii="Times New Roman" w:cs="Times New Roman" w:eastAsia="Times New Roman" w:hAnsi="Times New Roman"/>
                <w:sz w:val="18"/>
                <w:szCs w:val="18"/>
                <w:color w:val="auto"/>
              </w:rPr>
              <w:t>44,830</w:t>
            </w:r>
          </w:p>
        </w:tc>
        <w:tc>
          <w:tcPr>
            <w:tcW w:w="9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21,954</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(682)</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66,102</w:t>
            </w:r>
          </w:p>
        </w:tc>
        <w:tc>
          <w:tcPr>
            <w:tcW w:w="0" w:type="dxa"/>
            <w:vAlign w:val="bottom"/>
          </w:tcPr>
          <w:p>
            <w:pPr>
              <w:spacing w:after="0"/>
              <w:rPr>
                <w:sz w:val="1"/>
                <w:szCs w:val="1"/>
                <w:color w:val="auto"/>
              </w:rPr>
            </w:pPr>
          </w:p>
        </w:tc>
      </w:tr>
      <w:tr>
        <w:trPr>
          <w:trHeight w:val="216"/>
        </w:trPr>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080" w:type="dxa"/>
            <w:vAlign w:val="bottom"/>
            <w:gridSpan w:val="3"/>
          </w:tcPr>
          <w:p>
            <w:pPr>
              <w:jc w:val="right"/>
              <w:ind w:right="308"/>
              <w:spacing w:after="0"/>
              <w:rPr>
                <w:sz w:val="20"/>
                <w:szCs w:val="20"/>
                <w:color w:val="auto"/>
              </w:rPr>
            </w:pPr>
            <w:r>
              <w:rPr>
                <w:rFonts w:ascii="Times New Roman" w:cs="Times New Roman" w:eastAsia="Times New Roman" w:hAnsi="Times New Roman"/>
                <w:sz w:val="18"/>
                <w:szCs w:val="18"/>
                <w:color w:val="auto"/>
              </w:rPr>
              <w:t>20,049</w:t>
            </w: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3,682</w:t>
            </w: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(111)</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23,620</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80" w:type="dxa"/>
            <w:vAlign w:val="bottom"/>
            <w:gridSpan w:val="3"/>
            <w:shd w:val="clear" w:color="auto" w:fill="CCEEFF"/>
          </w:tcPr>
          <w:p>
            <w:pPr>
              <w:jc w:val="right"/>
              <w:ind w:right="308"/>
              <w:spacing w:after="0"/>
              <w:rPr>
                <w:sz w:val="20"/>
                <w:szCs w:val="20"/>
                <w:color w:val="auto"/>
              </w:rPr>
            </w:pPr>
            <w:r>
              <w:rPr>
                <w:rFonts w:ascii="Times New Roman" w:cs="Times New Roman" w:eastAsia="Times New Roman" w:hAnsi="Times New Roman"/>
                <w:sz w:val="18"/>
                <w:szCs w:val="18"/>
                <w:color w:val="auto"/>
              </w:rPr>
              <w:t>20,355</w:t>
            </w:r>
          </w:p>
        </w:tc>
        <w:tc>
          <w:tcPr>
            <w:tcW w:w="9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1,778</w:t>
            </w:r>
          </w:p>
        </w:tc>
        <w:tc>
          <w:tcPr>
            <w:tcW w:w="12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22,133</w:t>
            </w: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costs and expenses</w:t>
            </w:r>
          </w:p>
        </w:tc>
        <w:tc>
          <w:tcPr>
            <w:tcW w:w="18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85,234</w:t>
            </w:r>
          </w:p>
        </w:tc>
        <w:tc>
          <w:tcPr>
            <w:tcW w:w="38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27,414</w:t>
            </w: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(793)</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111,855</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8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19,478</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1,811</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(19)</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21,270</w:t>
            </w:r>
          </w:p>
        </w:tc>
        <w:tc>
          <w:tcPr>
            <w:tcW w:w="0" w:type="dxa"/>
            <w:vAlign w:val="bottom"/>
          </w:tcPr>
          <w:p>
            <w:pPr>
              <w:spacing w:after="0"/>
              <w:rPr>
                <w:sz w:val="1"/>
                <w:szCs w:val="1"/>
                <w:color w:val="auto"/>
              </w:rPr>
            </w:pPr>
          </w:p>
        </w:tc>
      </w:tr>
      <w:tr>
        <w:trPr>
          <w:trHeight w:val="230"/>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Total other income (loss), net</w:t>
            </w:r>
          </w:p>
        </w:tc>
        <w:tc>
          <w:tcPr>
            <w:tcW w:w="1800" w:type="dxa"/>
            <w:vAlign w:val="bottom"/>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8,311</w:t>
            </w:r>
          </w:p>
        </w:tc>
        <w:tc>
          <w:tcPr>
            <w:tcW w:w="38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40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3080" w:type="dxa"/>
            <w:vAlign w:val="bottom"/>
            <w:gridSpan w:val="3"/>
            <w:shd w:val="clear" w:color="auto" w:fill="CCEEFF"/>
          </w:tcPr>
          <w:p>
            <w:pPr>
              <w:jc w:val="right"/>
              <w:ind w:right="308"/>
              <w:spacing w:after="0"/>
              <w:rPr>
                <w:sz w:val="20"/>
                <w:szCs w:val="20"/>
                <w:color w:val="auto"/>
              </w:rPr>
            </w:pPr>
            <w:r>
              <w:rPr>
                <w:rFonts w:ascii="Times New Roman" w:cs="Times New Roman" w:eastAsia="Times New Roman" w:hAnsi="Times New Roman"/>
                <w:sz w:val="18"/>
                <w:szCs w:val="18"/>
                <w:b w:val="1"/>
                <w:bCs w:val="1"/>
                <w:color w:val="auto"/>
              </w:rPr>
              <w:t>27,789</w:t>
            </w:r>
          </w:p>
        </w:tc>
        <w:tc>
          <w:tcPr>
            <w:tcW w:w="9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852</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(19)</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28,622</w:t>
            </w:r>
          </w:p>
        </w:tc>
        <w:tc>
          <w:tcPr>
            <w:tcW w:w="0" w:type="dxa"/>
            <w:vAlign w:val="bottom"/>
          </w:tcPr>
          <w:p>
            <w:pPr>
              <w:spacing w:after="0"/>
              <w:rPr>
                <w:sz w:val="1"/>
                <w:szCs w:val="1"/>
                <w:color w:val="auto"/>
              </w:rPr>
            </w:pPr>
          </w:p>
        </w:tc>
      </w:tr>
      <w:tr>
        <w:trPr>
          <w:trHeight w:val="324"/>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8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4,386</w:t>
            </w:r>
          </w:p>
        </w:tc>
        <w:tc>
          <w:tcPr>
            <w:tcW w:w="380" w:type="dxa"/>
            <w:vAlign w:val="bottom"/>
          </w:tcPr>
          <w:p>
            <w:pPr>
              <w:spacing w:after="0"/>
              <w:rPr>
                <w:sz w:val="24"/>
                <w:szCs w:val="24"/>
                <w:color w:val="auto"/>
              </w:rPr>
            </w:pP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61</w:t>
            </w: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4,447</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8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23,403</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791</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(19)</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24,175</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1800" w:type="dxa"/>
            <w:vAlign w:val="bottom"/>
          </w:tcPr>
          <w:p>
            <w:pPr>
              <w:spacing w:after="0"/>
              <w:rPr>
                <w:sz w:val="24"/>
                <w:szCs w:val="24"/>
                <w:color w:val="auto"/>
              </w:rPr>
            </w:pPr>
          </w:p>
        </w:tc>
        <w:tc>
          <w:tcPr>
            <w:tcW w:w="1280" w:type="dxa"/>
            <w:vAlign w:val="bottom"/>
            <w:gridSpan w:val="2"/>
          </w:tcPr>
          <w:p>
            <w:pPr>
              <w:jc w:val="right"/>
              <w:ind w:right="248"/>
              <w:spacing w:after="0"/>
              <w:rPr>
                <w:sz w:val="20"/>
                <w:szCs w:val="20"/>
                <w:color w:val="auto"/>
              </w:rPr>
            </w:pPr>
            <w:r>
              <w:rPr>
                <w:rFonts w:ascii="Times New Roman" w:cs="Times New Roman" w:eastAsia="Times New Roman" w:hAnsi="Times New Roman"/>
                <w:sz w:val="18"/>
                <w:szCs w:val="18"/>
                <w:color w:val="auto"/>
              </w:rPr>
              <w:t>(28)</w:t>
            </w: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27</w:t>
            </w: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416</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415</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Baidu, Inc.</w:t>
            </w:r>
          </w:p>
        </w:tc>
        <w:tc>
          <w:tcPr>
            <w:tcW w:w="18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23,431</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764</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(435)</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23,760</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900" w:type="dxa"/>
            <w:vAlign w:val="bottom"/>
          </w:tcPr>
          <w:p>
            <w:pPr>
              <w:spacing w:after="0"/>
              <w:rPr>
                <w:sz w:val="24"/>
                <w:szCs w:val="24"/>
                <w:color w:val="auto"/>
              </w:rPr>
            </w:pPr>
          </w:p>
        </w:tc>
        <w:tc>
          <w:tcPr>
            <w:tcW w:w="3080" w:type="dxa"/>
            <w:vAlign w:val="bottom"/>
            <w:gridSpan w:val="3"/>
          </w:tcPr>
          <w:p>
            <w:pPr>
              <w:jc w:val="right"/>
              <w:ind w:right="2228"/>
              <w:spacing w:after="0"/>
              <w:rPr>
                <w:sz w:val="20"/>
                <w:szCs w:val="20"/>
                <w:color w:val="auto"/>
              </w:rPr>
            </w:pPr>
            <w:r>
              <w:rPr>
                <w:rFonts w:ascii="Times New Roman" w:cs="Times New Roman" w:eastAsia="Times New Roman" w:hAnsi="Times New Roman"/>
                <w:sz w:val="18"/>
                <w:szCs w:val="18"/>
                <w:color w:val="auto"/>
              </w:rPr>
              <w:t>F-59</w:t>
            </w: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285" w:name="page286"/>
    <w:bookmarkEnd w:id="2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45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BAIDU, INC.</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THE YEARS ENDED DECEMBER 31, 2023, 2024 AND 2025</w:t>
      </w:r>
    </w:p>
    <w:p>
      <w:pPr>
        <w:spacing w:after="0" w:line="2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table below provides a summary of the Group’s operating segment operating results for the year ended December 31, 2025.</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26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14"/>
          </w:tcPr>
          <w:p>
            <w:pPr>
              <w:spacing w:after="0"/>
              <w:rPr>
                <w:sz w:val="20"/>
                <w:szCs w:val="20"/>
                <w:color w:val="auto"/>
              </w:rPr>
            </w:pPr>
            <w:r>
              <w:rPr>
                <w:rFonts w:ascii="Times New Roman" w:cs="Times New Roman" w:eastAsia="Times New Roman" w:hAnsi="Times New Roman"/>
                <w:sz w:val="14"/>
                <w:szCs w:val="14"/>
                <w:b w:val="1"/>
                <w:bCs w:val="1"/>
                <w:color w:val="auto"/>
              </w:rPr>
              <w:t>For the year ended December 31, 2025</w:t>
            </w: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260" w:type="dxa"/>
            <w:vAlign w:val="bottom"/>
          </w:tcPr>
          <w:p>
            <w:pPr>
              <w:spacing w:after="0"/>
              <w:rPr>
                <w:sz w:val="10"/>
                <w:szCs w:val="10"/>
                <w:color w:val="auto"/>
              </w:rPr>
            </w:pPr>
          </w:p>
        </w:tc>
        <w:tc>
          <w:tcPr>
            <w:tcW w:w="1640" w:type="dxa"/>
            <w:vAlign w:val="bottom"/>
            <w:gridSpan w:val="5"/>
          </w:tcPr>
          <w:p>
            <w:pPr>
              <w:jc w:val="right"/>
              <w:ind w:right="480"/>
              <w:spacing w:after="0" w:line="118" w:lineRule="exact"/>
              <w:rPr>
                <w:sz w:val="20"/>
                <w:szCs w:val="20"/>
                <w:color w:val="auto"/>
              </w:rPr>
            </w:pPr>
            <w:r>
              <w:rPr>
                <w:rFonts w:ascii="Times New Roman" w:cs="Times New Roman" w:eastAsia="Times New Roman" w:hAnsi="Times New Roman"/>
                <w:sz w:val="13"/>
                <w:szCs w:val="13"/>
                <w:b w:val="1"/>
                <w:bCs w:val="1"/>
                <w:color w:val="auto"/>
              </w:rPr>
              <w:t>Baidu General</w:t>
            </w: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iQIYI</w:t>
            </w: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gridSpan w:val="9"/>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Intersegment</w:t>
            </w:r>
          </w:p>
        </w:tc>
        <w:tc>
          <w:tcPr>
            <w:tcW w:w="120" w:type="dxa"/>
            <w:vAlign w:val="bottom"/>
          </w:tcPr>
          <w:p>
            <w:pPr>
              <w:spacing w:after="0"/>
              <w:rPr>
                <w:sz w:val="10"/>
                <w:szCs w:val="10"/>
                <w:color w:val="auto"/>
              </w:rPr>
            </w:pPr>
          </w:p>
        </w:tc>
        <w:tc>
          <w:tcPr>
            <w:tcW w:w="1420" w:type="dxa"/>
            <w:vAlign w:val="bottom"/>
            <w:gridSpan w:val="6"/>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73"/>
        </w:trPr>
        <w:tc>
          <w:tcPr>
            <w:tcW w:w="5260" w:type="dxa"/>
            <w:vAlign w:val="bottom"/>
          </w:tcPr>
          <w:p>
            <w:pPr>
              <w:spacing w:after="0"/>
              <w:rPr>
                <w:sz w:val="15"/>
                <w:szCs w:val="15"/>
                <w:color w:val="auto"/>
              </w:rPr>
            </w:pPr>
          </w:p>
        </w:tc>
        <w:tc>
          <w:tcPr>
            <w:tcW w:w="1640" w:type="dxa"/>
            <w:vAlign w:val="bottom"/>
            <w:gridSpan w:val="5"/>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Business</w:t>
            </w:r>
          </w:p>
        </w:tc>
        <w:tc>
          <w:tcPr>
            <w:tcW w:w="76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9"/>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20" w:type="dxa"/>
            <w:vAlign w:val="bottom"/>
          </w:tcPr>
          <w:p>
            <w:pPr>
              <w:spacing w:after="0"/>
              <w:rPr>
                <w:sz w:val="15"/>
                <w:szCs w:val="15"/>
                <w:color w:val="auto"/>
              </w:rPr>
            </w:pPr>
          </w:p>
        </w:tc>
        <w:tc>
          <w:tcPr>
            <w:tcW w:w="1420" w:type="dxa"/>
            <w:vAlign w:val="bottom"/>
            <w:gridSpan w:val="6"/>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260" w:type="dxa"/>
            <w:vAlign w:val="bottom"/>
          </w:tcPr>
          <w:p>
            <w:pPr>
              <w:spacing w:after="0"/>
              <w:rPr>
                <w:sz w:val="10"/>
                <w:szCs w:val="10"/>
                <w:color w:val="auto"/>
              </w:rPr>
            </w:pPr>
          </w:p>
        </w:tc>
        <w:tc>
          <w:tcPr>
            <w:tcW w:w="860" w:type="dxa"/>
            <w:vAlign w:val="bottom"/>
            <w:tcBorders>
              <w:top w:val="single" w:sz="8" w:color="auto"/>
            </w:tcBorders>
            <w:gridSpan w:val="3"/>
          </w:tcPr>
          <w:p>
            <w:pPr>
              <w:jc w:val="right"/>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560" w:type="dxa"/>
            <w:vAlign w:val="bottom"/>
            <w:tcBorders>
              <w:top w:val="single" w:sz="8" w:color="auto"/>
            </w:tcBorders>
          </w:tcPr>
          <w:p>
            <w:pPr>
              <w:jc w:val="right"/>
              <w:ind w:right="72"/>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c>
          <w:tcPr>
            <w:tcW w:w="220" w:type="dxa"/>
            <w:vAlign w:val="bottom"/>
          </w:tcPr>
          <w:p>
            <w:pPr>
              <w:spacing w:after="0"/>
              <w:rPr>
                <w:sz w:val="10"/>
                <w:szCs w:val="10"/>
                <w:color w:val="auto"/>
              </w:rPr>
            </w:pPr>
          </w:p>
        </w:tc>
        <w:tc>
          <w:tcPr>
            <w:tcW w:w="760" w:type="dxa"/>
            <w:vAlign w:val="bottom"/>
            <w:tcBorders>
              <w:top w:val="single" w:sz="8" w:color="auto"/>
            </w:tcBorders>
            <w:gridSpan w:val="2"/>
          </w:tcPr>
          <w:p>
            <w:pPr>
              <w:jc w:val="right"/>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460" w:type="dxa"/>
            <w:vAlign w:val="bottom"/>
            <w:tcBorders>
              <w:top w:val="single" w:sz="8" w:color="auto"/>
            </w:tcBorders>
            <w:gridSpan w:val="2"/>
          </w:tcPr>
          <w:p>
            <w:pPr>
              <w:jc w:val="right"/>
              <w:ind w:right="19"/>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c>
          <w:tcPr>
            <w:tcW w:w="220" w:type="dxa"/>
            <w:vAlign w:val="bottom"/>
          </w:tcPr>
          <w:p>
            <w:pPr>
              <w:spacing w:after="0"/>
              <w:rPr>
                <w:sz w:val="10"/>
                <w:szCs w:val="10"/>
                <w:color w:val="auto"/>
              </w:rPr>
            </w:pPr>
          </w:p>
        </w:tc>
        <w:tc>
          <w:tcPr>
            <w:tcW w:w="480" w:type="dxa"/>
            <w:vAlign w:val="bottom"/>
            <w:tcBorders>
              <w:top w:val="single" w:sz="8" w:color="auto"/>
            </w:tcBorders>
            <w:gridSpan w:val="5"/>
          </w:tcPr>
          <w:p>
            <w:pPr>
              <w:jc w:val="right"/>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12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gridSpan w:val="3"/>
          </w:tcPr>
          <w:p>
            <w:pPr>
              <w:jc w:val="right"/>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540" w:type="dxa"/>
            <w:vAlign w:val="bottom"/>
            <w:tcBorders>
              <w:top w:val="single" w:sz="8" w:color="auto"/>
            </w:tcBorders>
          </w:tcPr>
          <w:p>
            <w:pPr>
              <w:jc w:val="right"/>
              <w:ind w:right="53"/>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gridSpan w:val="8"/>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102,485</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14,655</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27,290</w:t>
            </w:r>
          </w:p>
        </w:tc>
        <w:tc>
          <w:tcPr>
            <w:tcW w:w="680" w:type="dxa"/>
            <w:vAlign w:val="bottom"/>
            <w:tcBorders>
              <w:left w:val="single" w:sz="8" w:color="CCEEFF"/>
            </w:tcBorders>
            <w:gridSpan w:val="3"/>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b w:val="1"/>
                <w:bCs w:val="1"/>
                <w:color w:val="auto"/>
              </w:rPr>
              <w:t>3,902</w:t>
            </w:r>
          </w:p>
        </w:tc>
        <w:tc>
          <w:tcPr>
            <w:tcW w:w="48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(696)</w:t>
            </w:r>
          </w:p>
        </w:tc>
        <w:tc>
          <w:tcPr>
            <w:tcW w:w="6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(99)</w:t>
            </w:r>
          </w:p>
        </w:tc>
        <w:tc>
          <w:tcPr>
            <w:tcW w:w="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129,079</w:t>
            </w:r>
          </w:p>
        </w:tc>
        <w:tc>
          <w:tcPr>
            <w:tcW w:w="120" w:type="dxa"/>
            <w:vAlign w:val="bottom"/>
            <w:shd w:val="clear" w:color="auto" w:fill="CCEEFF"/>
          </w:tcPr>
          <w:p>
            <w:pPr>
              <w:spacing w:after="0"/>
              <w:rPr>
                <w:sz w:val="18"/>
                <w:szCs w:val="18"/>
                <w:color w:val="auto"/>
              </w:rPr>
            </w:pPr>
          </w:p>
        </w:tc>
        <w:tc>
          <w:tcPr>
            <w:tcW w:w="600" w:type="dxa"/>
            <w:vAlign w:val="bottom"/>
            <w:tcBorders>
              <w:lef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18,458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6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revenue</w:t>
            </w:r>
          </w:p>
        </w:tc>
        <w:tc>
          <w:tcPr>
            <w:tcW w:w="8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51,498</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7,364</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21,541</w:t>
            </w:r>
          </w:p>
        </w:tc>
        <w:tc>
          <w:tcPr>
            <w:tcW w:w="680" w:type="dxa"/>
            <w:vAlign w:val="bottom"/>
            <w:tcBorders>
              <w:left w:val="single" w:sz="8" w:color="CCEEFF"/>
            </w:tcBorders>
            <w:gridSpan w:val="3"/>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3,080</w:t>
            </w:r>
          </w:p>
        </w:tc>
        <w:tc>
          <w:tcPr>
            <w:tcW w:w="48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(603)</w:t>
            </w:r>
          </w:p>
        </w:tc>
        <w:tc>
          <w:tcPr>
            <w:tcW w:w="6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w:t>
            </w:r>
          </w:p>
        </w:tc>
        <w:tc>
          <w:tcPr>
            <w:tcW w:w="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72,436</w:t>
            </w:r>
          </w:p>
        </w:tc>
        <w:tc>
          <w:tcPr>
            <w:tcW w:w="120" w:type="dxa"/>
            <w:vAlign w:val="bottom"/>
            <w:shd w:val="clear" w:color="auto" w:fill="CCEEFF"/>
          </w:tcPr>
          <w:p>
            <w:pPr>
              <w:spacing w:after="0"/>
              <w:rPr>
                <w:sz w:val="18"/>
                <w:szCs w:val="18"/>
                <w:color w:val="auto"/>
              </w:rPr>
            </w:pPr>
          </w:p>
        </w:tc>
        <w:tc>
          <w:tcPr>
            <w:tcW w:w="600" w:type="dxa"/>
            <w:vAlign w:val="bottom"/>
            <w:tcBorders>
              <w:lef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10,358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22,071</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3,156</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3,857</w:t>
            </w:r>
          </w:p>
        </w:tc>
        <w:tc>
          <w:tcPr>
            <w:tcW w:w="680" w:type="dxa"/>
            <w:vAlign w:val="bottom"/>
            <w:gridSpan w:val="3"/>
          </w:tcPr>
          <w:p>
            <w:pPr>
              <w:jc w:val="right"/>
              <w:ind w:right="153"/>
              <w:spacing w:after="0"/>
              <w:rPr>
                <w:sz w:val="20"/>
                <w:szCs w:val="20"/>
                <w:color w:val="auto"/>
              </w:rPr>
            </w:pPr>
            <w:r>
              <w:rPr>
                <w:rFonts w:ascii="Times New Roman" w:cs="Times New Roman" w:eastAsia="Times New Roman" w:hAnsi="Times New Roman"/>
                <w:sz w:val="18"/>
                <w:szCs w:val="18"/>
                <w:color w:val="auto"/>
              </w:rPr>
              <w:t>552</w:t>
            </w:r>
          </w:p>
        </w:tc>
        <w:tc>
          <w:tcPr>
            <w:tcW w:w="48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(85)</w:t>
            </w:r>
          </w:p>
        </w:tc>
        <w:tc>
          <w:tcPr>
            <w:tcW w:w="6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c>
          <w:tcPr>
            <w:tcW w:w="40" w:type="dxa"/>
            <w:vAlign w:val="bottom"/>
          </w:tcPr>
          <w:p>
            <w:pPr>
              <w:spacing w:after="0"/>
              <w:rPr>
                <w:sz w:val="18"/>
                <w:szCs w:val="18"/>
                <w:color w:val="auto"/>
              </w:rPr>
            </w:pPr>
          </w:p>
        </w:tc>
        <w:tc>
          <w:tcPr>
            <w:tcW w:w="7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25,843</w:t>
            </w:r>
          </w:p>
        </w:tc>
        <w:tc>
          <w:tcPr>
            <w:tcW w:w="12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18,770</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2,684</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1,663</w:t>
            </w:r>
          </w:p>
        </w:tc>
        <w:tc>
          <w:tcPr>
            <w:tcW w:w="680" w:type="dxa"/>
            <w:vAlign w:val="bottom"/>
            <w:tcBorders>
              <w:left w:val="single" w:sz="8" w:color="CCEEFF"/>
            </w:tcBorders>
            <w:gridSpan w:val="3"/>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238</w:t>
            </w:r>
          </w:p>
        </w:tc>
        <w:tc>
          <w:tcPr>
            <w:tcW w:w="480" w:type="dxa"/>
            <w:vAlign w:val="bottom"/>
            <w:gridSpan w:val="5"/>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81"/>
              </w:rPr>
              <w:t>— </w:t>
            </w:r>
          </w:p>
        </w:tc>
        <w:tc>
          <w:tcPr>
            <w:tcW w:w="7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20,433</w:t>
            </w:r>
          </w:p>
        </w:tc>
        <w:tc>
          <w:tcPr>
            <w:tcW w:w="120" w:type="dxa"/>
            <w:vAlign w:val="bottom"/>
            <w:shd w:val="clear" w:color="auto" w:fill="CCEEFF"/>
          </w:tcPr>
          <w:p>
            <w:pPr>
              <w:spacing w:after="0"/>
              <w:rPr>
                <w:sz w:val="18"/>
                <w:szCs w:val="18"/>
                <w:color w:val="auto"/>
              </w:rPr>
            </w:pPr>
          </w:p>
        </w:tc>
        <w:tc>
          <w:tcPr>
            <w:tcW w:w="600" w:type="dxa"/>
            <w:vAlign w:val="bottom"/>
            <w:tcBorders>
              <w:lef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16,190</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2,315</w:t>
            </w: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3"/>
          </w:tcPr>
          <w:p>
            <w:pPr>
              <w:jc w:val="right"/>
              <w:ind w:right="193"/>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5"/>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5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81"/>
              </w:rPr>
              <w:t>— </w:t>
            </w:r>
          </w:p>
        </w:tc>
        <w:tc>
          <w:tcPr>
            <w:tcW w:w="7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16,190</w:t>
            </w:r>
          </w:p>
        </w:tc>
        <w:tc>
          <w:tcPr>
            <w:tcW w:w="12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costs and expenses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108,529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15,519</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27,061</w:t>
            </w:r>
          </w:p>
        </w:tc>
        <w:tc>
          <w:tcPr>
            <w:tcW w:w="680" w:type="dxa"/>
            <w:vAlign w:val="bottom"/>
            <w:tcBorders>
              <w:left w:val="single" w:sz="8" w:color="CCEEFF"/>
            </w:tcBorders>
            <w:gridSpan w:val="3"/>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b w:val="1"/>
                <w:bCs w:val="1"/>
                <w:color w:val="auto"/>
              </w:rPr>
              <w:t>3,870</w:t>
            </w:r>
          </w:p>
        </w:tc>
        <w:tc>
          <w:tcPr>
            <w:tcW w:w="48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(688)</w:t>
            </w:r>
          </w:p>
        </w:tc>
        <w:tc>
          <w:tcPr>
            <w:tcW w:w="6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(98)</w:t>
            </w:r>
          </w:p>
        </w:tc>
        <w:tc>
          <w:tcPr>
            <w:tcW w:w="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134,902</w:t>
            </w:r>
          </w:p>
        </w:tc>
        <w:tc>
          <w:tcPr>
            <w:tcW w:w="120" w:type="dxa"/>
            <w:vAlign w:val="bottom"/>
            <w:shd w:val="clear" w:color="auto" w:fill="CCEEFF"/>
          </w:tcPr>
          <w:p>
            <w:pPr>
              <w:spacing w:after="0"/>
              <w:rPr>
                <w:sz w:val="18"/>
                <w:szCs w:val="18"/>
                <w:color w:val="auto"/>
              </w:rPr>
            </w:pPr>
          </w:p>
        </w:tc>
        <w:tc>
          <w:tcPr>
            <w:tcW w:w="600" w:type="dxa"/>
            <w:vAlign w:val="bottom"/>
            <w:tcBorders>
              <w:lef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19,291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6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2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54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60" w:type="dxa"/>
            <w:vAlign w:val="bottom"/>
            <w:vMerge w:val="continue"/>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(6,044)</w:t>
            </w:r>
          </w:p>
        </w:tc>
        <w:tc>
          <w:tcPr>
            <w:tcW w:w="2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(864)</w:t>
            </w:r>
          </w:p>
        </w:tc>
        <w:tc>
          <w:tcPr>
            <w:tcW w:w="220" w:type="dxa"/>
            <w:vAlign w:val="bottom"/>
            <w:vMerge w:val="continue"/>
          </w:tcPr>
          <w:p>
            <w:pPr>
              <w:spacing w:after="0"/>
              <w:rPr>
                <w:sz w:val="19"/>
                <w:szCs w:val="19"/>
                <w:color w:val="auto"/>
              </w:rPr>
            </w:pPr>
          </w:p>
        </w:tc>
        <w:tc>
          <w:tcPr>
            <w:tcW w:w="54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w w:val="88"/>
              </w:rPr>
              <w:t>229</w:t>
            </w:r>
          </w:p>
        </w:tc>
        <w:tc>
          <w:tcPr>
            <w:tcW w:w="220" w:type="dxa"/>
            <w:vAlign w:val="bottom"/>
            <w:vMerge w:val="continue"/>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32</w:t>
            </w:r>
          </w:p>
        </w:tc>
        <w:tc>
          <w:tcPr>
            <w:tcW w:w="220" w:type="dxa"/>
            <w:vAlign w:val="bottom"/>
            <w:vMerge w:val="continue"/>
          </w:tcPr>
          <w:p>
            <w:pPr>
              <w:spacing w:after="0"/>
              <w:rPr>
                <w:sz w:val="19"/>
                <w:szCs w:val="19"/>
                <w:color w:val="auto"/>
              </w:rPr>
            </w:pPr>
          </w:p>
        </w:tc>
        <w:tc>
          <w:tcPr>
            <w:tcW w:w="48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(8)</w:t>
            </w:r>
          </w:p>
        </w:tc>
        <w:tc>
          <w:tcPr>
            <w:tcW w:w="120" w:type="dxa"/>
            <w:vAlign w:val="bottom"/>
            <w:vMerge w:val="continue"/>
          </w:tcPr>
          <w:p>
            <w:pPr>
              <w:spacing w:after="0"/>
              <w:rPr>
                <w:sz w:val="19"/>
                <w:szCs w:val="19"/>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w:t>
            </w:r>
          </w:p>
        </w:tc>
        <w:tc>
          <w:tcPr>
            <w:tcW w:w="4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(5,823)</w:t>
            </w:r>
          </w:p>
        </w:tc>
        <w:tc>
          <w:tcPr>
            <w:tcW w:w="10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(833)</w:t>
            </w:r>
          </w:p>
        </w:tc>
        <w:tc>
          <w:tcPr>
            <w:tcW w:w="60" w:type="dxa"/>
            <w:vAlign w:val="bottom"/>
            <w:vMerge w:val="continue"/>
          </w:tcPr>
          <w:p>
            <w:pPr>
              <w:spacing w:after="0"/>
              <w:rPr>
                <w:sz w:val="19"/>
                <w:szCs w:val="19"/>
                <w:color w:val="auto"/>
              </w:rPr>
            </w:pPr>
          </w:p>
        </w:tc>
        <w:tc>
          <w:tcPr>
            <w:tcW w:w="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Borders>
              <w:left w:val="single" w:sz="8" w:color="auto"/>
            </w:tcBorders>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lef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income (loss), net</w:t>
            </w:r>
          </w:p>
        </w:tc>
        <w:tc>
          <w:tcPr>
            <w:tcW w:w="8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12,828</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1,834</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(289)</w:t>
            </w:r>
          </w:p>
        </w:tc>
        <w:tc>
          <w:tcPr>
            <w:tcW w:w="680" w:type="dxa"/>
            <w:vAlign w:val="bottom"/>
            <w:tcBorders>
              <w:left w:val="single" w:sz="8" w:color="CCEEFF"/>
            </w:tcBorders>
            <w:gridSpan w:val="3"/>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(41)</w:t>
            </w:r>
          </w:p>
        </w:tc>
        <w:tc>
          <w:tcPr>
            <w:tcW w:w="480" w:type="dxa"/>
            <w:vAlign w:val="bottom"/>
            <w:gridSpan w:val="5"/>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81"/>
              </w:rPr>
              <w:t>— </w:t>
            </w:r>
          </w:p>
        </w:tc>
        <w:tc>
          <w:tcPr>
            <w:tcW w:w="7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12,539</w:t>
            </w:r>
          </w:p>
        </w:tc>
        <w:tc>
          <w:tcPr>
            <w:tcW w:w="120" w:type="dxa"/>
            <w:vAlign w:val="bottom"/>
            <w:shd w:val="clear" w:color="auto" w:fill="CCEEFF"/>
          </w:tcPr>
          <w:p>
            <w:pPr>
              <w:spacing w:after="0"/>
              <w:rPr>
                <w:sz w:val="18"/>
                <w:szCs w:val="18"/>
                <w:color w:val="auto"/>
              </w:rPr>
            </w:pPr>
          </w:p>
        </w:tc>
        <w:tc>
          <w:tcPr>
            <w:tcW w:w="600" w:type="dxa"/>
            <w:vAlign w:val="bottom"/>
            <w:tcBorders>
              <w:lef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6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2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54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60" w:type="dxa"/>
            <w:vAlign w:val="bottom"/>
            <w:vMerge w:val="continue"/>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6,784</w:t>
            </w:r>
          </w:p>
        </w:tc>
        <w:tc>
          <w:tcPr>
            <w:tcW w:w="2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970</w:t>
            </w:r>
          </w:p>
        </w:tc>
        <w:tc>
          <w:tcPr>
            <w:tcW w:w="220" w:type="dxa"/>
            <w:vAlign w:val="bottom"/>
            <w:vMerge w:val="continue"/>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w:t>
            </w:r>
          </w:p>
        </w:tc>
        <w:tc>
          <w:tcPr>
            <w:tcW w:w="220" w:type="dxa"/>
            <w:vAlign w:val="bottom"/>
            <w:vMerge w:val="continue"/>
          </w:tcPr>
          <w:p>
            <w:pPr>
              <w:spacing w:after="0"/>
              <w:rPr>
                <w:sz w:val="19"/>
                <w:szCs w:val="19"/>
                <w:color w:val="auto"/>
              </w:rPr>
            </w:pPr>
          </w:p>
        </w:tc>
        <w:tc>
          <w:tcPr>
            <w:tcW w:w="680" w:type="dxa"/>
            <w:vAlign w:val="bottom"/>
            <w:gridSpan w:val="3"/>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(9)</w:t>
            </w:r>
          </w:p>
        </w:tc>
        <w:tc>
          <w:tcPr>
            <w:tcW w:w="48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(8)</w:t>
            </w:r>
          </w:p>
        </w:tc>
        <w:tc>
          <w:tcPr>
            <w:tcW w:w="120" w:type="dxa"/>
            <w:vAlign w:val="bottom"/>
            <w:vMerge w:val="continue"/>
          </w:tcPr>
          <w:p>
            <w:pPr>
              <w:spacing w:after="0"/>
              <w:rPr>
                <w:sz w:val="19"/>
                <w:szCs w:val="19"/>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w:t>
            </w:r>
          </w:p>
        </w:tc>
        <w:tc>
          <w:tcPr>
            <w:tcW w:w="4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6,716</w:t>
            </w:r>
          </w:p>
        </w:tc>
        <w:tc>
          <w:tcPr>
            <w:tcW w:w="10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960</w:t>
            </w:r>
          </w:p>
        </w:tc>
        <w:tc>
          <w:tcPr>
            <w:tcW w:w="60" w:type="dxa"/>
            <w:vAlign w:val="bottom"/>
            <w:vMerge w:val="continue"/>
          </w:tcPr>
          <w:p>
            <w:pPr>
              <w:spacing w:after="0"/>
              <w:rPr>
                <w:sz w:val="19"/>
                <w:szCs w:val="19"/>
                <w:color w:val="auto"/>
              </w:rPr>
            </w:pPr>
          </w:p>
        </w:tc>
        <w:tc>
          <w:tcPr>
            <w:tcW w:w="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Borders>
              <w:left w:val="single" w:sz="8" w:color="auto"/>
            </w:tcBorders>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lef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8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1,115</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159</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144</w:t>
            </w:r>
          </w:p>
        </w:tc>
        <w:tc>
          <w:tcPr>
            <w:tcW w:w="680" w:type="dxa"/>
            <w:vAlign w:val="bottom"/>
            <w:tcBorders>
              <w:left w:val="single" w:sz="8" w:color="CCEEFF"/>
            </w:tcBorders>
            <w:gridSpan w:val="3"/>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21</w:t>
            </w:r>
          </w:p>
        </w:tc>
        <w:tc>
          <w:tcPr>
            <w:tcW w:w="480" w:type="dxa"/>
            <w:vAlign w:val="bottom"/>
            <w:gridSpan w:val="5"/>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81"/>
              </w:rPr>
              <w:t>— </w:t>
            </w:r>
          </w:p>
        </w:tc>
        <w:tc>
          <w:tcPr>
            <w:tcW w:w="7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1,259</w:t>
            </w:r>
          </w:p>
        </w:tc>
        <w:tc>
          <w:tcPr>
            <w:tcW w:w="120" w:type="dxa"/>
            <w:vAlign w:val="bottom"/>
            <w:shd w:val="clear" w:color="auto" w:fill="CCEEFF"/>
          </w:tcPr>
          <w:p>
            <w:pPr>
              <w:spacing w:after="0"/>
              <w:rPr>
                <w:sz w:val="18"/>
                <w:szCs w:val="18"/>
                <w:color w:val="auto"/>
              </w:rPr>
            </w:pPr>
          </w:p>
        </w:tc>
        <w:tc>
          <w:tcPr>
            <w:tcW w:w="600" w:type="dxa"/>
            <w:vAlign w:val="bottom"/>
            <w:tcBorders>
              <w:lef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6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2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54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60" w:type="dxa"/>
            <w:vAlign w:val="bottom"/>
            <w:vMerge w:val="continue"/>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5,669</w:t>
            </w:r>
          </w:p>
        </w:tc>
        <w:tc>
          <w:tcPr>
            <w:tcW w:w="2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811</w:t>
            </w:r>
          </w:p>
        </w:tc>
        <w:tc>
          <w:tcPr>
            <w:tcW w:w="220" w:type="dxa"/>
            <w:vAlign w:val="bottom"/>
            <w:vMerge w:val="continue"/>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(204)</w:t>
            </w:r>
          </w:p>
        </w:tc>
        <w:tc>
          <w:tcPr>
            <w:tcW w:w="220" w:type="dxa"/>
            <w:vAlign w:val="bottom"/>
            <w:vMerge w:val="continue"/>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220" w:type="dxa"/>
            <w:vAlign w:val="bottom"/>
            <w:vMerge w:val="continue"/>
          </w:tcPr>
          <w:p>
            <w:pPr>
              <w:spacing w:after="0"/>
              <w:rPr>
                <w:sz w:val="19"/>
                <w:szCs w:val="19"/>
                <w:color w:val="auto"/>
              </w:rPr>
            </w:pPr>
          </w:p>
        </w:tc>
        <w:tc>
          <w:tcPr>
            <w:tcW w:w="48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(8)</w:t>
            </w:r>
          </w:p>
        </w:tc>
        <w:tc>
          <w:tcPr>
            <w:tcW w:w="120" w:type="dxa"/>
            <w:vAlign w:val="bottom"/>
            <w:vMerge w:val="continue"/>
          </w:tcPr>
          <w:p>
            <w:pPr>
              <w:spacing w:after="0"/>
              <w:rPr>
                <w:sz w:val="19"/>
                <w:szCs w:val="19"/>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w:t>
            </w:r>
          </w:p>
        </w:tc>
        <w:tc>
          <w:tcPr>
            <w:tcW w:w="4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5,457</w:t>
            </w:r>
          </w:p>
        </w:tc>
        <w:tc>
          <w:tcPr>
            <w:tcW w:w="10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780</w:t>
            </w:r>
          </w:p>
        </w:tc>
        <w:tc>
          <w:tcPr>
            <w:tcW w:w="60" w:type="dxa"/>
            <w:vAlign w:val="bottom"/>
            <w:vMerge w:val="continue"/>
          </w:tcPr>
          <w:p>
            <w:pPr>
              <w:spacing w:after="0"/>
              <w:rPr>
                <w:sz w:val="19"/>
                <w:szCs w:val="19"/>
                <w:color w:val="auto"/>
              </w:rPr>
            </w:pPr>
          </w:p>
        </w:tc>
        <w:tc>
          <w:tcPr>
            <w:tcW w:w="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526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680" w:type="dxa"/>
            <w:vAlign w:val="bottom"/>
            <w:tcBorders>
              <w:left w:val="single" w:sz="8" w:color="CCEEFF"/>
            </w:tcBorders>
            <w:gridSpan w:val="3"/>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(113)</w:t>
            </w:r>
          </w:p>
        </w:tc>
        <w:tc>
          <w:tcPr>
            <w:tcW w:w="6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w:t>
            </w:r>
          </w:p>
        </w:tc>
        <w:tc>
          <w:tcPr>
            <w:tcW w:w="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shd w:val="clear" w:color="auto" w:fill="CCEEFF"/>
          </w:tcPr>
          <w:p>
            <w:pPr>
              <w:spacing w:after="0"/>
              <w:rPr>
                <w:sz w:val="18"/>
                <w:szCs w:val="18"/>
                <w:color w:val="auto"/>
              </w:rPr>
            </w:pPr>
          </w:p>
        </w:tc>
        <w:tc>
          <w:tcPr>
            <w:tcW w:w="660" w:type="dxa"/>
            <w:vAlign w:val="bottom"/>
            <w:tcBorders>
              <w:left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3"/>
        </w:trPr>
        <w:tc>
          <w:tcPr>
            <w:tcW w:w="5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 attributable to Baidu, Inc.</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5,691</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814</w:t>
            </w:r>
          </w:p>
        </w:tc>
        <w:tc>
          <w:tcPr>
            <w:tcW w:w="22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(207)</w:t>
            </w:r>
          </w:p>
        </w:tc>
        <w:tc>
          <w:tcPr>
            <w:tcW w:w="220" w:type="dxa"/>
            <w:vAlign w:val="bottom"/>
          </w:tcPr>
          <w:p>
            <w:pPr>
              <w:spacing w:after="0"/>
              <w:rPr>
                <w:sz w:val="19"/>
                <w:szCs w:val="19"/>
                <w:color w:val="auto"/>
              </w:rPr>
            </w:pPr>
          </w:p>
        </w:tc>
        <w:tc>
          <w:tcPr>
            <w:tcW w:w="4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220" w:type="dxa"/>
            <w:vAlign w:val="bottom"/>
          </w:tcPr>
          <w:p>
            <w:pPr>
              <w:spacing w:after="0"/>
              <w:rPr>
                <w:sz w:val="19"/>
                <w:szCs w:val="19"/>
                <w:color w:val="auto"/>
              </w:rPr>
            </w:pPr>
          </w:p>
        </w:tc>
        <w:tc>
          <w:tcPr>
            <w:tcW w:w="4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105</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5,589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799</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6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The following table presents the Group’s revenue disaggregated by types of products or services:</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5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80" w:type="dxa"/>
            <w:vAlign w:val="bottom"/>
            <w:gridSpan w:val="16"/>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5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Borders>
              <w:top w:val="single" w:sz="8" w:color="auto"/>
            </w:tcBorders>
            <w:gridSpan w:val="3"/>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gridSpan w:val="2"/>
          </w:tcPr>
          <w:p>
            <w:pPr>
              <w:jc w:val="center"/>
              <w:ind w:left="3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jc w:val="right"/>
              <w:ind w:right="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52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gridSpan w:val="2"/>
          </w:tcPr>
          <w:p>
            <w:pPr>
              <w:jc w:val="right"/>
              <w:ind w:right="75"/>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160" w:type="dxa"/>
            <w:vAlign w:val="bottom"/>
            <w:gridSpan w:val="3"/>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gridSpan w:val="3"/>
          </w:tcPr>
          <w:p>
            <w:pPr>
              <w:jc w:val="center"/>
              <w:ind w:right="40"/>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Borders>
              <w:top w:val="single" w:sz="8" w:color="auto"/>
            </w:tcBorders>
            <w:gridSpan w:val="2"/>
          </w:tcPr>
          <w:p>
            <w:pPr>
              <w:jc w:val="right"/>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120" w:type="dxa"/>
            <w:vAlign w:val="bottom"/>
          </w:tcPr>
          <w:p>
            <w:pPr>
              <w:spacing w:after="0"/>
              <w:rPr>
                <w:sz w:val="10"/>
                <w:szCs w:val="10"/>
                <w:color w:val="auto"/>
              </w:rPr>
            </w:pPr>
          </w:p>
        </w:tc>
        <w:tc>
          <w:tcPr>
            <w:tcW w:w="600" w:type="dxa"/>
            <w:vAlign w:val="bottom"/>
            <w:tcBorders>
              <w:top w:val="single" w:sz="8" w:color="auto"/>
            </w:tcBorders>
            <w:gridSpan w:val="2"/>
          </w:tcPr>
          <w:p>
            <w:pPr>
              <w:jc w:val="right"/>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7"/>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Online marketing services</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tcBorders>
              <w:left w:val="single" w:sz="8" w:color="CCEEFF"/>
            </w:tcBorders>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81,203</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78,563</w:t>
            </w:r>
          </w:p>
        </w:tc>
        <w:tc>
          <w:tcPr>
            <w:tcW w:w="88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67,837</w:t>
            </w:r>
          </w:p>
        </w:tc>
        <w:tc>
          <w:tcPr>
            <w:tcW w:w="660" w:type="dxa"/>
            <w:vAlign w:val="bottom"/>
            <w:tcBorders>
              <w:left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9,701</w:t>
            </w:r>
          </w:p>
        </w:tc>
        <w:tc>
          <w:tcPr>
            <w:tcW w:w="0" w:type="dxa"/>
            <w:vAlign w:val="bottom"/>
          </w:tcPr>
          <w:p>
            <w:pPr>
              <w:spacing w:after="0"/>
              <w:rPr>
                <w:sz w:val="1"/>
                <w:szCs w:val="1"/>
                <w:color w:val="auto"/>
              </w:rPr>
            </w:pPr>
          </w:p>
        </w:tc>
      </w:tr>
      <w:tr>
        <w:trPr>
          <w:trHeight w:val="223"/>
        </w:trPr>
        <w:tc>
          <w:tcPr>
            <w:tcW w:w="5260" w:type="dxa"/>
            <w:vAlign w:val="bottom"/>
          </w:tcPr>
          <w:p>
            <w:pPr>
              <w:ind w:left="360"/>
              <w:spacing w:after="0" w:line="216" w:lineRule="exact"/>
              <w:rPr>
                <w:sz w:val="20"/>
                <w:szCs w:val="20"/>
                <w:color w:val="auto"/>
              </w:rPr>
            </w:pPr>
            <w:r>
              <w:rPr>
                <w:rFonts w:ascii="Times New Roman" w:cs="Times New Roman" w:eastAsia="Times New Roman" w:hAnsi="Times New Roman"/>
                <w:sz w:val="18"/>
                <w:szCs w:val="18"/>
                <w:color w:val="auto"/>
              </w:rPr>
              <w:t xml:space="preserve">Others </w:t>
            </w:r>
            <w:r>
              <w:rPr>
                <w:rFonts w:ascii="Times New Roman" w:cs="Times New Roman" w:eastAsia="Times New Roman" w:hAnsi="Times New Roman"/>
                <w:sz w:val="22"/>
                <w:szCs w:val="22"/>
                <w:color w:val="auto"/>
                <w:vertAlign w:val="superscript"/>
              </w:rPr>
              <w:t>(i)</w:t>
            </w: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53,395</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54,562</w:t>
            </w:r>
          </w:p>
        </w:tc>
        <w:tc>
          <w:tcPr>
            <w:tcW w:w="8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61,242</w:t>
            </w:r>
          </w:p>
        </w:tc>
        <w:tc>
          <w:tcPr>
            <w:tcW w:w="6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8,757</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left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134,598</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133,125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129,079</w:t>
            </w:r>
          </w:p>
        </w:tc>
        <w:tc>
          <w:tcPr>
            <w:tcW w:w="120" w:type="dxa"/>
            <w:vAlign w:val="bottom"/>
            <w:shd w:val="clear" w:color="auto" w:fill="CCEEFF"/>
          </w:tcPr>
          <w:p>
            <w:pPr>
              <w:spacing w:after="0"/>
              <w:rPr>
                <w:sz w:val="18"/>
                <w:szCs w:val="18"/>
                <w:color w:val="auto"/>
              </w:rPr>
            </w:pPr>
          </w:p>
        </w:tc>
        <w:tc>
          <w:tcPr>
            <w:tcW w:w="600" w:type="dxa"/>
            <w:vAlign w:val="bottom"/>
            <w:tcBorders>
              <w:top w:val="single" w:sz="8" w:color="auto"/>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18,458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ind w:left="5460" w:right="4040" w:hanging="5344"/>
        <w:spacing w:after="0" w:line="879" w:lineRule="auto"/>
        <w:tabs>
          <w:tab w:leader="none" w:pos="554" w:val="left"/>
        </w:tabs>
        <w:numPr>
          <w:ilvl w:val="0"/>
          <w:numId w:val="15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Others mainly include revenue from cloud services and iQIYI’s video membership services. </w:t>
      </w:r>
      <w:r>
        <w:rPr>
          <w:rFonts w:ascii="Times New Roman" w:cs="Times New Roman" w:eastAsia="Times New Roman" w:hAnsi="Times New Roman"/>
          <w:sz w:val="18"/>
          <w:szCs w:val="18"/>
          <w:color w:val="auto"/>
        </w:rPr>
        <w:t>F-60</w:t>
      </w:r>
    </w:p>
    <w:p>
      <w:pPr>
        <w:sectPr>
          <w:pgSz w:w="11900" w:h="16838" w:orient="portrait"/>
          <w:cols w:equalWidth="0" w:num="1">
            <w:col w:w="11140"/>
          </w:cols>
          <w:pgMar w:left="320" w:top="482" w:right="439" w:bottom="1440" w:gutter="0" w:footer="0" w:header="0"/>
        </w:sectPr>
      </w:pPr>
    </w:p>
    <w:bookmarkStart w:id="286" w:name="page287"/>
    <w:bookmarkEnd w:id="2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45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BAIDU, INC.</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THE YEARS ENDED DECEMBER 31, 2023, 2024 AND 2025</w:t>
      </w:r>
    </w:p>
    <w:p>
      <w:pPr>
        <w:spacing w:after="0" w:line="230" w:lineRule="exact"/>
        <w:rPr>
          <w:sz w:val="20"/>
          <w:szCs w:val="20"/>
          <w:color w:val="auto"/>
        </w:rPr>
      </w:pPr>
    </w:p>
    <w:p>
      <w:pPr>
        <w:ind w:left="540" w:hanging="424"/>
        <w:spacing w:after="0"/>
        <w:tabs>
          <w:tab w:leader="none" w:pos="540" w:val="left"/>
        </w:tabs>
        <w:numPr>
          <w:ilvl w:val="0"/>
          <w:numId w:val="1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ASC 820 establishes a three-tier fair value hierarchy, which prioritizes the inputs used in measuring fair value as follows:</w:t>
      </w:r>
    </w:p>
    <w:p>
      <w:pPr>
        <w:spacing w:after="0" w:line="252"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Level 1</w:t>
            </w:r>
          </w:p>
        </w:tc>
        <w:tc>
          <w:tcPr>
            <w:tcW w:w="944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  Observable inputs that reflect quoted prices (unadjusted) for identical assets or liabilities in active markets.</w:t>
            </w:r>
          </w:p>
        </w:tc>
      </w:tr>
      <w:tr>
        <w:trPr>
          <w:trHeight w:val="216"/>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Level 2</w:t>
            </w:r>
          </w:p>
        </w:tc>
        <w:tc>
          <w:tcPr>
            <w:tcW w:w="122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8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Include observable inputs other than quoted prices included in Level 1, such as quoted prices for similar assets</w:t>
            </w:r>
          </w:p>
        </w:tc>
      </w:tr>
      <w:tr>
        <w:trPr>
          <w:trHeight w:val="216"/>
        </w:trPr>
        <w:tc>
          <w:tcPr>
            <w:tcW w:w="15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and liabilities in active markets, quoted prices for identical or similar assets and liabilities in markets that are not</w:t>
            </w:r>
          </w:p>
        </w:tc>
      </w:tr>
      <w:tr>
        <w:trPr>
          <w:trHeight w:val="216"/>
        </w:trPr>
        <w:tc>
          <w:tcPr>
            <w:tcW w:w="15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active, or other inputs that are observable or can be corroborated by observable market data.</w:t>
            </w:r>
          </w:p>
        </w:tc>
      </w:tr>
      <w:tr>
        <w:trPr>
          <w:trHeight w:val="234"/>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Level 3</w:t>
            </w:r>
          </w:p>
        </w:tc>
        <w:tc>
          <w:tcPr>
            <w:tcW w:w="122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8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Unobservable inputs which are supported by little or no market activity.</w:t>
            </w:r>
          </w:p>
        </w:tc>
      </w:tr>
    </w:tbl>
    <w:p>
      <w:pPr>
        <w:spacing w:after="0" w:line="198" w:lineRule="exact"/>
        <w:rPr>
          <w:sz w:val="20"/>
          <w:szCs w:val="20"/>
          <w:color w:val="auto"/>
        </w:rPr>
      </w:pPr>
    </w:p>
    <w:p>
      <w:pPr>
        <w:jc w:val="both"/>
        <w:ind w:left="120"/>
        <w:spacing w:after="0" w:line="258" w:lineRule="auto"/>
        <w:rPr>
          <w:sz w:val="20"/>
          <w:szCs w:val="20"/>
          <w:color w:val="auto"/>
        </w:rPr>
      </w:pPr>
      <w:r>
        <w:rPr>
          <w:rFonts w:ascii="Times New Roman" w:cs="Times New Roman" w:eastAsia="Times New Roman" w:hAnsi="Times New Roman"/>
          <w:sz w:val="18"/>
          <w:szCs w:val="18"/>
          <w:color w:val="auto"/>
        </w:rPr>
        <w:t>ASC 820 describes three main approaches to measuring the fair value of assets and liabilities: (1) market approach; (2) income approach and (3) cost approach. The market approach uses prices and other relevant information generated from market transactions involving identical or comparable assets or liabilities. The income approach uses valuation techniques to convert future amounts to a single present value amount. The measurement is based on the value indicated by current market expectations about those future amounts. The cost approach is based on the amount that would currently be required to replace an asset.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or Disclosed at Fair Value on a recurring basis</w:t>
      </w:r>
    </w:p>
    <w:p>
      <w:pPr>
        <w:spacing w:after="0" w:line="121" w:lineRule="exact"/>
        <w:rPr>
          <w:sz w:val="20"/>
          <w:szCs w:val="20"/>
          <w:color w:val="auto"/>
        </w:rPr>
      </w:pPr>
    </w:p>
    <w:p>
      <w:pPr>
        <w:jc w:val="both"/>
        <w:ind w:left="120" w:right="20"/>
        <w:spacing w:after="0" w:line="261" w:lineRule="auto"/>
        <w:rPr>
          <w:sz w:val="20"/>
          <w:szCs w:val="20"/>
          <w:color w:val="auto"/>
        </w:rPr>
      </w:pPr>
      <w:r>
        <w:rPr>
          <w:rFonts w:ascii="Times New Roman" w:cs="Times New Roman" w:eastAsia="Times New Roman" w:hAnsi="Times New Roman"/>
          <w:sz w:val="18"/>
          <w:szCs w:val="18"/>
          <w:color w:val="auto"/>
        </w:rPr>
        <w:t>The Group measures certain financial instruments at fair value on a recurring basis, including available-for-sale debt investments, trading debt investments, certain derivative instruments, equity investments at fair value with readily determinable fair value, equity investments without readily determinable fair value using NAV practical expedient, investments accounted for at fair value, certain financial liability, and the 2032 Exchangeable Bonds. These fair value measurements are performed in accordance with ASC 820.</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fair values of the Group’s time deposits as disclosed are determined based on the prevailing interest rates in the markets.</w:t>
      </w:r>
    </w:p>
    <w:p>
      <w:pPr>
        <w:spacing w:after="0" w:line="225"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The fair values of the Group’s held-to-maturity debt investments as disclosed are determined based on the discounted cash flow model using the discount curve of market interest rates.</w:t>
      </w:r>
    </w:p>
    <w:p>
      <w:pPr>
        <w:spacing w:after="0" w:line="162"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The fair values of the Group’s short-term available-for-sale debt investments are determined using observable inputs, including quoted market interest rates for similar instruments and other market-corroborated data.</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fair values of the Group’s short-term trading debt investments are measured using quoted market prices in active markets.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fair values of the Group’s derivative instruments of interest rate swaps are based on broker quotes.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fair values of the Group’s equity investments in equity securities of publicly listed companies are measured using quoted market prices.</w:t>
      </w:r>
    </w:p>
    <w:p>
      <w:pPr>
        <w:spacing w:after="0" w:line="225" w:lineRule="exact"/>
        <w:rPr>
          <w:sz w:val="20"/>
          <w:szCs w:val="20"/>
          <w:color w:val="auto"/>
        </w:rPr>
      </w:pPr>
    </w:p>
    <w:p>
      <w:pPr>
        <w:jc w:val="both"/>
        <w:ind w:left="120" w:right="20"/>
        <w:spacing w:after="0" w:line="261" w:lineRule="auto"/>
        <w:rPr>
          <w:sz w:val="20"/>
          <w:szCs w:val="20"/>
          <w:color w:val="auto"/>
        </w:rPr>
      </w:pPr>
      <w:r>
        <w:rPr>
          <w:rFonts w:ascii="Times New Roman" w:cs="Times New Roman" w:eastAsia="Times New Roman" w:hAnsi="Times New Roman"/>
          <w:sz w:val="18"/>
          <w:szCs w:val="18"/>
          <w:color w:val="auto"/>
        </w:rPr>
        <w:t>Investments accounted for at fair value are equity investments in listed and unlisted companies held by consolidated investment companies. Investments in unlisted companies and long-term available-for-sale debt investments do not have readily determinable market value and are categorized as Level 3 in the fair value hierarchy. For these investments, the Group uses a market approach based on the Group’s best estimate, utilizing inputs such as the pricing of recent rounds of financing of the investees, liquidity factors and multiples of a selection of comparable companies.</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fair values of financial liability are estimated based on the quoted market price of the underlying instrument.</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fair values of the Group’s notes payable are extracted directly from their quoted market prices.</w:t>
      </w:r>
    </w:p>
    <w:p>
      <w:pPr>
        <w:spacing w:after="0" w:line="225"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The fair values of the convertible senior notes are classified as Level 2 or Level 3 in the fair value hierarchy. The Group carries the convertible senior notes at face value less unamortized debt discount and issuance costs on its consolidated balance sheets and presents the fair value for disclosure purposes only. For further information on the convertible senior notes, see Note 15.</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F-61</w:t>
      </w:r>
    </w:p>
    <w:p>
      <w:pPr>
        <w:sectPr>
          <w:pgSz w:w="11900" w:h="16838" w:orient="portrait"/>
          <w:cols w:equalWidth="0" w:num="1">
            <w:col w:w="11140"/>
          </w:cols>
          <w:pgMar w:left="320" w:top="482" w:right="439" w:bottom="1440" w:gutter="0" w:footer="0" w:header="0"/>
        </w:sectPr>
      </w:pPr>
    </w:p>
    <w:bookmarkStart w:id="287" w:name="page288"/>
    <w:bookmarkEnd w:id="2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45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BAIDU, INC.</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THE YEARS ENDED DECEMBER 31, 2023, 2024 AND 2025</w:t>
      </w:r>
    </w:p>
    <w:p>
      <w:pPr>
        <w:spacing w:after="0" w:line="2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Assets and liabilities measured on a recurring basis or disclosed at fair value are summarized below:</w:t>
      </w:r>
    </w:p>
    <w:p>
      <w:pPr>
        <w:spacing w:after="0" w:line="246" w:lineRule="exact"/>
        <w:rPr>
          <w:sz w:val="20"/>
          <w:szCs w:val="20"/>
          <w:color w:val="auto"/>
        </w:rPr>
      </w:pPr>
    </w:p>
    <w:p>
      <w:pPr>
        <w:jc w:val="center"/>
        <w:ind w:left="7020"/>
        <w:spacing w:after="0"/>
        <w:rPr>
          <w:sz w:val="20"/>
          <w:szCs w:val="20"/>
          <w:color w:val="auto"/>
        </w:rPr>
      </w:pPr>
      <w:r>
        <w:rPr>
          <w:rFonts w:ascii="Times New Roman" w:cs="Times New Roman" w:eastAsia="Times New Roman" w:hAnsi="Times New Roman"/>
          <w:sz w:val="14"/>
          <w:szCs w:val="14"/>
          <w:b w:val="1"/>
          <w:bCs w:val="1"/>
          <w:color w:val="auto"/>
        </w:rPr>
        <w:t>Fair value measurement or disclosure</w:t>
      </w:r>
    </w:p>
    <w:p>
      <w:pPr>
        <w:jc w:val="center"/>
        <w:ind w:left="7020"/>
        <w:spacing w:after="0"/>
        <w:rPr>
          <w:sz w:val="20"/>
          <w:szCs w:val="20"/>
          <w:color w:val="auto"/>
        </w:rPr>
      </w:pPr>
      <w:r>
        <w:rPr>
          <w:rFonts w:ascii="Times New Roman" w:cs="Times New Roman" w:eastAsia="Times New Roman" w:hAnsi="Times New Roman"/>
          <w:sz w:val="14"/>
          <w:szCs w:val="14"/>
          <w:b w:val="1"/>
          <w:bCs w:val="1"/>
          <w:color w:val="auto"/>
        </w:rPr>
        <w:t>at December 31, 2024 using</w:t>
      </w:r>
    </w:p>
    <w:tbl>
      <w:tblPr>
        <w:tblLayout w:type="fixed"/>
        <w:tblInd w:w="120" w:type="dxa"/>
        <w:tblCellMar>
          <w:top w:w="0" w:type="dxa"/>
          <w:left w:w="0" w:type="dxa"/>
          <w:bottom w:w="0" w:type="dxa"/>
          <w:right w:w="0" w:type="dxa"/>
        </w:tblCellMar>
      </w:tblPr>
      <w:tr>
        <w:trPr>
          <w:trHeight w:val="117"/>
        </w:trPr>
        <w:tc>
          <w:tcPr>
            <w:tcW w:w="1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560" w:type="dxa"/>
            <w:vAlign w:val="bottom"/>
            <w:tcBorders>
              <w:top w:val="single" w:sz="8" w:color="auto"/>
            </w:tcBorders>
            <w:gridSpan w:val="2"/>
          </w:tcPr>
          <w:p>
            <w:pPr>
              <w:jc w:val="center"/>
              <w:ind w:right="420"/>
              <w:spacing w:after="0" w:line="117" w:lineRule="exact"/>
              <w:rPr>
                <w:sz w:val="20"/>
                <w:szCs w:val="20"/>
                <w:color w:val="auto"/>
              </w:rPr>
            </w:pPr>
            <w:r>
              <w:rPr>
                <w:rFonts w:ascii="Times New Roman" w:cs="Times New Roman" w:eastAsia="Times New Roman" w:hAnsi="Times New Roman"/>
                <w:sz w:val="13"/>
                <w:szCs w:val="13"/>
                <w:b w:val="1"/>
                <w:bCs w:val="1"/>
                <w:color w:val="auto"/>
              </w:rPr>
              <w:t>Quoted prices in</w:t>
            </w:r>
          </w:p>
        </w:tc>
        <w:tc>
          <w:tcPr>
            <w:tcW w:w="1280" w:type="dxa"/>
            <w:vAlign w:val="bottom"/>
            <w:tcBorders>
              <w:top w:val="single" w:sz="8" w:color="auto"/>
            </w:tcBorders>
            <w:gridSpan w:val="2"/>
          </w:tcPr>
          <w:p>
            <w:pPr>
              <w:jc w:val="center"/>
              <w:ind w:right="220"/>
              <w:spacing w:after="0" w:line="117" w:lineRule="exact"/>
              <w:rPr>
                <w:sz w:val="20"/>
                <w:szCs w:val="20"/>
                <w:color w:val="auto"/>
              </w:rPr>
            </w:pPr>
            <w:r>
              <w:rPr>
                <w:rFonts w:ascii="Times New Roman" w:cs="Times New Roman" w:eastAsia="Times New Roman" w:hAnsi="Times New Roman"/>
                <w:sz w:val="13"/>
                <w:szCs w:val="13"/>
                <w:b w:val="1"/>
                <w:bCs w:val="1"/>
                <w:color w:val="auto"/>
              </w:rPr>
              <w:t>Significant other</w:t>
            </w:r>
          </w:p>
        </w:tc>
        <w:tc>
          <w:tcPr>
            <w:tcW w:w="22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center"/>
              <w:spacing w:after="0" w:line="117"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Total fair value at</w:t>
            </w:r>
          </w:p>
        </w:tc>
        <w:tc>
          <w:tcPr>
            <w:tcW w:w="400" w:type="dxa"/>
            <w:vAlign w:val="bottom"/>
          </w:tcPr>
          <w:p>
            <w:pPr>
              <w:spacing w:after="0"/>
              <w:rPr>
                <w:sz w:val="12"/>
                <w:szCs w:val="12"/>
                <w:color w:val="auto"/>
              </w:rPr>
            </w:pPr>
          </w:p>
        </w:tc>
        <w:tc>
          <w:tcPr>
            <w:tcW w:w="156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2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100" w:type="dxa"/>
            <w:vAlign w:val="bottom"/>
            <w:gridSpan w:val="3"/>
          </w:tcPr>
          <w:p>
            <w:pPr>
              <w:jc w:val="center"/>
              <w:ind w:left="74"/>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156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2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20" w:type="dxa"/>
            <w:vAlign w:val="bottom"/>
          </w:tcPr>
          <w:p>
            <w:pPr>
              <w:spacing w:after="0"/>
              <w:rPr>
                <w:sz w:val="12"/>
                <w:szCs w:val="12"/>
                <w:color w:val="auto"/>
              </w:rPr>
            </w:pPr>
          </w:p>
        </w:tc>
        <w:tc>
          <w:tcPr>
            <w:tcW w:w="8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400" w:type="dxa"/>
            <w:vAlign w:val="bottom"/>
          </w:tcPr>
          <w:p>
            <w:pPr>
              <w:spacing w:after="0"/>
              <w:rPr>
                <w:sz w:val="15"/>
                <w:szCs w:val="15"/>
                <w:color w:val="auto"/>
              </w:rPr>
            </w:pPr>
          </w:p>
        </w:tc>
        <w:tc>
          <w:tcPr>
            <w:tcW w:w="15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5"/>
                <w:szCs w:val="15"/>
                <w:color w:val="auto"/>
              </w:rPr>
            </w:pPr>
          </w:p>
        </w:tc>
        <w:tc>
          <w:tcPr>
            <w:tcW w:w="8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17"/>
        </w:trPr>
        <w:tc>
          <w:tcPr>
            <w:tcW w:w="1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440" w:type="dxa"/>
            <w:vAlign w:val="bottom"/>
          </w:tcPr>
          <w:p>
            <w:pPr>
              <w:spacing w:after="0"/>
              <w:rPr>
                <w:sz w:val="10"/>
                <w:szCs w:val="10"/>
                <w:color w:val="auto"/>
              </w:rPr>
            </w:pPr>
          </w:p>
        </w:tc>
        <w:tc>
          <w:tcPr>
            <w:tcW w:w="10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1620" w:type="dxa"/>
            <w:vAlign w:val="bottom"/>
            <w:tcBorders>
              <w:bottom w:val="single" w:sz="8" w:color="CCEEFF"/>
            </w:tcBorders>
            <w:vMerge w:val="restart"/>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i w:val="1"/>
                <w:iCs w:val="1"/>
                <w:color w:val="auto"/>
              </w:rPr>
              <w:t>Fair value disclosure</w:t>
            </w:r>
          </w:p>
        </w:tc>
        <w:tc>
          <w:tcPr>
            <w:tcW w:w="100" w:type="dxa"/>
            <w:vAlign w:val="bottom"/>
            <w:tcBorders>
              <w:bottom w:val="single" w:sz="8" w:color="auto"/>
            </w:tcBorders>
            <w:shd w:val="clear" w:color="auto" w:fill="CCEEFF"/>
          </w:tcPr>
          <w:p>
            <w:pPr>
              <w:spacing w:after="0" w:line="88" w:lineRule="exact"/>
              <w:rPr>
                <w:sz w:val="20"/>
                <w:szCs w:val="20"/>
                <w:color w:val="auto"/>
              </w:rPr>
            </w:pPr>
            <w:r>
              <w:rPr>
                <w:rFonts w:ascii="Times New Roman" w:cs="Times New Roman" w:eastAsia="Times New Roman" w:hAnsi="Times New Roman"/>
                <w:sz w:val="10"/>
                <w:szCs w:val="10"/>
                <w:b w:val="1"/>
                <w:bCs w:val="1"/>
                <w:i w:val="1"/>
                <w:iCs w:val="1"/>
                <w:color w:val="auto"/>
                <w:w w:val="84"/>
              </w:rPr>
              <w:t>(i)</w:t>
            </w:r>
          </w:p>
        </w:tc>
        <w:tc>
          <w:tcPr>
            <w:tcW w:w="3460" w:type="dxa"/>
            <w:vAlign w:val="bottom"/>
            <w:tcBorders>
              <w:bottom w:val="single" w:sz="8" w:color="CCEEFF"/>
            </w:tcBorders>
            <w:vMerge w:val="restart"/>
            <w:shd w:val="clear" w:color="auto" w:fill="CCEEFF"/>
          </w:tcPr>
          <w:p>
            <w:pPr>
              <w:spacing w:after="0"/>
              <w:rPr>
                <w:sz w:val="9"/>
                <w:szCs w:val="9"/>
                <w:color w:val="auto"/>
              </w:rPr>
            </w:pPr>
          </w:p>
        </w:tc>
        <w:tc>
          <w:tcPr>
            <w:tcW w:w="320" w:type="dxa"/>
            <w:vAlign w:val="bottom"/>
            <w:tcBorders>
              <w:bottom w:val="single" w:sz="8" w:color="CCEEFF"/>
            </w:tcBorders>
            <w:shd w:val="clear" w:color="auto" w:fill="CCEEFF"/>
          </w:tcPr>
          <w:p>
            <w:pPr>
              <w:spacing w:after="0"/>
              <w:rPr>
                <w:sz w:val="9"/>
                <w:szCs w:val="9"/>
                <w:color w:val="auto"/>
              </w:rPr>
            </w:pPr>
          </w:p>
        </w:tc>
        <w:tc>
          <w:tcPr>
            <w:tcW w:w="1160" w:type="dxa"/>
            <w:vAlign w:val="bottom"/>
            <w:tcBorders>
              <w:bottom w:val="single" w:sz="8" w:color="CCEEFF"/>
            </w:tcBorders>
            <w:shd w:val="clear" w:color="auto" w:fill="CCEEFF"/>
          </w:tcPr>
          <w:p>
            <w:pPr>
              <w:spacing w:after="0"/>
              <w:rPr>
                <w:sz w:val="9"/>
                <w:szCs w:val="9"/>
                <w:color w:val="auto"/>
              </w:rPr>
            </w:pPr>
          </w:p>
        </w:tc>
        <w:tc>
          <w:tcPr>
            <w:tcW w:w="20" w:type="dxa"/>
            <w:vAlign w:val="bottom"/>
            <w:tcBorders>
              <w:bottom w:val="single" w:sz="8" w:color="CCEEFF"/>
            </w:tcBorders>
            <w:shd w:val="clear" w:color="auto" w:fill="CCEEFF"/>
          </w:tcPr>
          <w:p>
            <w:pPr>
              <w:spacing w:after="0"/>
              <w:rPr>
                <w:sz w:val="9"/>
                <w:szCs w:val="9"/>
                <w:color w:val="auto"/>
              </w:rPr>
            </w:pPr>
          </w:p>
        </w:tc>
        <w:tc>
          <w:tcPr>
            <w:tcW w:w="400" w:type="dxa"/>
            <w:vAlign w:val="bottom"/>
            <w:tcBorders>
              <w:bottom w:val="single" w:sz="8" w:color="CCEEFF"/>
            </w:tcBorders>
            <w:shd w:val="clear" w:color="auto" w:fill="CCEEFF"/>
          </w:tcPr>
          <w:p>
            <w:pPr>
              <w:spacing w:after="0"/>
              <w:rPr>
                <w:sz w:val="9"/>
                <w:szCs w:val="9"/>
                <w:color w:val="auto"/>
              </w:rPr>
            </w:pPr>
          </w:p>
        </w:tc>
        <w:tc>
          <w:tcPr>
            <w:tcW w:w="1120" w:type="dxa"/>
            <w:vAlign w:val="bottom"/>
            <w:tcBorders>
              <w:bottom w:val="single" w:sz="8" w:color="CCEEFF"/>
            </w:tcBorders>
            <w:shd w:val="clear" w:color="auto" w:fill="CCEEFF"/>
          </w:tcPr>
          <w:p>
            <w:pPr>
              <w:spacing w:after="0"/>
              <w:rPr>
                <w:sz w:val="9"/>
                <w:szCs w:val="9"/>
                <w:color w:val="auto"/>
              </w:rPr>
            </w:pPr>
          </w:p>
        </w:tc>
        <w:tc>
          <w:tcPr>
            <w:tcW w:w="440" w:type="dxa"/>
            <w:vAlign w:val="bottom"/>
            <w:tcBorders>
              <w:bottom w:val="single" w:sz="8" w:color="CCEEFF"/>
            </w:tcBorders>
            <w:shd w:val="clear" w:color="auto" w:fill="CCEEFF"/>
          </w:tcPr>
          <w:p>
            <w:pPr>
              <w:spacing w:after="0"/>
              <w:rPr>
                <w:sz w:val="9"/>
                <w:szCs w:val="9"/>
                <w:color w:val="auto"/>
              </w:rPr>
            </w:pPr>
          </w:p>
        </w:tc>
        <w:tc>
          <w:tcPr>
            <w:tcW w:w="1040" w:type="dxa"/>
            <w:vAlign w:val="bottom"/>
            <w:tcBorders>
              <w:bottom w:val="single" w:sz="8" w:color="CCEEFF"/>
            </w:tcBorders>
            <w:shd w:val="clear" w:color="auto" w:fill="CCEEFF"/>
          </w:tcPr>
          <w:p>
            <w:pPr>
              <w:spacing w:after="0"/>
              <w:rPr>
                <w:sz w:val="9"/>
                <w:szCs w:val="9"/>
                <w:color w:val="auto"/>
              </w:rPr>
            </w:pPr>
          </w:p>
        </w:tc>
        <w:tc>
          <w:tcPr>
            <w:tcW w:w="240" w:type="dxa"/>
            <w:vAlign w:val="bottom"/>
            <w:tcBorders>
              <w:bottom w:val="single" w:sz="8" w:color="CCEEFF"/>
            </w:tcBorders>
            <w:shd w:val="clear" w:color="auto" w:fill="CCEEFF"/>
          </w:tcPr>
          <w:p>
            <w:pPr>
              <w:spacing w:after="0"/>
              <w:rPr>
                <w:sz w:val="9"/>
                <w:szCs w:val="9"/>
                <w:color w:val="auto"/>
              </w:rPr>
            </w:pPr>
          </w:p>
        </w:tc>
        <w:tc>
          <w:tcPr>
            <w:tcW w:w="220" w:type="dxa"/>
            <w:vAlign w:val="bottom"/>
            <w:tcBorders>
              <w:bottom w:val="single" w:sz="8" w:color="CCEEFF"/>
            </w:tcBorders>
            <w:shd w:val="clear" w:color="auto" w:fill="CCEEFF"/>
          </w:tcPr>
          <w:p>
            <w:pPr>
              <w:spacing w:after="0"/>
              <w:rPr>
                <w:sz w:val="9"/>
                <w:szCs w:val="9"/>
                <w:color w:val="auto"/>
              </w:rPr>
            </w:pPr>
          </w:p>
        </w:tc>
        <w:tc>
          <w:tcPr>
            <w:tcW w:w="820" w:type="dxa"/>
            <w:vAlign w:val="bottom"/>
            <w:tcBorders>
              <w:bottom w:val="single" w:sz="8" w:color="CCEEFF"/>
            </w:tcBorders>
            <w:shd w:val="clear" w:color="auto" w:fill="CCEEFF"/>
          </w:tcPr>
          <w:p>
            <w:pPr>
              <w:spacing w:after="0"/>
              <w:rPr>
                <w:sz w:val="9"/>
                <w:szCs w:val="9"/>
                <w:color w:val="auto"/>
              </w:rPr>
            </w:pPr>
          </w:p>
        </w:tc>
        <w:tc>
          <w:tcPr>
            <w:tcW w:w="60" w:type="dxa"/>
            <w:vAlign w:val="bottom"/>
            <w:tcBorders>
              <w:bottom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162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3460" w:type="dxa"/>
            <w:vAlign w:val="bottom"/>
            <w:tcBorders>
              <w:bottom w:val="single" w:sz="8" w:color="CCEEFF"/>
            </w:tcBorders>
            <w:vMerge w:val="continue"/>
            <w:shd w:val="clear" w:color="auto" w:fill="CCEEFF"/>
          </w:tcPr>
          <w:p>
            <w:pPr>
              <w:spacing w:after="0"/>
              <w:rPr>
                <w:sz w:val="5"/>
                <w:szCs w:val="5"/>
                <w:color w:val="auto"/>
              </w:rPr>
            </w:pPr>
          </w:p>
        </w:tc>
        <w:tc>
          <w:tcPr>
            <w:tcW w:w="320" w:type="dxa"/>
            <w:vAlign w:val="bottom"/>
            <w:tcBorders>
              <w:bottom w:val="single" w:sz="8" w:color="CCEEFF"/>
            </w:tcBorders>
            <w:shd w:val="clear" w:color="auto" w:fill="CCEEFF"/>
          </w:tcPr>
          <w:p>
            <w:pPr>
              <w:spacing w:after="0"/>
              <w:rPr>
                <w:sz w:val="5"/>
                <w:szCs w:val="5"/>
                <w:color w:val="auto"/>
              </w:rPr>
            </w:pPr>
          </w:p>
        </w:tc>
        <w:tc>
          <w:tcPr>
            <w:tcW w:w="1160" w:type="dxa"/>
            <w:vAlign w:val="bottom"/>
            <w:tcBorders>
              <w:bottom w:val="single" w:sz="8" w:color="CCEEFF"/>
            </w:tcBorders>
            <w:shd w:val="clear" w:color="auto" w:fill="CCEEFF"/>
          </w:tcPr>
          <w:p>
            <w:pPr>
              <w:spacing w:after="0"/>
              <w:rPr>
                <w:sz w:val="5"/>
                <w:szCs w:val="5"/>
                <w:color w:val="auto"/>
              </w:rPr>
            </w:pPr>
          </w:p>
        </w:tc>
        <w:tc>
          <w:tcPr>
            <w:tcW w:w="20" w:type="dxa"/>
            <w:vAlign w:val="bottom"/>
            <w:tcBorders>
              <w:bottom w:val="single" w:sz="8" w:color="CCEEFF"/>
            </w:tcBorders>
            <w:shd w:val="clear" w:color="auto" w:fill="CCEEFF"/>
          </w:tcPr>
          <w:p>
            <w:pPr>
              <w:spacing w:after="0"/>
              <w:rPr>
                <w:sz w:val="5"/>
                <w:szCs w:val="5"/>
                <w:color w:val="auto"/>
              </w:rPr>
            </w:pPr>
          </w:p>
        </w:tc>
        <w:tc>
          <w:tcPr>
            <w:tcW w:w="400" w:type="dxa"/>
            <w:vAlign w:val="bottom"/>
            <w:tcBorders>
              <w:bottom w:val="single" w:sz="8" w:color="CCEEFF"/>
            </w:tcBorders>
            <w:shd w:val="clear" w:color="auto" w:fill="CCEEFF"/>
          </w:tcPr>
          <w:p>
            <w:pPr>
              <w:spacing w:after="0"/>
              <w:rPr>
                <w:sz w:val="5"/>
                <w:szCs w:val="5"/>
                <w:color w:val="auto"/>
              </w:rPr>
            </w:pPr>
          </w:p>
        </w:tc>
        <w:tc>
          <w:tcPr>
            <w:tcW w:w="1120" w:type="dxa"/>
            <w:vAlign w:val="bottom"/>
            <w:tcBorders>
              <w:bottom w:val="single" w:sz="8" w:color="CCEEFF"/>
            </w:tcBorders>
            <w:shd w:val="clear" w:color="auto" w:fill="CCEEFF"/>
          </w:tcPr>
          <w:p>
            <w:pPr>
              <w:spacing w:after="0"/>
              <w:rPr>
                <w:sz w:val="5"/>
                <w:szCs w:val="5"/>
                <w:color w:val="auto"/>
              </w:rPr>
            </w:pPr>
          </w:p>
        </w:tc>
        <w:tc>
          <w:tcPr>
            <w:tcW w:w="440" w:type="dxa"/>
            <w:vAlign w:val="bottom"/>
            <w:tcBorders>
              <w:bottom w:val="single" w:sz="8" w:color="CCEEFF"/>
            </w:tcBorders>
            <w:shd w:val="clear" w:color="auto" w:fill="CCEEFF"/>
          </w:tcPr>
          <w:p>
            <w:pPr>
              <w:spacing w:after="0"/>
              <w:rPr>
                <w:sz w:val="5"/>
                <w:szCs w:val="5"/>
                <w:color w:val="auto"/>
              </w:rPr>
            </w:pPr>
          </w:p>
        </w:tc>
        <w:tc>
          <w:tcPr>
            <w:tcW w:w="1040" w:type="dxa"/>
            <w:vAlign w:val="bottom"/>
            <w:tcBorders>
              <w:bottom w:val="single" w:sz="8" w:color="CCEEFF"/>
            </w:tcBorders>
            <w:shd w:val="clear" w:color="auto" w:fill="CCEEFF"/>
          </w:tcPr>
          <w:p>
            <w:pPr>
              <w:spacing w:after="0"/>
              <w:rPr>
                <w:sz w:val="5"/>
                <w:szCs w:val="5"/>
                <w:color w:val="auto"/>
              </w:rPr>
            </w:pPr>
          </w:p>
        </w:tc>
        <w:tc>
          <w:tcPr>
            <w:tcW w:w="240" w:type="dxa"/>
            <w:vAlign w:val="bottom"/>
            <w:tcBorders>
              <w:bottom w:val="single" w:sz="8" w:color="CCEEFF"/>
            </w:tcBorders>
            <w:shd w:val="clear" w:color="auto" w:fill="CCEEFF"/>
          </w:tcPr>
          <w:p>
            <w:pPr>
              <w:spacing w:after="0"/>
              <w:rPr>
                <w:sz w:val="5"/>
                <w:szCs w:val="5"/>
                <w:color w:val="auto"/>
              </w:rPr>
            </w:pPr>
          </w:p>
        </w:tc>
        <w:tc>
          <w:tcPr>
            <w:tcW w:w="220" w:type="dxa"/>
            <w:vAlign w:val="bottom"/>
            <w:tcBorders>
              <w:bottom w:val="single" w:sz="8" w:color="CCEEFF"/>
            </w:tcBorders>
            <w:shd w:val="clear" w:color="auto" w:fill="CCEEFF"/>
          </w:tcPr>
          <w:p>
            <w:pPr>
              <w:spacing w:after="0"/>
              <w:rPr>
                <w:sz w:val="5"/>
                <w:szCs w:val="5"/>
                <w:color w:val="auto"/>
              </w:rPr>
            </w:pPr>
          </w:p>
        </w:tc>
        <w:tc>
          <w:tcPr>
            <w:tcW w:w="820" w:type="dxa"/>
            <w:vAlign w:val="bottom"/>
            <w:tcBorders>
              <w:bottom w:val="single" w:sz="8" w:color="CCEEFF"/>
            </w:tcBorders>
            <w:shd w:val="clear" w:color="auto" w:fill="CCEEFF"/>
          </w:tcPr>
          <w:p>
            <w:pPr>
              <w:spacing w:after="0"/>
              <w:rPr>
                <w:sz w:val="5"/>
                <w:szCs w:val="5"/>
                <w:color w:val="auto"/>
              </w:rPr>
            </w:pPr>
          </w:p>
        </w:tc>
        <w:tc>
          <w:tcPr>
            <w:tcW w:w="60" w:type="dxa"/>
            <w:vAlign w:val="bottom"/>
            <w:tcBorders>
              <w:bottom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324"/>
        </w:trPr>
        <w:tc>
          <w:tcPr>
            <w:tcW w:w="5180" w:type="dxa"/>
            <w:vAlign w:val="bottom"/>
            <w:tcBorders>
              <w:top w:val="single" w:sz="8" w:color="CCEEFF"/>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Cash equivalents:</w:t>
            </w:r>
          </w:p>
        </w:tc>
        <w:tc>
          <w:tcPr>
            <w:tcW w:w="320" w:type="dxa"/>
            <w:vAlign w:val="bottom"/>
            <w:tcBorders>
              <w:top w:val="single" w:sz="8" w:color="CCEEFF"/>
            </w:tcBorders>
          </w:tcPr>
          <w:p>
            <w:pPr>
              <w:spacing w:after="0"/>
              <w:rPr>
                <w:sz w:val="24"/>
                <w:szCs w:val="24"/>
                <w:color w:val="auto"/>
              </w:rPr>
            </w:pPr>
          </w:p>
        </w:tc>
        <w:tc>
          <w:tcPr>
            <w:tcW w:w="11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1120" w:type="dxa"/>
            <w:vAlign w:val="bottom"/>
            <w:tcBorders>
              <w:top w:val="single" w:sz="8" w:color="CCEEFF"/>
            </w:tcBorders>
          </w:tcPr>
          <w:p>
            <w:pPr>
              <w:spacing w:after="0"/>
              <w:rPr>
                <w:sz w:val="24"/>
                <w:szCs w:val="24"/>
                <w:color w:val="auto"/>
              </w:rPr>
            </w:pPr>
          </w:p>
        </w:tc>
        <w:tc>
          <w:tcPr>
            <w:tcW w:w="440" w:type="dxa"/>
            <w:vAlign w:val="bottom"/>
            <w:tcBorders>
              <w:top w:val="single" w:sz="8" w:color="CCEEFF"/>
            </w:tcBorders>
          </w:tcPr>
          <w:p>
            <w:pPr>
              <w:spacing w:after="0"/>
              <w:rPr>
                <w:sz w:val="24"/>
                <w:szCs w:val="24"/>
                <w:color w:val="auto"/>
              </w:rPr>
            </w:pPr>
          </w:p>
        </w:tc>
        <w:tc>
          <w:tcPr>
            <w:tcW w:w="104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8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18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Time deposits</w:t>
            </w:r>
          </w:p>
        </w:tc>
        <w:tc>
          <w:tcPr>
            <w:tcW w:w="15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4,538</w:t>
            </w: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4,538</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51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Short-term investments:</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18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Held-to-maturity debt investments</w:t>
            </w:r>
          </w:p>
        </w:tc>
        <w:tc>
          <w:tcPr>
            <w:tcW w:w="15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96,912</w:t>
            </w: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96,912</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51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Long-term investments:</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18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Long-term time deposits and held-to-maturity investments</w:t>
            </w:r>
          </w:p>
        </w:tc>
        <w:tc>
          <w:tcPr>
            <w:tcW w:w="15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99,069</w:t>
            </w: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99,069</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51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Notes payable, current portion</w:t>
            </w:r>
          </w:p>
        </w:tc>
        <w:tc>
          <w:tcPr>
            <w:tcW w:w="15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7,982</w:t>
            </w: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7,982</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Convertible senior notes, current portion</w:t>
            </w:r>
          </w:p>
        </w:tc>
        <w:tc>
          <w:tcPr>
            <w:tcW w:w="15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225</w:t>
            </w: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w:t>
            </w:r>
          </w:p>
        </w:tc>
        <w:tc>
          <w:tcPr>
            <w:tcW w:w="11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208</w:t>
            </w:r>
          </w:p>
        </w:tc>
        <w:tc>
          <w:tcPr>
            <w:tcW w:w="0" w:type="dxa"/>
            <w:vAlign w:val="bottom"/>
          </w:tcPr>
          <w:p>
            <w:pPr>
              <w:spacing w:after="0"/>
              <w:rPr>
                <w:sz w:val="1"/>
                <w:szCs w:val="1"/>
                <w:color w:val="auto"/>
              </w:rPr>
            </w:pPr>
          </w:p>
        </w:tc>
      </w:tr>
      <w:tr>
        <w:trPr>
          <w:trHeight w:val="324"/>
        </w:trPr>
        <w:tc>
          <w:tcPr>
            <w:tcW w:w="51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Notes payable, non-current portion</w:t>
            </w:r>
          </w:p>
        </w:tc>
        <w:tc>
          <w:tcPr>
            <w:tcW w:w="15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26,276</w:t>
            </w: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26,276</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Convertible senior notes, non-current portion</w:t>
            </w:r>
          </w:p>
        </w:tc>
        <w:tc>
          <w:tcPr>
            <w:tcW w:w="15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7,697</w:t>
            </w: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3,932</w:t>
            </w:r>
          </w:p>
        </w:tc>
        <w:tc>
          <w:tcPr>
            <w:tcW w:w="11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3,765</w:t>
            </w:r>
          </w:p>
        </w:tc>
        <w:tc>
          <w:tcPr>
            <w:tcW w:w="0" w:type="dxa"/>
            <w:vAlign w:val="bottom"/>
          </w:tcPr>
          <w:p>
            <w:pPr>
              <w:spacing w:after="0"/>
              <w:rPr>
                <w:sz w:val="1"/>
                <w:szCs w:val="1"/>
                <w:color w:val="auto"/>
              </w:rPr>
            </w:pPr>
          </w:p>
        </w:tc>
      </w:tr>
      <w:tr>
        <w:trPr>
          <w:trHeight w:val="324"/>
        </w:trPr>
        <w:tc>
          <w:tcPr>
            <w:tcW w:w="51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 on a recurring basis</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Short-term investments: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Available-for-sale debt investments</w:t>
            </w:r>
          </w:p>
        </w:tc>
        <w:tc>
          <w:tcPr>
            <w:tcW w:w="15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5,954</w:t>
            </w:r>
          </w:p>
        </w:tc>
        <w:tc>
          <w:tcPr>
            <w:tcW w:w="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5,954</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Trading debt investments</w:t>
            </w:r>
          </w:p>
        </w:tc>
        <w:tc>
          <w:tcPr>
            <w:tcW w:w="15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196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15</w:t>
            </w: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51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Other current assets:</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18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Derivative instruments</w:t>
            </w:r>
          </w:p>
        </w:tc>
        <w:tc>
          <w:tcPr>
            <w:tcW w:w="15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51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Long-term investments:</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5180" w:type="dxa"/>
            <w:vAlign w:val="bottom"/>
            <w:gridSpan w:val="3"/>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Equity investments at fair value with readily determinable fair</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18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value</w:t>
            </w:r>
          </w:p>
        </w:tc>
        <w:tc>
          <w:tcPr>
            <w:tcW w:w="15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8,586</w:t>
            </w:r>
          </w:p>
        </w:tc>
        <w:tc>
          <w:tcPr>
            <w:tcW w:w="196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8,586</w:t>
            </w:r>
          </w:p>
        </w:tc>
        <w:tc>
          <w:tcPr>
            <w:tcW w:w="10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180" w:type="dxa"/>
            <w:vAlign w:val="bottom"/>
            <w:gridSpan w:val="3"/>
          </w:tcPr>
          <w:p>
            <w:pPr>
              <w:ind w:left="360"/>
              <w:spacing w:after="0" w:line="198" w:lineRule="exact"/>
              <w:rPr>
                <w:sz w:val="20"/>
                <w:szCs w:val="20"/>
                <w:color w:val="auto"/>
              </w:rPr>
            </w:pPr>
            <w:r>
              <w:rPr>
                <w:rFonts w:ascii="Times New Roman" w:cs="Times New Roman" w:eastAsia="Times New Roman" w:hAnsi="Times New Roman"/>
                <w:sz w:val="18"/>
                <w:szCs w:val="18"/>
                <w:color w:val="auto"/>
              </w:rPr>
              <w:t>Equity investments without readily determinable fair value using</w:t>
            </w: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180" w:type="dxa"/>
            <w:vAlign w:val="bottom"/>
            <w:gridSpan w:val="3"/>
          </w:tcPr>
          <w:p>
            <w:pPr>
              <w:ind w:left="540"/>
              <w:spacing w:after="0" w:line="235" w:lineRule="exact"/>
              <w:rPr>
                <w:sz w:val="20"/>
                <w:szCs w:val="20"/>
                <w:color w:val="auto"/>
              </w:rPr>
            </w:pPr>
            <w:r>
              <w:rPr>
                <w:rFonts w:ascii="Times New Roman" w:cs="Times New Roman" w:eastAsia="Times New Roman" w:hAnsi="Times New Roman"/>
                <w:sz w:val="18"/>
                <w:szCs w:val="18"/>
                <w:color w:val="auto"/>
              </w:rPr>
              <w:t xml:space="preserve">NAV practical expedient </w:t>
            </w:r>
            <w:r>
              <w:rPr>
                <w:rFonts w:ascii="Times New Roman" w:cs="Times New Roman" w:eastAsia="Times New Roman" w:hAnsi="Times New Roman"/>
                <w:sz w:val="22"/>
                <w:szCs w:val="22"/>
                <w:color w:val="auto"/>
                <w:vertAlign w:val="superscript"/>
              </w:rPr>
              <w:t>(ii)</w:t>
            </w:r>
          </w:p>
        </w:tc>
        <w:tc>
          <w:tcPr>
            <w:tcW w:w="15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727</w:t>
            </w:r>
          </w:p>
        </w:tc>
        <w:tc>
          <w:tcPr>
            <w:tcW w:w="4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8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Investments accounted for at fair value</w:t>
            </w:r>
          </w:p>
        </w:tc>
        <w:tc>
          <w:tcPr>
            <w:tcW w:w="15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4,381</w:t>
            </w:r>
          </w:p>
        </w:tc>
        <w:tc>
          <w:tcPr>
            <w:tcW w:w="196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34</w:t>
            </w: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4,347</w:t>
            </w:r>
          </w:p>
        </w:tc>
        <w:tc>
          <w:tcPr>
            <w:tcW w:w="0" w:type="dxa"/>
            <w:vAlign w:val="bottom"/>
          </w:tcPr>
          <w:p>
            <w:pPr>
              <w:spacing w:after="0"/>
              <w:rPr>
                <w:sz w:val="1"/>
                <w:szCs w:val="1"/>
                <w:color w:val="auto"/>
              </w:rPr>
            </w:pPr>
          </w:p>
        </w:tc>
      </w:tr>
      <w:tr>
        <w:trPr>
          <w:trHeight w:val="234"/>
        </w:trPr>
        <w:tc>
          <w:tcPr>
            <w:tcW w:w="51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Available-for-sale debt investments</w:t>
            </w:r>
          </w:p>
        </w:tc>
        <w:tc>
          <w:tcPr>
            <w:tcW w:w="15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6,360</w:t>
            </w:r>
          </w:p>
        </w:tc>
        <w:tc>
          <w:tcPr>
            <w:tcW w:w="4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850</w:t>
            </w:r>
          </w:p>
        </w:tc>
        <w:tc>
          <w:tcPr>
            <w:tcW w:w="11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5,510</w:t>
            </w:r>
          </w:p>
        </w:tc>
        <w:tc>
          <w:tcPr>
            <w:tcW w:w="0" w:type="dxa"/>
            <w:vAlign w:val="bottom"/>
          </w:tcPr>
          <w:p>
            <w:pPr>
              <w:spacing w:after="0"/>
              <w:rPr>
                <w:sz w:val="1"/>
                <w:szCs w:val="1"/>
                <w:color w:val="auto"/>
              </w:rPr>
            </w:pPr>
          </w:p>
        </w:tc>
      </w:tr>
      <w:tr>
        <w:trPr>
          <w:trHeight w:val="90"/>
        </w:trPr>
        <w:tc>
          <w:tcPr>
            <w:tcW w:w="1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5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non-current assets: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Derivative instruments</w:t>
            </w:r>
          </w:p>
        </w:tc>
        <w:tc>
          <w:tcPr>
            <w:tcW w:w="15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607</w:t>
            </w: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607</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 measured at fair value</w:t>
            </w:r>
          </w:p>
        </w:tc>
        <w:tc>
          <w:tcPr>
            <w:tcW w:w="320" w:type="dxa"/>
            <w:vAlign w:val="bottom"/>
            <w:shd w:val="clear" w:color="auto" w:fill="CCEEFF"/>
          </w:tcPr>
          <w:p>
            <w:pPr>
              <w:spacing w:after="0"/>
              <w:rPr>
                <w:sz w:val="18"/>
                <w:szCs w:val="18"/>
                <w:color w:val="auto"/>
              </w:rPr>
            </w:pPr>
          </w:p>
        </w:tc>
        <w:tc>
          <w:tcPr>
            <w:tcW w:w="118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26,637</w:t>
            </w:r>
          </w:p>
        </w:tc>
        <w:tc>
          <w:tcPr>
            <w:tcW w:w="40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8,635</w:t>
            </w:r>
          </w:p>
        </w:tc>
        <w:tc>
          <w:tcPr>
            <w:tcW w:w="44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7,418</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Amounts due to related parties, current:</w:t>
            </w:r>
          </w:p>
        </w:tc>
        <w:tc>
          <w:tcPr>
            <w:tcW w:w="3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180" w:type="dxa"/>
            <w:vAlign w:val="bottom"/>
            <w:gridSpan w:val="3"/>
            <w:vMerge w:val="continue"/>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18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Financial liability</w:t>
            </w:r>
          </w:p>
        </w:tc>
        <w:tc>
          <w:tcPr>
            <w:tcW w:w="15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389</w:t>
            </w: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389</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liabilities measured at fair value</w:t>
            </w:r>
          </w:p>
        </w:tc>
        <w:tc>
          <w:tcPr>
            <w:tcW w:w="32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389</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389</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5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F-62</w:t>
            </w: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288" w:name="page289"/>
    <w:bookmarkEnd w:id="2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45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BAIDU, INC.</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THE YEARS ENDED DECEMBER 31, 2023, 2024 AND 2025</w:t>
      </w:r>
    </w:p>
    <w:p>
      <w:pPr>
        <w:spacing w:after="0" w:line="227" w:lineRule="exact"/>
        <w:rPr>
          <w:sz w:val="20"/>
          <w:szCs w:val="20"/>
          <w:color w:val="auto"/>
        </w:rPr>
      </w:pPr>
    </w:p>
    <w:p>
      <w:pPr>
        <w:jc w:val="center"/>
        <w:ind w:left="7460"/>
        <w:spacing w:after="0"/>
        <w:rPr>
          <w:sz w:val="20"/>
          <w:szCs w:val="20"/>
          <w:color w:val="auto"/>
        </w:rPr>
      </w:pPr>
      <w:r>
        <w:rPr>
          <w:rFonts w:ascii="Times New Roman" w:cs="Times New Roman" w:eastAsia="Times New Roman" w:hAnsi="Times New Roman"/>
          <w:sz w:val="14"/>
          <w:szCs w:val="14"/>
          <w:b w:val="1"/>
          <w:bCs w:val="1"/>
          <w:color w:val="auto"/>
        </w:rPr>
        <w:t>Fair value measurement or disclosure</w:t>
      </w:r>
    </w:p>
    <w:p>
      <w:pPr>
        <w:jc w:val="center"/>
        <w:ind w:left="7460"/>
        <w:spacing w:after="0"/>
        <w:rPr>
          <w:sz w:val="20"/>
          <w:szCs w:val="20"/>
          <w:color w:val="auto"/>
        </w:rPr>
      </w:pPr>
      <w:r>
        <w:rPr>
          <w:rFonts w:ascii="Times New Roman" w:cs="Times New Roman" w:eastAsia="Times New Roman" w:hAnsi="Times New Roman"/>
          <w:sz w:val="14"/>
          <w:szCs w:val="14"/>
          <w:b w:val="1"/>
          <w:bCs w:val="1"/>
          <w:color w:val="auto"/>
        </w:rPr>
        <w:t>at December 31, 2025 using</w:t>
      </w:r>
    </w:p>
    <w:tbl>
      <w:tblPr>
        <w:tblLayout w:type="fixed"/>
        <w:tblInd w:w="120" w:type="dxa"/>
        <w:tblCellMar>
          <w:top w:w="0" w:type="dxa"/>
          <w:left w:w="0" w:type="dxa"/>
          <w:bottom w:w="0" w:type="dxa"/>
          <w:right w:w="0" w:type="dxa"/>
        </w:tblCellMar>
      </w:tblPr>
      <w:tr>
        <w:trPr>
          <w:trHeight w:val="117"/>
        </w:trPr>
        <w:tc>
          <w:tcPr>
            <w:tcW w:w="1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tcBorders>
              <w:top w:val="single" w:sz="8" w:color="auto"/>
            </w:tcBorders>
            <w:gridSpan w:val="2"/>
          </w:tcPr>
          <w:p>
            <w:pPr>
              <w:jc w:val="center"/>
              <w:ind w:right="240"/>
              <w:spacing w:after="0" w:line="117" w:lineRule="exact"/>
              <w:rPr>
                <w:sz w:val="20"/>
                <w:szCs w:val="20"/>
                <w:color w:val="auto"/>
              </w:rPr>
            </w:pPr>
            <w:r>
              <w:rPr>
                <w:rFonts w:ascii="Times New Roman" w:cs="Times New Roman" w:eastAsia="Times New Roman" w:hAnsi="Times New Roman"/>
                <w:sz w:val="13"/>
                <w:szCs w:val="13"/>
                <w:b w:val="1"/>
                <w:bCs w:val="1"/>
                <w:color w:val="auto"/>
              </w:rPr>
              <w:t>Quoted prices in</w:t>
            </w:r>
          </w:p>
        </w:tc>
        <w:tc>
          <w:tcPr>
            <w:tcW w:w="1160" w:type="dxa"/>
            <w:vAlign w:val="bottom"/>
            <w:tcBorders>
              <w:top w:val="single" w:sz="8" w:color="auto"/>
            </w:tcBorders>
            <w:gridSpan w:val="2"/>
          </w:tcPr>
          <w:p>
            <w:pPr>
              <w:jc w:val="center"/>
              <w:ind w:right="100"/>
              <w:spacing w:after="0" w:line="117" w:lineRule="exact"/>
              <w:rPr>
                <w:sz w:val="20"/>
                <w:szCs w:val="20"/>
                <w:color w:val="auto"/>
              </w:rPr>
            </w:pPr>
            <w:r>
              <w:rPr>
                <w:rFonts w:ascii="Times New Roman" w:cs="Times New Roman" w:eastAsia="Times New Roman" w:hAnsi="Times New Roman"/>
                <w:sz w:val="13"/>
                <w:szCs w:val="13"/>
                <w:b w:val="1"/>
                <w:bCs w:val="1"/>
                <w:color w:val="auto"/>
              </w:rPr>
              <w:t>Significant other</w:t>
            </w:r>
          </w:p>
        </w:tc>
        <w:tc>
          <w:tcPr>
            <w:tcW w:w="12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center"/>
              <w:spacing w:after="0" w:line="117"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540" w:type="dxa"/>
            <w:vAlign w:val="bottom"/>
            <w:gridSpan w:val="5"/>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Total fair value at</w:t>
            </w:r>
          </w:p>
        </w:tc>
        <w:tc>
          <w:tcPr>
            <w:tcW w:w="120" w:type="dxa"/>
            <w:vAlign w:val="bottom"/>
          </w:tcPr>
          <w:p>
            <w:pPr>
              <w:spacing w:after="0"/>
              <w:rPr>
                <w:sz w:val="12"/>
                <w:szCs w:val="12"/>
                <w:color w:val="auto"/>
              </w:rPr>
            </w:pPr>
          </w:p>
        </w:tc>
        <w:tc>
          <w:tcPr>
            <w:tcW w:w="13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1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00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54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1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20" w:type="dxa"/>
            <w:vAlign w:val="bottom"/>
          </w:tcPr>
          <w:p>
            <w:pPr>
              <w:spacing w:after="0"/>
              <w:rPr>
                <w:sz w:val="12"/>
                <w:szCs w:val="12"/>
                <w:color w:val="auto"/>
              </w:rPr>
            </w:pPr>
          </w:p>
        </w:tc>
        <w:tc>
          <w:tcPr>
            <w:tcW w:w="8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1540" w:type="dxa"/>
            <w:vAlign w:val="bottom"/>
            <w:gridSpan w:val="5"/>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20" w:type="dxa"/>
            <w:vAlign w:val="bottom"/>
          </w:tcPr>
          <w:p>
            <w:pPr>
              <w:spacing w:after="0"/>
              <w:rPr>
                <w:sz w:val="15"/>
                <w:szCs w:val="15"/>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5"/>
                <w:szCs w:val="15"/>
                <w:color w:val="auto"/>
              </w:rPr>
            </w:pPr>
          </w:p>
        </w:tc>
        <w:tc>
          <w:tcPr>
            <w:tcW w:w="8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17"/>
        </w:trPr>
        <w:tc>
          <w:tcPr>
            <w:tcW w:w="1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140" w:type="dxa"/>
            <w:vAlign w:val="bottom"/>
          </w:tcPr>
          <w:p>
            <w:pPr>
              <w:spacing w:after="0"/>
              <w:rPr>
                <w:sz w:val="10"/>
                <w:szCs w:val="10"/>
                <w:color w:val="auto"/>
              </w:rPr>
            </w:pPr>
          </w:p>
        </w:tc>
        <w:tc>
          <w:tcPr>
            <w:tcW w:w="880" w:type="dxa"/>
            <w:vAlign w:val="bottom"/>
            <w:tcBorders>
              <w:top w:val="single" w:sz="8" w:color="auto"/>
            </w:tcBorders>
            <w:gridSpan w:val="3"/>
          </w:tcPr>
          <w:p>
            <w:pPr>
              <w:ind w:left="160"/>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540" w:type="dxa"/>
            <w:vAlign w:val="bottom"/>
            <w:tcBorders>
              <w:top w:val="single" w:sz="8" w:color="auto"/>
            </w:tcBorders>
          </w:tcPr>
          <w:p>
            <w:pPr>
              <w:jc w:val="right"/>
              <w:ind w:right="51"/>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220" w:type="dxa"/>
            <w:vAlign w:val="bottom"/>
          </w:tcPr>
          <w:p>
            <w:pPr>
              <w:spacing w:after="0"/>
              <w:rPr>
                <w:sz w:val="10"/>
                <w:szCs w:val="10"/>
                <w:color w:val="auto"/>
              </w:rPr>
            </w:pPr>
          </w:p>
        </w:tc>
        <w:tc>
          <w:tcPr>
            <w:tcW w:w="10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1620" w:type="dxa"/>
            <w:vAlign w:val="bottom"/>
            <w:tcBorders>
              <w:bottom w:val="single" w:sz="8" w:color="CCEEFF"/>
            </w:tcBorders>
            <w:vMerge w:val="restart"/>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i w:val="1"/>
                <w:iCs w:val="1"/>
                <w:color w:val="auto"/>
              </w:rPr>
              <w:t>Fair value disclosure</w:t>
            </w:r>
          </w:p>
        </w:tc>
        <w:tc>
          <w:tcPr>
            <w:tcW w:w="100" w:type="dxa"/>
            <w:vAlign w:val="bottom"/>
            <w:tcBorders>
              <w:bottom w:val="single" w:sz="8" w:color="auto"/>
            </w:tcBorders>
            <w:shd w:val="clear" w:color="auto" w:fill="CCEEFF"/>
          </w:tcPr>
          <w:p>
            <w:pPr>
              <w:spacing w:after="0" w:line="88" w:lineRule="exact"/>
              <w:rPr>
                <w:sz w:val="20"/>
                <w:szCs w:val="20"/>
                <w:color w:val="auto"/>
              </w:rPr>
            </w:pPr>
            <w:r>
              <w:rPr>
                <w:rFonts w:ascii="Times New Roman" w:cs="Times New Roman" w:eastAsia="Times New Roman" w:hAnsi="Times New Roman"/>
                <w:sz w:val="10"/>
                <w:szCs w:val="10"/>
                <w:b w:val="1"/>
                <w:bCs w:val="1"/>
                <w:i w:val="1"/>
                <w:iCs w:val="1"/>
                <w:color w:val="auto"/>
                <w:w w:val="84"/>
              </w:rPr>
              <w:t>(i)</w:t>
            </w:r>
          </w:p>
        </w:tc>
        <w:tc>
          <w:tcPr>
            <w:tcW w:w="4140" w:type="dxa"/>
            <w:vAlign w:val="bottom"/>
            <w:tcBorders>
              <w:bottom w:val="single" w:sz="8" w:color="CCEEFF"/>
            </w:tcBorders>
            <w:vMerge w:val="restart"/>
            <w:shd w:val="clear" w:color="auto" w:fill="CCEEFF"/>
          </w:tcPr>
          <w:p>
            <w:pPr>
              <w:spacing w:after="0"/>
              <w:rPr>
                <w:sz w:val="9"/>
                <w:szCs w:val="9"/>
                <w:color w:val="auto"/>
              </w:rPr>
            </w:pPr>
          </w:p>
        </w:tc>
        <w:tc>
          <w:tcPr>
            <w:tcW w:w="640" w:type="dxa"/>
            <w:vAlign w:val="bottom"/>
            <w:tcBorders>
              <w:bottom w:val="single" w:sz="8" w:color="CCEEFF"/>
            </w:tcBorders>
            <w:shd w:val="clear" w:color="auto" w:fill="CCEEFF"/>
          </w:tcPr>
          <w:p>
            <w:pPr>
              <w:spacing w:after="0"/>
              <w:rPr>
                <w:sz w:val="9"/>
                <w:szCs w:val="9"/>
                <w:color w:val="auto"/>
              </w:rPr>
            </w:pPr>
          </w:p>
        </w:tc>
        <w:tc>
          <w:tcPr>
            <w:tcW w:w="20" w:type="dxa"/>
            <w:vAlign w:val="bottom"/>
            <w:tcBorders>
              <w:bottom w:val="single" w:sz="8" w:color="CCEEFF"/>
            </w:tcBorders>
            <w:shd w:val="clear" w:color="auto" w:fill="CCEEFF"/>
          </w:tcPr>
          <w:p>
            <w:pPr>
              <w:spacing w:after="0"/>
              <w:rPr>
                <w:sz w:val="9"/>
                <w:szCs w:val="9"/>
                <w:color w:val="auto"/>
              </w:rPr>
            </w:pPr>
          </w:p>
        </w:tc>
        <w:tc>
          <w:tcPr>
            <w:tcW w:w="220" w:type="dxa"/>
            <w:vAlign w:val="bottom"/>
            <w:tcBorders>
              <w:bottom w:val="single" w:sz="8" w:color="CCEEFF"/>
            </w:tcBorders>
            <w:shd w:val="clear" w:color="auto" w:fill="CCEEFF"/>
          </w:tcPr>
          <w:p>
            <w:pPr>
              <w:spacing w:after="0"/>
              <w:rPr>
                <w:sz w:val="9"/>
                <w:szCs w:val="9"/>
                <w:color w:val="auto"/>
              </w:rPr>
            </w:pPr>
          </w:p>
        </w:tc>
        <w:tc>
          <w:tcPr>
            <w:tcW w:w="54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1120" w:type="dxa"/>
            <w:vAlign w:val="bottom"/>
            <w:tcBorders>
              <w:bottom w:val="single" w:sz="8" w:color="CCEEFF"/>
            </w:tcBorders>
            <w:shd w:val="clear" w:color="auto" w:fill="CCEEFF"/>
          </w:tcPr>
          <w:p>
            <w:pPr>
              <w:spacing w:after="0"/>
              <w:rPr>
                <w:sz w:val="9"/>
                <w:szCs w:val="9"/>
                <w:color w:val="auto"/>
              </w:rPr>
            </w:pPr>
          </w:p>
        </w:tc>
        <w:tc>
          <w:tcPr>
            <w:tcW w:w="220" w:type="dxa"/>
            <w:vAlign w:val="bottom"/>
            <w:tcBorders>
              <w:bottom w:val="single" w:sz="8" w:color="CCEEFF"/>
            </w:tcBorders>
            <w:shd w:val="clear" w:color="auto" w:fill="CCEEFF"/>
          </w:tcPr>
          <w:p>
            <w:pPr>
              <w:spacing w:after="0"/>
              <w:rPr>
                <w:sz w:val="9"/>
                <w:szCs w:val="9"/>
                <w:color w:val="auto"/>
              </w:rPr>
            </w:pPr>
          </w:p>
        </w:tc>
        <w:tc>
          <w:tcPr>
            <w:tcW w:w="104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820" w:type="dxa"/>
            <w:vAlign w:val="bottom"/>
            <w:tcBorders>
              <w:bottom w:val="single" w:sz="8" w:color="CCEEFF"/>
            </w:tcBorders>
            <w:shd w:val="clear" w:color="auto" w:fill="CCEEFF"/>
          </w:tcPr>
          <w:p>
            <w:pPr>
              <w:spacing w:after="0"/>
              <w:rPr>
                <w:sz w:val="9"/>
                <w:szCs w:val="9"/>
                <w:color w:val="auto"/>
              </w:rPr>
            </w:pPr>
          </w:p>
        </w:tc>
        <w:tc>
          <w:tcPr>
            <w:tcW w:w="60" w:type="dxa"/>
            <w:vAlign w:val="bottom"/>
            <w:tcBorders>
              <w:bottom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162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4140" w:type="dxa"/>
            <w:vAlign w:val="bottom"/>
            <w:tcBorders>
              <w:bottom w:val="single" w:sz="8" w:color="CCEEFF"/>
            </w:tcBorders>
            <w:vMerge w:val="continue"/>
            <w:shd w:val="clear" w:color="auto" w:fill="CCEEFF"/>
          </w:tcPr>
          <w:p>
            <w:pPr>
              <w:spacing w:after="0"/>
              <w:rPr>
                <w:sz w:val="5"/>
                <w:szCs w:val="5"/>
                <w:color w:val="auto"/>
              </w:rPr>
            </w:pPr>
          </w:p>
        </w:tc>
        <w:tc>
          <w:tcPr>
            <w:tcW w:w="640" w:type="dxa"/>
            <w:vAlign w:val="bottom"/>
            <w:tcBorders>
              <w:bottom w:val="single" w:sz="8" w:color="CCEEFF"/>
            </w:tcBorders>
            <w:shd w:val="clear" w:color="auto" w:fill="CCEEFF"/>
          </w:tcPr>
          <w:p>
            <w:pPr>
              <w:spacing w:after="0"/>
              <w:rPr>
                <w:sz w:val="5"/>
                <w:szCs w:val="5"/>
                <w:color w:val="auto"/>
              </w:rPr>
            </w:pPr>
          </w:p>
        </w:tc>
        <w:tc>
          <w:tcPr>
            <w:tcW w:w="20" w:type="dxa"/>
            <w:vAlign w:val="bottom"/>
            <w:tcBorders>
              <w:bottom w:val="single" w:sz="8" w:color="CCEEFF"/>
            </w:tcBorders>
            <w:shd w:val="clear" w:color="auto" w:fill="CCEEFF"/>
          </w:tcPr>
          <w:p>
            <w:pPr>
              <w:spacing w:after="0"/>
              <w:rPr>
                <w:sz w:val="5"/>
                <w:szCs w:val="5"/>
                <w:color w:val="auto"/>
              </w:rPr>
            </w:pPr>
          </w:p>
        </w:tc>
        <w:tc>
          <w:tcPr>
            <w:tcW w:w="220" w:type="dxa"/>
            <w:vAlign w:val="bottom"/>
            <w:tcBorders>
              <w:bottom w:val="single" w:sz="8" w:color="CCEEFF"/>
            </w:tcBorders>
            <w:shd w:val="clear" w:color="auto" w:fill="CCEEFF"/>
          </w:tcPr>
          <w:p>
            <w:pPr>
              <w:spacing w:after="0"/>
              <w:rPr>
                <w:sz w:val="5"/>
                <w:szCs w:val="5"/>
                <w:color w:val="auto"/>
              </w:rPr>
            </w:pPr>
          </w:p>
        </w:tc>
        <w:tc>
          <w:tcPr>
            <w:tcW w:w="54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120" w:type="dxa"/>
            <w:vAlign w:val="bottom"/>
            <w:tcBorders>
              <w:bottom w:val="single" w:sz="8" w:color="CCEEFF"/>
            </w:tcBorders>
            <w:shd w:val="clear" w:color="auto" w:fill="CCEEFF"/>
          </w:tcPr>
          <w:p>
            <w:pPr>
              <w:spacing w:after="0"/>
              <w:rPr>
                <w:sz w:val="5"/>
                <w:szCs w:val="5"/>
                <w:color w:val="auto"/>
              </w:rPr>
            </w:pPr>
          </w:p>
        </w:tc>
        <w:tc>
          <w:tcPr>
            <w:tcW w:w="220" w:type="dxa"/>
            <w:vAlign w:val="bottom"/>
            <w:tcBorders>
              <w:bottom w:val="single" w:sz="8" w:color="CCEEFF"/>
            </w:tcBorders>
            <w:shd w:val="clear" w:color="auto" w:fill="CCEEFF"/>
          </w:tcPr>
          <w:p>
            <w:pPr>
              <w:spacing w:after="0"/>
              <w:rPr>
                <w:sz w:val="5"/>
                <w:szCs w:val="5"/>
                <w:color w:val="auto"/>
              </w:rPr>
            </w:pPr>
          </w:p>
        </w:tc>
        <w:tc>
          <w:tcPr>
            <w:tcW w:w="104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820" w:type="dxa"/>
            <w:vAlign w:val="bottom"/>
            <w:tcBorders>
              <w:bottom w:val="single" w:sz="8" w:color="CCEEFF"/>
            </w:tcBorders>
            <w:shd w:val="clear" w:color="auto" w:fill="CCEEFF"/>
          </w:tcPr>
          <w:p>
            <w:pPr>
              <w:spacing w:after="0"/>
              <w:rPr>
                <w:sz w:val="5"/>
                <w:szCs w:val="5"/>
                <w:color w:val="auto"/>
              </w:rPr>
            </w:pPr>
          </w:p>
        </w:tc>
        <w:tc>
          <w:tcPr>
            <w:tcW w:w="60" w:type="dxa"/>
            <w:vAlign w:val="bottom"/>
            <w:tcBorders>
              <w:bottom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324"/>
        </w:trPr>
        <w:tc>
          <w:tcPr>
            <w:tcW w:w="5860" w:type="dxa"/>
            <w:vAlign w:val="bottom"/>
            <w:tcBorders>
              <w:top w:val="single" w:sz="8" w:color="CCEEFF"/>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Cash equivalents:</w:t>
            </w:r>
          </w:p>
        </w:tc>
        <w:tc>
          <w:tcPr>
            <w:tcW w:w="6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12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04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6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Time deposits</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5,286</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756</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5,286</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58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Short-term investments:</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6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Held-to-maturity debt investments</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59,570</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8,518</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59,570</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58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Long-term investments:</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6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Long-term time deposits and held-to-maturity investments</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125,048</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17,882</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125,048</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58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Notes payable, current portion</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4,517</w:t>
            </w:r>
          </w:p>
        </w:tc>
        <w:tc>
          <w:tcPr>
            <w:tcW w:w="220" w:type="dxa"/>
            <w:vAlign w:val="bottom"/>
          </w:tcPr>
          <w:p>
            <w:pPr>
              <w:spacing w:after="0"/>
              <w:rPr>
                <w:sz w:val="24"/>
                <w:szCs w:val="24"/>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646</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4,517</w:t>
            </w: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Convertible senior notes, current portion</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1,458</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208</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1,458</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58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Notes payable, non-current portion:</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86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Notes payable other than 2032 Exchangeable Bonds</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36,175</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5,173</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36,175</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58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Convertible senior notes, non-current portion</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6,313</w:t>
            </w:r>
          </w:p>
        </w:tc>
        <w:tc>
          <w:tcPr>
            <w:tcW w:w="220" w:type="dxa"/>
            <w:vAlign w:val="bottom"/>
          </w:tcPr>
          <w:p>
            <w:pPr>
              <w:spacing w:after="0"/>
              <w:rPr>
                <w:sz w:val="24"/>
                <w:szCs w:val="24"/>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903</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2,398</w:t>
            </w: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3,915</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 on a recurring basis</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58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Short-term investments:</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6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Available-for-sale debt investments</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27,050</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3,868</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27,050</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Trading debt investments</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4,081</w:t>
            </w:r>
          </w:p>
        </w:tc>
        <w:tc>
          <w:tcPr>
            <w:tcW w:w="220" w:type="dxa"/>
            <w:vAlign w:val="bottom"/>
          </w:tcPr>
          <w:p>
            <w:pPr>
              <w:spacing w:after="0"/>
              <w:rPr>
                <w:sz w:val="20"/>
                <w:szCs w:val="20"/>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584</w:t>
            </w:r>
          </w:p>
        </w:tc>
        <w:tc>
          <w:tcPr>
            <w:tcW w:w="14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4,081</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0"/>
        </w:trPr>
        <w:tc>
          <w:tcPr>
            <w:tcW w:w="1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5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current assets:</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Derivative instruments</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180</w:t>
            </w:r>
          </w:p>
        </w:tc>
        <w:tc>
          <w:tcPr>
            <w:tcW w:w="22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180</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Long-term investments:</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Equity investments at fair value with readily determinable fair value</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10,774</w:t>
            </w:r>
          </w:p>
        </w:tc>
        <w:tc>
          <w:tcPr>
            <w:tcW w:w="22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1,541</w:t>
            </w:r>
          </w:p>
        </w:tc>
        <w:tc>
          <w:tcPr>
            <w:tcW w:w="14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10,774</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860" w:type="dxa"/>
            <w:vAlign w:val="bottom"/>
            <w:gridSpan w:val="3"/>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Equity investments without readily determinable fair value using NAV</w:t>
            </w: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86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practical expedient (ii)</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618</w:t>
            </w:r>
          </w:p>
        </w:tc>
        <w:tc>
          <w:tcPr>
            <w:tcW w:w="22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Investments accounted for at fair value</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4,593</w:t>
            </w:r>
          </w:p>
        </w:tc>
        <w:tc>
          <w:tcPr>
            <w:tcW w:w="22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657</w:t>
            </w:r>
          </w:p>
        </w:tc>
        <w:tc>
          <w:tcPr>
            <w:tcW w:w="14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19</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4,574</w:t>
            </w:r>
          </w:p>
        </w:tc>
        <w:tc>
          <w:tcPr>
            <w:tcW w:w="0" w:type="dxa"/>
            <w:vAlign w:val="bottom"/>
          </w:tcPr>
          <w:p>
            <w:pPr>
              <w:spacing w:after="0"/>
              <w:rPr>
                <w:sz w:val="1"/>
                <w:szCs w:val="1"/>
                <w:color w:val="auto"/>
              </w:rPr>
            </w:pPr>
          </w:p>
        </w:tc>
      </w:tr>
      <w:tr>
        <w:trPr>
          <w:trHeight w:val="216"/>
        </w:trPr>
        <w:tc>
          <w:tcPr>
            <w:tcW w:w="586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Available-for-sale debt investments</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3,220</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460</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336</w:t>
            </w:r>
          </w:p>
        </w:tc>
        <w:tc>
          <w:tcPr>
            <w:tcW w:w="10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2,885</w:t>
            </w:r>
          </w:p>
        </w:tc>
        <w:tc>
          <w:tcPr>
            <w:tcW w:w="0" w:type="dxa"/>
            <w:vAlign w:val="bottom"/>
          </w:tcPr>
          <w:p>
            <w:pPr>
              <w:spacing w:after="0"/>
              <w:rPr>
                <w:sz w:val="1"/>
                <w:szCs w:val="1"/>
                <w:color w:val="auto"/>
              </w:rPr>
            </w:pPr>
          </w:p>
        </w:tc>
      </w:tr>
      <w:tr>
        <w:trPr>
          <w:trHeight w:val="223"/>
        </w:trPr>
        <w:tc>
          <w:tcPr>
            <w:tcW w:w="58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assets measured at fair value</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50,516</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7,224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14,874</w:t>
            </w:r>
          </w:p>
        </w:tc>
        <w:tc>
          <w:tcPr>
            <w:tcW w:w="22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27,566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7,459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Amounts due to related parties, current:</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Financial liability</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374</w:t>
            </w:r>
          </w:p>
        </w:tc>
        <w:tc>
          <w:tcPr>
            <w:tcW w:w="22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374</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Accounts payable and accrued liabilities:</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Derivative instruments</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w:t>
            </w:r>
          </w:p>
        </w:tc>
        <w:tc>
          <w:tcPr>
            <w:tcW w:w="22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Notes payable, non-current portion:</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2032 Exchangeable Bonds</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14,271</w:t>
            </w:r>
          </w:p>
        </w:tc>
        <w:tc>
          <w:tcPr>
            <w:tcW w:w="220" w:type="dxa"/>
            <w:vAlign w:val="bottom"/>
          </w:tcPr>
          <w:p>
            <w:pPr>
              <w:spacing w:after="0"/>
              <w:rPr>
                <w:sz w:val="19"/>
                <w:szCs w:val="19"/>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2,041</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14,271</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measured at fair value</w:t>
            </w:r>
          </w:p>
        </w:tc>
        <w:tc>
          <w:tcPr>
            <w:tcW w:w="66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14,679</w:t>
            </w:r>
          </w:p>
        </w:tc>
        <w:tc>
          <w:tcPr>
            <w:tcW w:w="22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2,099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14,679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540" w:right="20" w:hanging="424"/>
        <w:spacing w:after="0" w:line="261" w:lineRule="auto"/>
        <w:tabs>
          <w:tab w:leader="none" w:pos="54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disclosure shows financial instruments which are not measured at fair value in the consolidated balance sheets, but for which the fair value is estimated for disclosure purposes.</w:t>
      </w:r>
    </w:p>
    <w:p>
      <w:pPr>
        <w:jc w:val="both"/>
        <w:ind w:left="540" w:right="20" w:hanging="424"/>
        <w:spacing w:after="0" w:line="255" w:lineRule="auto"/>
        <w:tabs>
          <w:tab w:leader="none" w:pos="54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are measured at fair value using NAV as a practical expedient. These investments have not been classified in the fair value hierarchy. The fair value amounts presented in this table are intended to permit reconciliation of the fair value hierarchy to the amounts presented in the consolidated balance sheet.</w:t>
      </w:r>
    </w:p>
    <w:p>
      <w:pPr>
        <w:spacing w:after="0" w:line="11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F-63</w:t>
      </w:r>
    </w:p>
    <w:p>
      <w:pPr>
        <w:sectPr>
          <w:pgSz w:w="11900" w:h="16838" w:orient="portrait"/>
          <w:cols w:equalWidth="0" w:num="1">
            <w:col w:w="11140"/>
          </w:cols>
          <w:pgMar w:left="320" w:top="482" w:right="439" w:bottom="1440" w:gutter="0" w:footer="0" w:header="0"/>
        </w:sectPr>
      </w:pPr>
    </w:p>
    <w:bookmarkStart w:id="289" w:name="page290"/>
    <w:bookmarkEnd w:id="2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46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BAIDU, INC.</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THE YEARS ENDED DECEMBER 31, 2023, 2024 AND 2025</w:t>
      </w:r>
    </w:p>
    <w:p>
      <w:pPr>
        <w:spacing w:after="0" w:line="2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Reconciliations of assets categorized within Level 3 under the fair value hierarchy are as follow:</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Investments accounted for at fair value:</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7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780" w:type="dxa"/>
            <w:vAlign w:val="bottom"/>
          </w:tcPr>
          <w:p>
            <w:pPr>
              <w:spacing w:after="0"/>
              <w:rPr>
                <w:sz w:val="15"/>
                <w:szCs w:val="15"/>
                <w:color w:val="auto"/>
              </w:rPr>
            </w:pPr>
          </w:p>
        </w:tc>
        <w:tc>
          <w:tcPr>
            <w:tcW w:w="8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0" w:type="dxa"/>
            <w:vAlign w:val="bottom"/>
          </w:tcPr>
          <w:p>
            <w:pPr>
              <w:spacing w:after="0"/>
              <w:rPr>
                <w:sz w:val="1"/>
                <w:szCs w:val="1"/>
                <w:color w:val="auto"/>
              </w:rPr>
            </w:pPr>
          </w:p>
        </w:tc>
      </w:tr>
      <w:tr>
        <w:trPr>
          <w:trHeight w:val="117"/>
        </w:trPr>
        <w:tc>
          <w:tcPr>
            <w:tcW w:w="17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780" w:type="dxa"/>
            <w:vAlign w:val="bottom"/>
          </w:tcPr>
          <w:p>
            <w:pPr>
              <w:spacing w:after="0"/>
              <w:rPr>
                <w:sz w:val="10"/>
                <w:szCs w:val="10"/>
                <w:color w:val="auto"/>
              </w:rPr>
            </w:pPr>
          </w:p>
        </w:tc>
        <w:tc>
          <w:tcPr>
            <w:tcW w:w="7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7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780" w:type="dxa"/>
            <w:vAlign w:val="bottom"/>
          </w:tcPr>
          <w:p>
            <w:pPr>
              <w:spacing w:after="0"/>
              <w:rPr>
                <w:sz w:val="15"/>
                <w:szCs w:val="15"/>
                <w:color w:val="auto"/>
              </w:rPr>
            </w:pPr>
          </w:p>
        </w:tc>
        <w:tc>
          <w:tcPr>
            <w:tcW w:w="8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4,775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Additions</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Disposals</w:t>
            </w: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(248)</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unrealized fair value decrease recognized in earnings</w:t>
            </w: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(376)</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80" w:type="dxa"/>
            <w:vAlign w:val="bottom"/>
            <w:gridSpan w:val="3"/>
          </w:tcPr>
          <w:p>
            <w:pPr>
              <w:ind w:left="1760"/>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4,347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w:t>
            </w: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Disposals</w:t>
            </w: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unrealized fair value increase recognized in earnings</w:t>
            </w: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760" w:type="dxa"/>
            <w:vAlign w:val="bottom"/>
          </w:tcPr>
          <w:p>
            <w:pPr>
              <w:spacing w:after="0"/>
              <w:rPr>
                <w:sz w:val="19"/>
                <w:szCs w:val="19"/>
                <w:color w:val="auto"/>
              </w:rPr>
            </w:pPr>
          </w:p>
        </w:tc>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2025</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4,574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80" w:type="dxa"/>
            <w:vAlign w:val="bottom"/>
            <w:gridSpan w:val="3"/>
            <w:vMerge w:val="restart"/>
          </w:tcPr>
          <w:p>
            <w:pPr>
              <w:ind w:left="1760"/>
              <w:spacing w:after="0"/>
              <w:rPr>
                <w:sz w:val="20"/>
                <w:szCs w:val="20"/>
                <w:color w:val="auto"/>
              </w:rPr>
            </w:pPr>
            <w:r>
              <w:rPr>
                <w:rFonts w:ascii="Times New Roman" w:cs="Times New Roman" w:eastAsia="Times New Roman" w:hAnsi="Times New Roman"/>
                <w:sz w:val="18"/>
                <w:szCs w:val="18"/>
                <w:b w:val="1"/>
                <w:bCs w:val="1"/>
                <w:color w:val="auto"/>
              </w:rPr>
              <w:t>Balance at December 31, 2025, in US$</w:t>
            </w:r>
          </w:p>
        </w:tc>
        <w:tc>
          <w:tcPr>
            <w:tcW w:w="7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80" w:type="dxa"/>
            <w:vAlign w:val="bottom"/>
            <w:gridSpan w:val="3"/>
            <w:vMerge w:val="continue"/>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Available-for-sale debt investments:</w:t>
            </w: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8380" w:type="dxa"/>
            <w:vAlign w:val="bottom"/>
            <w:gridSpan w:val="3"/>
            <w:vMerge w:val="continue"/>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7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5780" w:type="dxa"/>
            <w:vAlign w:val="bottom"/>
          </w:tcPr>
          <w:p>
            <w:pPr>
              <w:spacing w:after="0"/>
              <w:rPr>
                <w:sz w:val="24"/>
                <w:szCs w:val="24"/>
                <w:color w:val="auto"/>
              </w:rPr>
            </w:pPr>
          </w:p>
        </w:tc>
        <w:tc>
          <w:tcPr>
            <w:tcW w:w="8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0" w:type="dxa"/>
            <w:vAlign w:val="bottom"/>
          </w:tcPr>
          <w:p>
            <w:pPr>
              <w:spacing w:after="0"/>
              <w:rPr>
                <w:sz w:val="1"/>
                <w:szCs w:val="1"/>
                <w:color w:val="auto"/>
              </w:rPr>
            </w:pPr>
          </w:p>
        </w:tc>
      </w:tr>
      <w:tr>
        <w:trPr>
          <w:trHeight w:val="117"/>
        </w:trPr>
        <w:tc>
          <w:tcPr>
            <w:tcW w:w="17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780" w:type="dxa"/>
            <w:vAlign w:val="bottom"/>
          </w:tcPr>
          <w:p>
            <w:pPr>
              <w:spacing w:after="0"/>
              <w:rPr>
                <w:sz w:val="10"/>
                <w:szCs w:val="10"/>
                <w:color w:val="auto"/>
              </w:rPr>
            </w:pPr>
          </w:p>
        </w:tc>
        <w:tc>
          <w:tcPr>
            <w:tcW w:w="7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7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780" w:type="dxa"/>
            <w:vAlign w:val="bottom"/>
          </w:tcPr>
          <w:p>
            <w:pPr>
              <w:spacing w:after="0"/>
              <w:rPr>
                <w:sz w:val="15"/>
                <w:szCs w:val="15"/>
                <w:color w:val="auto"/>
              </w:rPr>
            </w:pPr>
          </w:p>
        </w:tc>
        <w:tc>
          <w:tcPr>
            <w:tcW w:w="8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3,259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Disposals</w:t>
            </w: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w:t>
            </w: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2,061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unrealized fair value change recognized in other comprehensive income (loss)</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760" w:type="dxa"/>
            <w:vAlign w:val="bottom"/>
          </w:tcPr>
          <w:p>
            <w:pPr>
              <w:spacing w:after="0"/>
              <w:rPr>
                <w:sz w:val="19"/>
                <w:szCs w:val="19"/>
                <w:color w:val="auto"/>
              </w:rPr>
            </w:pPr>
          </w:p>
        </w:tc>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5,510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380" w:type="dxa"/>
            <w:vAlign w:val="bottom"/>
            <w:gridSpan w:val="3"/>
          </w:tcPr>
          <w:p>
            <w:pPr>
              <w:ind w:left="1760"/>
              <w:spacing w:after="0"/>
              <w:rPr>
                <w:sz w:val="20"/>
                <w:szCs w:val="20"/>
                <w:color w:val="auto"/>
              </w:rPr>
            </w:pPr>
            <w:r>
              <w:rPr>
                <w:rFonts w:ascii="Times New Roman" w:cs="Times New Roman" w:eastAsia="Times New Roman" w:hAnsi="Times New Roman"/>
                <w:sz w:val="18"/>
                <w:szCs w:val="18"/>
                <w:color w:val="auto"/>
              </w:rPr>
              <w:t>Additions</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Disposals</w:t>
            </w: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(1,051)</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Conversion</w:t>
            </w: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(1,610)</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unrealized fair value change</w:t>
            </w: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23"/>
        </w:trPr>
        <w:tc>
          <w:tcPr>
            <w:tcW w:w="8380" w:type="dxa"/>
            <w:vAlign w:val="bottom"/>
            <w:gridSpan w:val="3"/>
          </w:tcPr>
          <w:p>
            <w:pPr>
              <w:ind w:left="1760"/>
              <w:spacing w:after="0"/>
              <w:rPr>
                <w:sz w:val="20"/>
                <w:szCs w:val="20"/>
                <w:color w:val="auto"/>
              </w:rPr>
            </w:pPr>
            <w:r>
              <w:rPr>
                <w:rFonts w:ascii="Times New Roman" w:cs="Times New Roman" w:eastAsia="Times New Roman" w:hAnsi="Times New Roman"/>
                <w:sz w:val="18"/>
                <w:szCs w:val="18"/>
                <w:b w:val="1"/>
                <w:bCs w:val="1"/>
                <w:color w:val="auto"/>
              </w:rPr>
              <w:t>Balance at December 31, 2025</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2,885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00" w:type="dxa"/>
            <w:vAlign w:val="bottom"/>
            <w:gridSpan w:val="2"/>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6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2025, in US$</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780" w:type="dxa"/>
            <w:vAlign w:val="bottom"/>
            <w:vMerge w:val="restart"/>
          </w:tcPr>
          <w:p>
            <w:pPr>
              <w:ind w:left="2740"/>
              <w:spacing w:after="0"/>
              <w:rPr>
                <w:sz w:val="20"/>
                <w:szCs w:val="20"/>
                <w:color w:val="auto"/>
              </w:rPr>
            </w:pPr>
            <w:r>
              <w:rPr>
                <w:rFonts w:ascii="Times New Roman" w:cs="Times New Roman" w:eastAsia="Times New Roman" w:hAnsi="Times New Roman"/>
                <w:sz w:val="18"/>
                <w:szCs w:val="18"/>
                <w:color w:val="auto"/>
              </w:rPr>
              <w:t>F-64</w:t>
            </w: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78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39"/>
          </w:cols>
          <w:pgMar w:left="320" w:top="482" w:right="1440" w:bottom="1440" w:gutter="0" w:footer="0" w:header="0"/>
        </w:sectPr>
      </w:pPr>
    </w:p>
    <w:bookmarkStart w:id="290" w:name="page291"/>
    <w:bookmarkEnd w:id="2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46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BAIDU, INC.</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THE YEARS ENDED DECEMBER 31, 2023, 2024 AND 2025</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Assets measured at fair value on a non-recurring basis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Group measures certain non-financial assets on a nonrecurring basis.</w:t>
      </w:r>
    </w:p>
    <w:p>
      <w:pPr>
        <w:spacing w:after="0" w:line="225" w:lineRule="exact"/>
        <w:rPr>
          <w:sz w:val="20"/>
          <w:szCs w:val="20"/>
          <w:color w:val="auto"/>
        </w:rPr>
      </w:pPr>
    </w:p>
    <w:p>
      <w:pPr>
        <w:jc w:val="both"/>
        <w:ind w:left="120"/>
        <w:spacing w:after="0" w:line="255" w:lineRule="auto"/>
        <w:rPr>
          <w:sz w:val="20"/>
          <w:szCs w:val="20"/>
          <w:color w:val="auto"/>
        </w:rPr>
      </w:pPr>
      <w:r>
        <w:rPr>
          <w:rFonts w:ascii="Times New Roman" w:cs="Times New Roman" w:eastAsia="Times New Roman" w:hAnsi="Times New Roman"/>
          <w:sz w:val="18"/>
          <w:szCs w:val="18"/>
          <w:color w:val="auto"/>
        </w:rPr>
        <w:t>For equity investments without readily determinable fair value using the measurement alternative, when there are observable price changes in orderly transactions for identical or similar investments of the same issuer, the investments are re-measured to fair value (Note 2). The non-recurring fair value measurements adjusting the carrying amount of the investment require management to estimate a price adjustment for the different rights and obligations between a similar instrument of the same issuer with an observable price change in an orderly transaction and the investment held by the Group. These non-recurring fair value measurements were measured as of the observable transaction dates. The valuation methodologies require management to consider the observable transaction price at the transaction date and other unobservable inputs (level 3) such as expected volatility and probability of exit events as it relates to liquidation and redemption preferences.</w:t>
      </w:r>
    </w:p>
    <w:p>
      <w:pPr>
        <w:spacing w:after="0" w:line="189" w:lineRule="exact"/>
        <w:rPr>
          <w:sz w:val="20"/>
          <w:szCs w:val="20"/>
          <w:color w:val="auto"/>
        </w:rPr>
      </w:pPr>
    </w:p>
    <w:p>
      <w:pPr>
        <w:jc w:val="both"/>
        <w:ind w:left="120"/>
        <w:spacing w:after="0" w:line="254" w:lineRule="auto"/>
        <w:rPr>
          <w:sz w:val="20"/>
          <w:szCs w:val="20"/>
          <w:color w:val="auto"/>
        </w:rPr>
      </w:pPr>
      <w:r>
        <w:rPr>
          <w:rFonts w:ascii="Times New Roman" w:cs="Times New Roman" w:eastAsia="Times New Roman" w:hAnsi="Times New Roman"/>
          <w:sz w:val="18"/>
          <w:szCs w:val="18"/>
          <w:color w:val="auto"/>
        </w:rPr>
        <w:t>When there is impairment of equity investments without readily determinable fair value using the measurement alternative and equity method investments, the non-recurring fair value measurements are measured at the date of impairment. The fair values of the Group’s equity method investments in publicly listed companies are measured using quoted market prices. Estimating the fair value of investees without observable market prices is highly judgmental due to the subjectivity of the unobservable inputs (level 3) used in the valuation methodologies. The Group uses valuation methodologies, primarily the market approach, which requires management to use unobservable inputs (level 3) such as selection of comparable companies and multiples, expected volatility, discount for lack of marketability and probability of exit events as it relates to liquidation and redemption preferences, when applicable. These unobservable inputs and resulting fair value estimates may be affected by unexpected changes in future market or economic conditions.</w:t>
      </w:r>
    </w:p>
    <w:p>
      <w:pPr>
        <w:spacing w:after="0" w:line="192" w:lineRule="exact"/>
        <w:rPr>
          <w:sz w:val="20"/>
          <w:szCs w:val="20"/>
          <w:color w:val="auto"/>
        </w:rPr>
      </w:pPr>
    </w:p>
    <w:p>
      <w:pPr>
        <w:jc w:val="both"/>
        <w:ind w:left="120"/>
        <w:spacing w:after="0" w:line="282" w:lineRule="auto"/>
        <w:rPr>
          <w:sz w:val="20"/>
          <w:szCs w:val="20"/>
          <w:color w:val="auto"/>
        </w:rPr>
      </w:pPr>
      <w:r>
        <w:rPr>
          <w:rFonts w:ascii="Times New Roman" w:cs="Times New Roman" w:eastAsia="Times New Roman" w:hAnsi="Times New Roman"/>
          <w:sz w:val="18"/>
          <w:szCs w:val="18"/>
          <w:color w:val="auto"/>
        </w:rPr>
        <w:t>Other non-financial assets, including long-lived assets, licensed copyrights and produced content, would be measured at fair value whenever events or changes in circumstances indicate the carrying value of an asset may not be recoverable.</w:t>
      </w:r>
    </w:p>
    <w:p>
      <w:pPr>
        <w:spacing w:after="0" w:line="162"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Group’s non-financial assets held as of December 31, 2024 and 2025 for which a non-recurring fair value measurement was recorded during the years ended December 31, 2024 and 2025:</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5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Quoted Prices</w:t>
            </w: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5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in Active</w:t>
            </w: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Significant</w:t>
            </w: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5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Markets for</w:t>
            </w: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Significant</w:t>
            </w: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5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Identical</w:t>
            </w: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Observable</w:t>
            </w: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Unobservable</w:t>
            </w: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5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9"/>
              </w:rPr>
              <w:t>Inputs</w:t>
            </w: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Inputs</w:t>
            </w: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5"/>
        </w:trPr>
        <w:tc>
          <w:tcPr>
            <w:tcW w:w="5240" w:type="dxa"/>
            <w:vAlign w:val="bottom"/>
          </w:tcPr>
          <w:p>
            <w:pPr>
              <w:spacing w:after="0"/>
              <w:rPr>
                <w:sz w:val="14"/>
                <w:szCs w:val="14"/>
                <w:color w:val="auto"/>
              </w:rPr>
            </w:pPr>
          </w:p>
        </w:tc>
        <w:tc>
          <w:tcPr>
            <w:tcW w:w="1380" w:type="dxa"/>
            <w:vAlign w:val="bottom"/>
            <w:gridSpan w:val="3"/>
          </w:tcPr>
          <w:p>
            <w:pPr>
              <w:ind w:left="140"/>
              <w:spacing w:after="0"/>
              <w:rPr>
                <w:sz w:val="20"/>
                <w:szCs w:val="20"/>
                <w:color w:val="auto"/>
              </w:rPr>
            </w:pPr>
            <w:r>
              <w:rPr>
                <w:rFonts w:ascii="Times New Roman" w:cs="Times New Roman" w:eastAsia="Times New Roman" w:hAnsi="Times New Roman"/>
                <w:sz w:val="13"/>
                <w:szCs w:val="13"/>
                <w:b w:val="1"/>
                <w:bCs w:val="1"/>
                <w:color w:val="auto"/>
              </w:rPr>
              <w:t>Total fair value</w:t>
            </w: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138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Total gains (losses)</w:t>
            </w:r>
          </w:p>
        </w:tc>
      </w:tr>
      <w:tr>
        <w:trPr>
          <w:trHeight w:val="117"/>
        </w:trPr>
        <w:tc>
          <w:tcPr>
            <w:tcW w:w="5240" w:type="dxa"/>
            <w:vAlign w:val="bottom"/>
          </w:tcPr>
          <w:p>
            <w:pPr>
              <w:spacing w:after="0"/>
              <w:rPr>
                <w:sz w:val="10"/>
                <w:szCs w:val="10"/>
                <w:color w:val="auto"/>
              </w:rPr>
            </w:pPr>
          </w:p>
        </w:tc>
        <w:tc>
          <w:tcPr>
            <w:tcW w:w="640" w:type="dxa"/>
            <w:vAlign w:val="bottom"/>
            <w:tcBorders>
              <w:top w:val="single" w:sz="8" w:color="auto"/>
            </w:tcBorders>
          </w:tcPr>
          <w:p>
            <w:pPr>
              <w:jc w:val="right"/>
              <w:ind w:right="163"/>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500" w:type="dxa"/>
            <w:vAlign w:val="bottom"/>
            <w:tcBorders>
              <w:top w:val="single" w:sz="8" w:color="auto"/>
            </w:tcBorders>
          </w:tcPr>
          <w:p>
            <w:pPr>
              <w:jc w:val="right"/>
              <w:ind w:right="2"/>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c>
          <w:tcPr>
            <w:tcW w:w="240" w:type="dxa"/>
            <w:vAlign w:val="bottom"/>
          </w:tcPr>
          <w:p>
            <w:pPr>
              <w:spacing w:after="0"/>
              <w:rPr>
                <w:sz w:val="10"/>
                <w:szCs w:val="10"/>
                <w:color w:val="auto"/>
              </w:rPr>
            </w:pPr>
          </w:p>
        </w:tc>
        <w:tc>
          <w:tcPr>
            <w:tcW w:w="8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260" w:type="dxa"/>
            <w:vAlign w:val="bottom"/>
          </w:tcPr>
          <w:p>
            <w:pPr>
              <w:spacing w:after="0"/>
              <w:rPr>
                <w:sz w:val="10"/>
                <w:szCs w:val="10"/>
                <w:color w:val="auto"/>
              </w:rPr>
            </w:pPr>
          </w:p>
        </w:tc>
        <w:tc>
          <w:tcPr>
            <w:tcW w:w="6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240" w:type="dxa"/>
            <w:vAlign w:val="bottom"/>
          </w:tcPr>
          <w:p>
            <w:pPr>
              <w:spacing w:after="0"/>
              <w:rPr>
                <w:sz w:val="10"/>
                <w:szCs w:val="10"/>
                <w:color w:val="auto"/>
              </w:rPr>
            </w:pPr>
          </w:p>
        </w:tc>
        <w:tc>
          <w:tcPr>
            <w:tcW w:w="8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240" w:type="dxa"/>
            <w:vAlign w:val="bottom"/>
          </w:tcPr>
          <w:p>
            <w:pPr>
              <w:spacing w:after="0"/>
              <w:rPr>
                <w:sz w:val="10"/>
                <w:szCs w:val="10"/>
                <w:color w:val="auto"/>
              </w:rPr>
            </w:pPr>
          </w:p>
        </w:tc>
        <w:tc>
          <w:tcPr>
            <w:tcW w:w="720" w:type="dxa"/>
            <w:vAlign w:val="bottom"/>
            <w:tcBorders>
              <w:top w:val="single" w:sz="8" w:color="auto"/>
            </w:tcBorders>
          </w:tcPr>
          <w:p>
            <w:pPr>
              <w:jc w:val="right"/>
              <w:ind w:right="223"/>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560" w:type="dxa"/>
            <w:vAlign w:val="bottom"/>
            <w:tcBorders>
              <w:top w:val="single" w:sz="8" w:color="auto"/>
            </w:tcBorders>
          </w:tcPr>
          <w:p>
            <w:pPr>
              <w:jc w:val="right"/>
              <w:ind w:right="42"/>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c>
          <w:tcPr>
            <w:tcW w:w="100" w:type="dxa"/>
            <w:vAlign w:val="bottom"/>
          </w:tcPr>
          <w:p>
            <w:pPr>
              <w:spacing w:after="0"/>
              <w:rPr>
                <w:sz w:val="10"/>
                <w:szCs w:val="10"/>
                <w:color w:val="auto"/>
              </w:rPr>
            </w:pPr>
          </w:p>
        </w:tc>
      </w:tr>
      <w:tr>
        <w:trPr>
          <w:trHeight w:val="173"/>
        </w:trPr>
        <w:tc>
          <w:tcPr>
            <w:tcW w:w="5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Fair value measurements on a non-recurring basis</w:t>
            </w: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3"/>
        </w:trPr>
        <w:tc>
          <w:tcPr>
            <w:tcW w:w="5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As of December 31, 2024</w:t>
            </w:r>
          </w:p>
        </w:tc>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240" w:type="dxa"/>
            <w:vAlign w:val="bottom"/>
            <w:shd w:val="clear" w:color="auto" w:fill="CCEEFF"/>
          </w:tcPr>
          <w:p>
            <w:pPr>
              <w:ind w:left="320"/>
              <w:spacing w:after="0" w:line="203" w:lineRule="exact"/>
              <w:rPr>
                <w:sz w:val="20"/>
                <w:szCs w:val="20"/>
                <w:color w:val="auto"/>
              </w:rPr>
            </w:pPr>
            <w:r>
              <w:rPr>
                <w:rFonts w:ascii="Times New Roman" w:cs="Times New Roman" w:eastAsia="Times New Roman" w:hAnsi="Times New Roman"/>
                <w:sz w:val="16"/>
                <w:szCs w:val="16"/>
                <w:color w:val="auto"/>
              </w:rPr>
              <w:t xml:space="preserve">Long-term investments </w:t>
            </w:r>
            <w:r>
              <w:rPr>
                <w:rFonts w:ascii="Times New Roman" w:cs="Times New Roman" w:eastAsia="Times New Roman" w:hAnsi="Times New Roman"/>
                <w:sz w:val="20"/>
                <w:szCs w:val="20"/>
                <w:color w:val="auto"/>
                <w:vertAlign w:val="superscript"/>
              </w:rPr>
              <w:t>(i)</w:t>
            </w:r>
          </w:p>
        </w:tc>
        <w:tc>
          <w:tcPr>
            <w:tcW w:w="6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6"/>
                <w:szCs w:val="16"/>
                <w:color w:val="auto"/>
              </w:rPr>
              <w:t>1,242</w:t>
            </w: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1,242</w:t>
            </w:r>
          </w:p>
        </w:tc>
        <w:tc>
          <w:tcPr>
            <w:tcW w:w="7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6"/>
                <w:szCs w:val="16"/>
                <w:color w:val="auto"/>
              </w:rPr>
              <w:t>261</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0"/>
        </w:trPr>
        <w:tc>
          <w:tcPr>
            <w:tcW w:w="52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Produced content monetized on its own</w:t>
            </w:r>
          </w:p>
        </w:tc>
        <w:tc>
          <w:tcPr>
            <w:tcW w:w="64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74</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74</w:t>
            </w:r>
          </w:p>
        </w:tc>
        <w:tc>
          <w:tcPr>
            <w:tcW w:w="72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(95)</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00"/>
        </w:trPr>
        <w:tc>
          <w:tcPr>
            <w:tcW w:w="5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03"/>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 of December 31, 2025</w:t>
            </w:r>
          </w:p>
        </w:tc>
        <w:tc>
          <w:tcPr>
            <w:tcW w:w="6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5240" w:type="dxa"/>
            <w:vAlign w:val="bottom"/>
          </w:tcPr>
          <w:p>
            <w:pPr>
              <w:ind w:left="320"/>
              <w:spacing w:after="0" w:line="203" w:lineRule="exact"/>
              <w:rPr>
                <w:sz w:val="20"/>
                <w:szCs w:val="20"/>
                <w:color w:val="auto"/>
              </w:rPr>
            </w:pPr>
            <w:r>
              <w:rPr>
                <w:rFonts w:ascii="Times New Roman" w:cs="Times New Roman" w:eastAsia="Times New Roman" w:hAnsi="Times New Roman"/>
                <w:sz w:val="16"/>
                <w:szCs w:val="16"/>
                <w:color w:val="auto"/>
              </w:rPr>
              <w:t xml:space="preserve">Long-term investments </w:t>
            </w:r>
            <w:r>
              <w:rPr>
                <w:rFonts w:ascii="Times New Roman" w:cs="Times New Roman" w:eastAsia="Times New Roman" w:hAnsi="Times New Roman"/>
                <w:sz w:val="20"/>
                <w:szCs w:val="20"/>
                <w:color w:val="auto"/>
                <w:vertAlign w:val="superscript"/>
              </w:rPr>
              <w:t>(i)</w:t>
            </w:r>
          </w:p>
        </w:tc>
        <w:tc>
          <w:tcPr>
            <w:tcW w:w="64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530</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530</w:t>
            </w:r>
          </w:p>
        </w:tc>
        <w:tc>
          <w:tcPr>
            <w:tcW w:w="720" w:type="dxa"/>
            <w:vAlign w:val="bottom"/>
          </w:tcPr>
          <w:p>
            <w:pPr>
              <w:jc w:val="right"/>
              <w:ind w:right="103"/>
              <w:spacing w:after="0"/>
              <w:rPr>
                <w:sz w:val="20"/>
                <w:szCs w:val="20"/>
                <w:color w:val="auto"/>
              </w:rPr>
            </w:pPr>
            <w:r>
              <w:rPr>
                <w:rFonts w:ascii="Times New Roman" w:cs="Times New Roman" w:eastAsia="Times New Roman" w:hAnsi="Times New Roman"/>
                <w:sz w:val="16"/>
                <w:szCs w:val="16"/>
                <w:color w:val="auto"/>
              </w:rPr>
              <w:t>31</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7"/>
                <w:szCs w:val="17"/>
                <w:color w:val="auto"/>
              </w:rPr>
            </w:pPr>
          </w:p>
        </w:tc>
      </w:tr>
      <w:tr>
        <w:trPr>
          <w:trHeight w:val="203"/>
        </w:trPr>
        <w:tc>
          <w:tcPr>
            <w:tcW w:w="5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Produced content monetized on its own</w:t>
            </w:r>
          </w:p>
        </w:tc>
        <w:tc>
          <w:tcPr>
            <w:tcW w:w="6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6"/>
                <w:szCs w:val="16"/>
                <w:color w:val="auto"/>
              </w:rPr>
              <w:t>47</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47</w:t>
            </w:r>
          </w:p>
        </w:tc>
        <w:tc>
          <w:tcPr>
            <w:tcW w:w="72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6"/>
                <w:szCs w:val="16"/>
                <w:color w:val="auto"/>
              </w:rPr>
              <w:t>(86)</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(12)</w:t>
            </w:r>
          </w:p>
        </w:tc>
      </w:tr>
      <w:tr>
        <w:trPr>
          <w:trHeight w:val="212"/>
        </w:trPr>
        <w:tc>
          <w:tcPr>
            <w:tcW w:w="52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 xml:space="preserve">Core asset group as of September 30, 2025 </w:t>
            </w:r>
            <w:r>
              <w:rPr>
                <w:rFonts w:ascii="Times New Roman" w:cs="Times New Roman" w:eastAsia="Times New Roman" w:hAnsi="Times New Roman"/>
                <w:sz w:val="16"/>
                <w:szCs w:val="16"/>
                <w:i w:val="1"/>
                <w:iCs w:val="1"/>
                <w:color w:val="auto"/>
              </w:rPr>
              <w:t>(Note 2)</w:t>
            </w:r>
          </w:p>
        </w:tc>
        <w:tc>
          <w:tcPr>
            <w:tcW w:w="64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44,748</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6,399</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44,748</w:t>
            </w:r>
          </w:p>
        </w:tc>
        <w:tc>
          <w:tcPr>
            <w:tcW w:w="72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(16,190)</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(2,315)</w:t>
            </w:r>
          </w:p>
        </w:tc>
      </w:tr>
    </w:tbl>
    <w:p>
      <w:pPr>
        <w:spacing w:after="0" w:line="93" w:lineRule="exact"/>
        <w:rPr>
          <w:sz w:val="20"/>
          <w:szCs w:val="20"/>
          <w:color w:val="auto"/>
        </w:rPr>
      </w:pPr>
    </w:p>
    <w:p>
      <w:pPr>
        <w:jc w:val="both"/>
        <w:ind w:left="540" w:hanging="424"/>
        <w:spacing w:after="0" w:line="261" w:lineRule="auto"/>
        <w:tabs>
          <w:tab w:leader="none" w:pos="54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declined financial performances and changes in business circumstances of certain investees, the Group recognized impairment charges of long-term investments in the consolidated statements of comprehensive income during the years ended December 31, 2024 and 2025. For equity investments without readily determinable fair value using the measurement alternative, when there are observable price changes in orderly transactions for identical or similar investments of the same issuer, the investments are re-measured to fair value.</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F-65</w:t>
      </w:r>
    </w:p>
    <w:p>
      <w:pPr>
        <w:sectPr>
          <w:pgSz w:w="11900" w:h="16838" w:orient="portrait"/>
          <w:cols w:equalWidth="0" w:num="1">
            <w:col w:w="11140"/>
          </w:cols>
          <w:pgMar w:left="320" w:top="482" w:right="439" w:bottom="1440" w:gutter="0" w:footer="0" w:header="0"/>
        </w:sectPr>
      </w:pPr>
    </w:p>
    <w:bookmarkStart w:id="291" w:name="page292"/>
    <w:bookmarkEnd w:id="291"/>
    <w:p>
      <w:pPr>
        <w:jc w:val="right"/>
        <w:spacing w:after="0"/>
        <w:rPr>
          <w:sz w:val="20"/>
          <w:szCs w:val="20"/>
          <w:color w:val="auto"/>
        </w:rPr>
      </w:pPr>
      <w:r>
        <w:rPr>
          <w:rFonts w:ascii="Times New Roman" w:cs="Times New Roman" w:eastAsia="Times New Roman" w:hAnsi="Times New Roman"/>
          <w:sz w:val="18"/>
          <w:szCs w:val="18"/>
          <w:b w:val="1"/>
          <w:bCs w:val="1"/>
          <w:color w:val="auto"/>
        </w:rPr>
        <w:t>Exhibit 2.38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182880</wp:posOffset>
            </wp:positionV>
            <wp:extent cx="699516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46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208280</wp:posOffset>
            </wp:positionV>
            <wp:extent cx="699516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46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TWELFTH SUPPLEMENTAL INDENTURE</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Dated as of</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September 15, 2025</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Between</w:t>
      </w:r>
    </w:p>
    <w:p>
      <w:pPr>
        <w:spacing w:after="0" w:line="225"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BAIDU, INC.</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as Company</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THE BANK OF NEW YORK MELLON</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as Trustee</w:t>
      </w:r>
    </w:p>
    <w:p>
      <w:pPr>
        <w:spacing w:after="0" w:line="225" w:lineRule="exact"/>
        <w:rPr>
          <w:sz w:val="20"/>
          <w:szCs w:val="20"/>
          <w:color w:val="auto"/>
        </w:rPr>
      </w:pPr>
    </w:p>
    <w:p>
      <w:pPr>
        <w:jc w:val="center"/>
        <w:ind w:left="1900" w:right="2920"/>
        <w:spacing w:after="0" w:line="519" w:lineRule="auto"/>
        <w:rPr>
          <w:sz w:val="20"/>
          <w:szCs w:val="20"/>
          <w:color w:val="auto"/>
        </w:rPr>
      </w:pPr>
      <w:r>
        <w:rPr>
          <w:rFonts w:ascii="Times New Roman" w:cs="Times New Roman" w:eastAsia="Times New Roman" w:hAnsi="Times New Roman"/>
          <w:sz w:val="18"/>
          <w:szCs w:val="18"/>
          <w:b w:val="1"/>
          <w:bCs w:val="1"/>
          <w:color w:val="auto"/>
        </w:rPr>
        <w:t>THE BANK OF NEW YORK MELLON, HONG KONG BRANCH as CMU Lodging and Paying Agent, Transfer Agent and Registrar 1.90% NOTES DUE 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19050</wp:posOffset>
            </wp:positionV>
            <wp:extent cx="699516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46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44450</wp:posOffset>
            </wp:positionV>
            <wp:extent cx="699516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46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20"/>
          </w:cols>
          <w:pgMar w:left="1440" w:top="117" w:right="439" w:bottom="1440" w:gutter="0" w:footer="0" w:header="0"/>
        </w:sectPr>
      </w:pPr>
    </w:p>
    <w:bookmarkStart w:id="292" w:name="page293"/>
    <w:bookmarkEnd w:id="292"/>
    <w:p>
      <w:pPr>
        <w:ind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4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TWELFTH SUPPLEMENTAL INDENTURE dated as of September 15, 2025 between Baidu, Inc., an exempted company incorporated in the Cayman Islands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The Bank of New York Mellon, a banking corporation organized and existing under the laws of the State of New York with limited liability, as trustee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and The Bank of New York Mellon, Hong Kong Branch, a banking corporation organized and existing under the laws of the State of New York with limited liability and operating through its branch in Hong Kong at Level 26, Three Pacific Place, 1 Queen’s Road East, Hong Kong, as CMU Lodging and Paying Agent, Transfer Agent and Registrar (collectively, the “</w:t>
      </w:r>
      <w:r>
        <w:rPr>
          <w:rFonts w:ascii="Times New Roman" w:cs="Times New Roman" w:eastAsia="Times New Roman" w:hAnsi="Times New Roman"/>
          <w:sz w:val="18"/>
          <w:szCs w:val="18"/>
          <w:u w:val="single" w:color="auto"/>
          <w:color w:val="auto"/>
        </w:rPr>
        <w:t>Agents</w:t>
      </w:r>
      <w:r>
        <w:rPr>
          <w:rFonts w:ascii="Times New Roman" w:cs="Times New Roman" w:eastAsia="Times New Roman" w:hAnsi="Times New Roman"/>
          <w:sz w:val="18"/>
          <w:szCs w:val="18"/>
          <w:color w:val="auto"/>
        </w:rPr>
        <w:t>”).</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WITNESSETH:</w:t>
      </w:r>
    </w:p>
    <w:p>
      <w:pPr>
        <w:spacing w:after="0" w:line="229"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WHEREAS, the Company and the Trustee executed and delivered an Indenture dated as of November 28, 2012 (the “</w:t>
      </w:r>
      <w:r>
        <w:rPr>
          <w:rFonts w:ascii="Times New Roman" w:cs="Times New Roman" w:eastAsia="Times New Roman" w:hAnsi="Times New Roman"/>
          <w:sz w:val="18"/>
          <w:szCs w:val="18"/>
          <w:u w:val="single" w:color="auto"/>
          <w:color w:val="auto"/>
        </w:rPr>
        <w:t>Base Indenture</w:t>
      </w:r>
      <w:r>
        <w:rPr>
          <w:rFonts w:ascii="Times New Roman" w:cs="Times New Roman" w:eastAsia="Times New Roman" w:hAnsi="Times New Roman"/>
          <w:sz w:val="18"/>
          <w:szCs w:val="18"/>
          <w:color w:val="auto"/>
        </w:rPr>
        <w:t>”) to provide for the issuance of debentures, notes, bonds or other evidences of indebtedness in an unlimited aggregate principal amount to be issued from time to time in one or more series (such Base Indenture, as supplemented and amended by this Twelfth Supplemental Indenture and all indentures supplemental thereto with respect to the Notes (as defined below) herein referred to as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400" w:firstLine="440"/>
        <w:spacing w:after="0" w:line="282" w:lineRule="auto"/>
        <w:rPr>
          <w:sz w:val="20"/>
          <w:szCs w:val="20"/>
          <w:color w:val="auto"/>
        </w:rPr>
      </w:pPr>
      <w:r>
        <w:rPr>
          <w:rFonts w:ascii="Times New Roman" w:cs="Times New Roman" w:eastAsia="Times New Roman" w:hAnsi="Times New Roman"/>
          <w:sz w:val="18"/>
          <w:szCs w:val="18"/>
          <w:color w:val="auto"/>
        </w:rPr>
        <w:t>WHEREAS, the Company has duly authorized the issuance of CNY4,400,000,000 aggregate principal amount of 1.90% Notes due 2029 (the “</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WHEREAS, the Company has duly authorized the execution and delivery of this Twelfth Supplemental Indenture pursuant to Section 14.01 of the Base Indenture to establish the terms and the form of the Notes in accordance with Sections 2.01, 3.01 and 3.03 of the Base Indenture;</w:t>
      </w:r>
    </w:p>
    <w:p>
      <w:pPr>
        <w:spacing w:after="0" w:line="162" w:lineRule="exact"/>
        <w:rPr>
          <w:sz w:val="20"/>
          <w:szCs w:val="20"/>
          <w:color w:val="auto"/>
        </w:rPr>
      </w:pPr>
    </w:p>
    <w:p>
      <w:pPr>
        <w:ind w:right="720" w:firstLine="440"/>
        <w:spacing w:after="0" w:line="282" w:lineRule="auto"/>
        <w:rPr>
          <w:sz w:val="20"/>
          <w:szCs w:val="20"/>
          <w:color w:val="auto"/>
        </w:rPr>
      </w:pPr>
      <w:r>
        <w:rPr>
          <w:rFonts w:ascii="Times New Roman" w:cs="Times New Roman" w:eastAsia="Times New Roman" w:hAnsi="Times New Roman"/>
          <w:sz w:val="18"/>
          <w:szCs w:val="18"/>
          <w:color w:val="auto"/>
        </w:rPr>
        <w:t>WHEREAS, all things necessary to make this Twelfth Supplemental Indenture a valid and legally binding agreement of the Company, in accordance with its terms, have been done.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NOW, THEREFORE, THIS TWELFTH SUPPLEMENTAL INDENTURE WITNESSETH:</w:t>
      </w:r>
    </w:p>
    <w:p>
      <w:pPr>
        <w:spacing w:after="0" w:line="225"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That, in consideration of the premises and the purchase of the Notes by the Holders thereof for the equal and proportionate benefit of all of the present and future Holders of the Notes, each party agrees and covenants as follows: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SCOPE AND DEFINITIONS</w:t>
      </w:r>
    </w:p>
    <w:p>
      <w:pPr>
        <w:spacing w:after="0" w:line="229"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Scope</w:t>
      </w:r>
      <w:r>
        <w:rPr>
          <w:rFonts w:ascii="Times New Roman" w:cs="Times New Roman" w:eastAsia="Times New Roman" w:hAnsi="Times New Roman"/>
          <w:sz w:val="18"/>
          <w:szCs w:val="18"/>
          <w:color w:val="auto"/>
        </w:rPr>
        <w:t>. The changes, modifications and supplements to the Base Indenture effected by this Twelfth Supplemental Indenture shall be applicable only with respect to, and govern the terms of, the Notes and shall not apply to any other series of Securities that may be issued under the Base Indenture unless a supplemental indenture with respect to such other series of Securities specifically incorporates such changes, modifications and supplements.</w:t>
      </w:r>
    </w:p>
    <w:p>
      <w:pPr>
        <w:sectPr>
          <w:pgSz w:w="11900" w:h="16838" w:orient="portrait"/>
          <w:cols w:equalWidth="0" w:num="1">
            <w:col w:w="11000"/>
          </w:cols>
          <w:pgMar w:left="440" w:top="270" w:right="459" w:bottom="1440" w:gutter="0" w:footer="0" w:header="0"/>
        </w:sectPr>
      </w:pPr>
    </w:p>
    <w:bookmarkStart w:id="293" w:name="page294"/>
    <w:bookmarkEnd w:id="29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4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1.02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240" w:hanging="253"/>
        <w:spacing w:after="0"/>
        <w:tabs>
          <w:tab w:leader="none" w:pos="124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Capitalized terms used but not otherwise defined herein shall have the meanings assigned to them in the Base Indenture.</w:t>
      </w:r>
    </w:p>
    <w:p>
      <w:pPr>
        <w:spacing w:after="0" w:line="225" w:lineRule="exact"/>
        <w:rPr>
          <w:rFonts w:ascii="Times New Roman" w:cs="Times New Roman" w:eastAsia="Times New Roman" w:hAnsi="Times New Roman"/>
          <w:sz w:val="18"/>
          <w:szCs w:val="18"/>
          <w:color w:val="auto"/>
        </w:rPr>
      </w:pPr>
    </w:p>
    <w:p>
      <w:pPr>
        <w:ind w:right="40" w:firstLine="987"/>
        <w:spacing w:after="0" w:line="282" w:lineRule="auto"/>
        <w:tabs>
          <w:tab w:leader="none" w:pos="1246"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herein, the following additional defined terms shall have the following meanings with respect to the Notes only and be equally applicable to both the singular and the plural forms of any of the terms herein defined:</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Notes</w:t>
      </w:r>
      <w:r>
        <w:rPr>
          <w:rFonts w:ascii="Times New Roman" w:cs="Times New Roman" w:eastAsia="Times New Roman" w:hAnsi="Times New Roman"/>
          <w:sz w:val="18"/>
          <w:szCs w:val="18"/>
          <w:color w:val="auto"/>
        </w:rPr>
        <w:t>” has the meaning provided in Section 2.01(c).</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Indenture</w:t>
      </w:r>
      <w:r>
        <w:rPr>
          <w:rFonts w:ascii="Times New Roman" w:cs="Times New Roman" w:eastAsia="Times New Roman" w:hAnsi="Times New Roman"/>
          <w:sz w:val="18"/>
          <w:szCs w:val="18"/>
          <w:color w:val="auto"/>
        </w:rPr>
        <w:t>” has the meaning provided in the recitals hereof.</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Clearing System Business Day</w:t>
      </w:r>
      <w:r>
        <w:rPr>
          <w:rFonts w:ascii="Times New Roman" w:cs="Times New Roman" w:eastAsia="Times New Roman" w:hAnsi="Times New Roman"/>
          <w:sz w:val="18"/>
          <w:szCs w:val="18"/>
          <w:color w:val="auto"/>
        </w:rPr>
        <w:t>” means a day on which the CMU is operating and open for business.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CMU</w:t>
      </w:r>
      <w:r>
        <w:rPr>
          <w:rFonts w:ascii="Times New Roman" w:cs="Times New Roman" w:eastAsia="Times New Roman" w:hAnsi="Times New Roman"/>
          <w:sz w:val="18"/>
          <w:szCs w:val="18"/>
          <w:color w:val="auto"/>
        </w:rPr>
        <w:t>” means the Central Moneymarkets Unit Service.</w:t>
      </w:r>
    </w:p>
    <w:p>
      <w:pPr>
        <w:spacing w:after="0" w:line="225" w:lineRule="exact"/>
        <w:rPr>
          <w:sz w:val="20"/>
          <w:szCs w:val="20"/>
          <w:color w:val="auto"/>
        </w:rPr>
      </w:pPr>
    </w:p>
    <w:p>
      <w:pPr>
        <w:ind w:right="4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CMU Lodging and Paying Agent</w:t>
      </w:r>
      <w:r>
        <w:rPr>
          <w:rFonts w:ascii="Times New Roman" w:cs="Times New Roman" w:eastAsia="Times New Roman" w:hAnsi="Times New Roman"/>
          <w:sz w:val="18"/>
          <w:szCs w:val="18"/>
          <w:color w:val="auto"/>
        </w:rPr>
        <w:t>” means The Bank of New York Mellon, Hong Kong Branch or its successor as CMU lodging and paying Agent under the Indenture.</w:t>
      </w:r>
    </w:p>
    <w:p>
      <w:pPr>
        <w:spacing w:after="0" w:line="162" w:lineRule="exact"/>
        <w:rPr>
          <w:sz w:val="20"/>
          <w:szCs w:val="20"/>
          <w:color w:val="auto"/>
        </w:rPr>
      </w:pPr>
    </w:p>
    <w:p>
      <w:pPr>
        <w:ind w:right="20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Comparable Government Bond</w:t>
      </w:r>
      <w:r>
        <w:rPr>
          <w:rFonts w:ascii="Times New Roman" w:cs="Times New Roman" w:eastAsia="Times New Roman" w:hAnsi="Times New Roman"/>
          <w:sz w:val="18"/>
          <w:szCs w:val="18"/>
          <w:color w:val="auto"/>
        </w:rPr>
        <w:t>” means, in relation to any Comparable Government Bond Rate calculation, at the discretion of the Independent Investment Bank, a PRC Government Bond whose maturity is closest to the remaining term of the applicable Notes to be redeemed, or if such Independent Investment Bank in its discretion considers that such similar bond is not in issue, such other PRC Government Bond as such Independent Investment Bank may, with the advice of three brokers of, and/or market makers in, any PRC Government Bond selected by such Independent Investment Bank, determine to be appropriate for determining the Comparable Government Bond Rate.</w:t>
      </w:r>
    </w:p>
    <w:p>
      <w:pPr>
        <w:spacing w:after="0" w:line="183"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Comparable Government Bond Rate</w:t>
      </w:r>
      <w:r>
        <w:rPr>
          <w:rFonts w:ascii="Times New Roman" w:cs="Times New Roman" w:eastAsia="Times New Roman" w:hAnsi="Times New Roman"/>
          <w:sz w:val="18"/>
          <w:szCs w:val="18"/>
          <w:color w:val="auto"/>
        </w:rPr>
        <w:t>” means the price, expressed as a percentage (rounded to three decimal places, 0.0005 being rounded upwards), at which the gross redemption yield on the applicable Notes to be redeemed, if they were to be purchased at such price on the fifth Business Day prior to the Redemption Date or the date of accelerated payment, would be equal to the gross redemption yield on such Business Day of the Comparable Government Bond on the basis of the middle market price of the Comparable Government Bond prevailing at 11:00 a.m. (Hong Kong time) on such Business Day as determined by the Independent Investment Bank.</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BNY Mellon Group</w:t>
      </w:r>
      <w:r>
        <w:rPr>
          <w:rFonts w:ascii="Times New Roman" w:cs="Times New Roman" w:eastAsia="Times New Roman" w:hAnsi="Times New Roman"/>
          <w:sz w:val="18"/>
          <w:szCs w:val="18"/>
          <w:color w:val="auto"/>
        </w:rPr>
        <w:t>” has the meaning provided in Section 3.07.</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Twelfth Supplemental Indenture</w:t>
      </w:r>
      <w:r>
        <w:rPr>
          <w:rFonts w:ascii="Times New Roman" w:cs="Times New Roman" w:eastAsia="Times New Roman" w:hAnsi="Times New Roman"/>
          <w:sz w:val="18"/>
          <w:szCs w:val="18"/>
          <w:color w:val="auto"/>
        </w:rPr>
        <w:t>” means this instrument.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Group</w:t>
      </w:r>
      <w:r>
        <w:rPr>
          <w:rFonts w:ascii="Times New Roman" w:cs="Times New Roman" w:eastAsia="Times New Roman" w:hAnsi="Times New Roman"/>
          <w:sz w:val="18"/>
          <w:szCs w:val="18"/>
          <w:color w:val="auto"/>
        </w:rPr>
        <w:t>” means the Company and its Controlled Entities.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294" w:name="page295"/>
    <w:bookmarkEnd w:id="294"/>
    <w:p>
      <w:pPr>
        <w:ind w:right="2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4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Independent Financial Advisor</w:t>
      </w:r>
      <w:r>
        <w:rPr>
          <w:rFonts w:ascii="Times New Roman" w:cs="Times New Roman" w:eastAsia="Times New Roman" w:hAnsi="Times New Roman"/>
          <w:sz w:val="18"/>
          <w:szCs w:val="18"/>
          <w:color w:val="auto"/>
        </w:rPr>
        <w:t>” means an accounting, appraisal, investment banking firm or consultant of nationally recognized standing that is reasonably acceptable to the Trustee.</w:t>
      </w:r>
    </w:p>
    <w:p>
      <w:pPr>
        <w:spacing w:after="0" w:line="162" w:lineRule="exact"/>
        <w:rPr>
          <w:sz w:val="20"/>
          <w:szCs w:val="20"/>
          <w:color w:val="auto"/>
        </w:rPr>
      </w:pPr>
    </w:p>
    <w:p>
      <w:pPr>
        <w:ind w:right="2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Independent Investment Bank</w:t>
      </w:r>
      <w:r>
        <w:rPr>
          <w:rFonts w:ascii="Times New Roman" w:cs="Times New Roman" w:eastAsia="Times New Roman" w:hAnsi="Times New Roman"/>
          <w:sz w:val="18"/>
          <w:szCs w:val="18"/>
          <w:color w:val="auto"/>
        </w:rPr>
        <w:t>” means an investment bank of recognized standing that is a primary dealer in PRC Government Bonds, appointed by us.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Notes</w:t>
      </w:r>
      <w:r>
        <w:rPr>
          <w:rFonts w:ascii="Times New Roman" w:cs="Times New Roman" w:eastAsia="Times New Roman" w:hAnsi="Times New Roman"/>
          <w:sz w:val="18"/>
          <w:szCs w:val="18"/>
          <w:color w:val="auto"/>
        </w:rPr>
        <w:t>” has the meaning provided in Section 2.01(c).</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any mortgage, charge, pledge, lien or other form of encumbrance or security interest.</w:t>
      </w:r>
    </w:p>
    <w:p>
      <w:pPr>
        <w:spacing w:after="0" w:line="225"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Make Whole Amount</w:t>
      </w:r>
      <w:r>
        <w:rPr>
          <w:rFonts w:ascii="Times New Roman" w:cs="Times New Roman" w:eastAsia="Times New Roman" w:hAnsi="Times New Roman"/>
          <w:sz w:val="18"/>
          <w:szCs w:val="18"/>
          <w:color w:val="auto"/>
        </w:rPr>
        <w:t>” means the amount determined on the fifth Business Day before the Redemption Date pursuant to Section 2.03 that is equal to the sum of (i) the present value of the principal amount of the Notes to be redeemed, assuming a scheduled repayment thereof on the date of Stated Maturity, plus (ii) the present value of the remaining scheduled payments of interest to and including the date of Stated Maturity, in each case discounted to the redemption date on an annual basis (Actual/Actual (ICMA)) at the Comparable Government Bond Rate plus five basis points.</w:t>
      </w:r>
    </w:p>
    <w:p>
      <w:pPr>
        <w:spacing w:after="0" w:line="180"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Non-listed Controlled Entities</w:t>
      </w:r>
      <w:r>
        <w:rPr>
          <w:rFonts w:ascii="Times New Roman" w:cs="Times New Roman" w:eastAsia="Times New Roman" w:hAnsi="Times New Roman"/>
          <w:sz w:val="18"/>
          <w:szCs w:val="18"/>
          <w:color w:val="auto"/>
        </w:rPr>
        <w:t>” means the Controlled Entities other than (i) any Controlled Entities with shares of common stock or other common equity interests listed on an internationally recognized stock exchange; and (ii) any Subsidiaries or Consolidated Affiliated Entities of any Controlled Entity referred to in clause (i) of this definition.</w:t>
      </w:r>
    </w:p>
    <w:p>
      <w:pPr>
        <w:spacing w:after="0" w:line="176" w:lineRule="exact"/>
        <w:rPr>
          <w:sz w:val="20"/>
          <w:szCs w:val="20"/>
          <w:color w:val="auto"/>
        </w:rPr>
      </w:pPr>
    </w:p>
    <w:p>
      <w:pPr>
        <w:ind w:right="10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Non-recourse Obligation</w:t>
      </w:r>
      <w:r>
        <w:rPr>
          <w:rFonts w:ascii="Times New Roman" w:cs="Times New Roman" w:eastAsia="Times New Roman" w:hAnsi="Times New Roman"/>
          <w:sz w:val="18"/>
          <w:szCs w:val="18"/>
          <w:color w:val="auto"/>
        </w:rPr>
        <w:t>” means indebtedness or other obligations substantially related to (1) the acquisition of assets not previously owned by the Company or any of its Controlled Entities or (2) the financing of a project involving the purchase, development, improvement or expansion of properties of the Company or any of its Controlled Entities, as to which the obligee with respect to such indebtedness or obligation has no recourse to the Company or any of its Controlled Entities or to the Company’s or any such Controlled Entity’s assets other than the assets which were acquired with the proceeds of such transaction or the project financed with the proceeds of such transaction (and the proceeds thereof).</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has the meaning provided in the recitals hereof and Section 2.01(c).</w:t>
      </w:r>
    </w:p>
    <w:p>
      <w:pPr>
        <w:spacing w:after="0" w:line="225" w:lineRule="exact"/>
        <w:rPr>
          <w:sz w:val="20"/>
          <w:szCs w:val="20"/>
          <w:color w:val="auto"/>
        </w:rPr>
      </w:pPr>
    </w:p>
    <w:p>
      <w:pPr>
        <w:ind w:right="3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Offering Memorandum</w:t>
      </w:r>
      <w:r>
        <w:rPr>
          <w:rFonts w:ascii="Times New Roman" w:cs="Times New Roman" w:eastAsia="Times New Roman" w:hAnsi="Times New Roman"/>
          <w:sz w:val="18"/>
          <w:szCs w:val="18"/>
          <w:color w:val="auto"/>
        </w:rPr>
        <w:t>” means the preliminary offering memorandum, dated September 8, 2025, or the offering memorandum, dated September 8, 2025, relating to the offering of the Notes.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40" w:top="270" w:right="479" w:bottom="1440" w:gutter="0" w:footer="0" w:header="0"/>
        </w:sectPr>
      </w:pPr>
    </w:p>
    <w:bookmarkStart w:id="295" w:name="page296"/>
    <w:bookmarkEnd w:id="295"/>
    <w:p>
      <w:pPr>
        <w:ind w:left="4" w:right="42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4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PRC Business Day</w:t>
      </w:r>
      <w:r>
        <w:rPr>
          <w:rFonts w:ascii="Times New Roman" w:cs="Times New Roman" w:eastAsia="Times New Roman" w:hAnsi="Times New Roman"/>
          <w:sz w:val="18"/>
          <w:szCs w:val="18"/>
          <w:color w:val="auto"/>
        </w:rPr>
        <w:t>” means a day other than a Saturday, Sunday or a day on which banking institutions in the PRC are authorized or obligated by law, regulation or executive order to remain closed.</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PRC Government Bond(s)</w:t>
      </w:r>
      <w:r>
        <w:rPr>
          <w:rFonts w:ascii="Times New Roman" w:cs="Times New Roman" w:eastAsia="Times New Roman" w:hAnsi="Times New Roman"/>
          <w:sz w:val="18"/>
          <w:szCs w:val="18"/>
          <w:color w:val="auto"/>
        </w:rPr>
        <w:t>” means any bond issued by the Central People’s Government of The People’s Republic of China.</w:t>
      </w:r>
    </w:p>
    <w:p>
      <w:pPr>
        <w:spacing w:after="0" w:line="225" w:lineRule="exact"/>
        <w:rPr>
          <w:sz w:val="20"/>
          <w:szCs w:val="20"/>
          <w:color w:val="auto"/>
        </w:rPr>
      </w:pPr>
    </w:p>
    <w:p>
      <w:pPr>
        <w:jc w:val="both"/>
        <w:ind w:left="4" w:right="1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Relevant Indebtedness</w:t>
      </w:r>
      <w:r>
        <w:rPr>
          <w:rFonts w:ascii="Times New Roman" w:cs="Times New Roman" w:eastAsia="Times New Roman" w:hAnsi="Times New Roman"/>
          <w:sz w:val="18"/>
          <w:szCs w:val="18"/>
          <w:color w:val="auto"/>
        </w:rPr>
        <w:t>” means any indebtedness which is in the form of, or represented or evidenced by, bonds, notes, debentures, loan stock or other securities which for the time being are, or are intended to be or are commonly, quoted, listed or dealt in or traded on any stock exchange or over-the-counter or other securities market.</w:t>
      </w:r>
    </w:p>
    <w:p>
      <w:pPr>
        <w:spacing w:after="0" w:line="17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Registrar</w:t>
      </w:r>
      <w:r>
        <w:rPr>
          <w:rFonts w:ascii="Times New Roman" w:cs="Times New Roman" w:eastAsia="Times New Roman" w:hAnsi="Times New Roman"/>
          <w:sz w:val="18"/>
          <w:szCs w:val="18"/>
          <w:color w:val="auto"/>
        </w:rPr>
        <w:t>” means The Bank of New York Mellon, Hong Kong Branch or its successor as registrar under the Indenture.</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means The Bank of New York Mellon, Hong Kong Branch or its successor as transfer agent under the Indenture.</w:t>
      </w:r>
    </w:p>
    <w:p>
      <w:pPr>
        <w:spacing w:after="0" w:line="225" w:lineRule="exact"/>
        <w:rPr>
          <w:sz w:val="20"/>
          <w:szCs w:val="20"/>
          <w:color w:val="auto"/>
        </w:rPr>
      </w:pPr>
    </w:p>
    <w:p>
      <w:pPr>
        <w:ind w:left="4" w:firstLine="991"/>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Triggering Event</w:t>
      </w:r>
      <w:r>
        <w:rPr>
          <w:rFonts w:ascii="Times New Roman" w:cs="Times New Roman" w:eastAsia="Times New Roman" w:hAnsi="Times New Roman"/>
          <w:sz w:val="17"/>
          <w:szCs w:val="17"/>
          <w:color w:val="auto"/>
        </w:rPr>
        <w:t>” means (A) any change in or amendment to the laws, regulations and rules of the PRC or the official interpretation or official application thereof (“</w:t>
      </w:r>
      <w:r>
        <w:rPr>
          <w:rFonts w:ascii="Times New Roman" w:cs="Times New Roman" w:eastAsia="Times New Roman" w:hAnsi="Times New Roman"/>
          <w:sz w:val="17"/>
          <w:szCs w:val="17"/>
          <w:u w:val="single" w:color="auto"/>
          <w:color w:val="auto"/>
        </w:rPr>
        <w:t>Change in Law</w:t>
      </w:r>
      <w:r>
        <w:rPr>
          <w:rFonts w:ascii="Times New Roman" w:cs="Times New Roman" w:eastAsia="Times New Roman" w:hAnsi="Times New Roman"/>
          <w:sz w:val="17"/>
          <w:szCs w:val="17"/>
          <w:color w:val="auto"/>
        </w:rPr>
        <w:t>”) that results in (1) the Group (as in existence immediately subsequent to such Change in Law), as a whole, being legally prohibited from operating substantially all of the business operations conducted by the Group (as in existence immediately prior to such Change in Law) as of the last date of the period described in the consolidated financial statements of the Company for the most recent fiscal quarter and</w:t>
      </w:r>
    </w:p>
    <w:p>
      <w:pPr>
        <w:spacing w:after="0" w:line="3" w:lineRule="exact"/>
        <w:rPr>
          <w:sz w:val="20"/>
          <w:szCs w:val="20"/>
          <w:color w:val="auto"/>
        </w:rPr>
      </w:pPr>
    </w:p>
    <w:p>
      <w:pPr>
        <w:ind w:left="4" w:right="100" w:hanging="4"/>
        <w:spacing w:after="0" w:line="251" w:lineRule="auto"/>
        <w:tabs>
          <w:tab w:leader="none" w:pos="259"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being unable to continue to derive substantially all of the economic benefits from the business operations conducted by the Group (as in existence immediately prior to such Change in Law) in the same manner as reflected in the consolidated financial statements of the Company for the most recent fiscal quarter and (B) the Company has not furnished to the Trustee, prior to the date that is twelve months after the date of the Change in Law, an opinion from an Independent Financial Advisor or an Independent Legal Counsel stating either (1) the Company is able to continue to derive substantially all of the economic benefits from the business operations conducted by the Group (as in existence immediately prior to such Change in Law), taken as a whole, as reflected in the consolidated financial statements of the Company for the most recent fiscal quarter (including after giving effect to any corporate restructuring or reorganization plan of the Company) or (2) such Change in Law would not materially adversely affect the Company’s ability to make principal and interest payments on the Notes when due.</w:t>
      </w:r>
    </w:p>
    <w:p>
      <w:pPr>
        <w:spacing w:after="0" w:line="194"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Triggering Event Offer</w:t>
      </w:r>
      <w:r>
        <w:rPr>
          <w:rFonts w:ascii="Times New Roman" w:cs="Times New Roman" w:eastAsia="Times New Roman" w:hAnsi="Times New Roman"/>
          <w:sz w:val="18"/>
          <w:szCs w:val="18"/>
          <w:color w:val="auto"/>
        </w:rPr>
        <w:t>” has the meaning set forth in Section 2.05(a).</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Triggering Event Payment</w:t>
      </w:r>
      <w:r>
        <w:rPr>
          <w:rFonts w:ascii="Times New Roman" w:cs="Times New Roman" w:eastAsia="Times New Roman" w:hAnsi="Times New Roman"/>
          <w:sz w:val="18"/>
          <w:szCs w:val="18"/>
          <w:color w:val="auto"/>
        </w:rPr>
        <w:t>” has the meaning set forth in Section 2.05(a).</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Triggering Event Payment Date</w:t>
      </w:r>
      <w:r>
        <w:rPr>
          <w:rFonts w:ascii="Times New Roman" w:cs="Times New Roman" w:eastAsia="Times New Roman" w:hAnsi="Times New Roman"/>
          <w:sz w:val="18"/>
          <w:szCs w:val="18"/>
          <w:color w:val="auto"/>
        </w:rPr>
        <w:t>” has the meaning set forth in Section 2.05(a).</w:t>
      </w:r>
    </w:p>
    <w:p>
      <w:pPr>
        <w:spacing w:after="0" w:line="158" w:lineRule="exact"/>
        <w:rPr>
          <w:sz w:val="20"/>
          <w:szCs w:val="20"/>
          <w:color w:val="auto"/>
        </w:rPr>
      </w:pPr>
    </w:p>
    <w:p>
      <w:pPr>
        <w:ind w:left="5464"/>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4"/>
          </w:cols>
          <w:pgMar w:left="436" w:top="270" w:right="479" w:bottom="1440" w:gutter="0" w:footer="0" w:header="0"/>
        </w:sectPr>
      </w:pPr>
    </w:p>
    <w:bookmarkStart w:id="296" w:name="page297"/>
    <w:bookmarkEnd w:id="296"/>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4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1.03 </w:t>
      </w:r>
      <w:r>
        <w:rPr>
          <w:rFonts w:ascii="Times New Roman" w:cs="Times New Roman" w:eastAsia="Times New Roman" w:hAnsi="Times New Roman"/>
          <w:sz w:val="18"/>
          <w:szCs w:val="18"/>
          <w:u w:val="single" w:color="auto"/>
          <w:color w:val="auto"/>
        </w:rPr>
        <w:t>Rules of Construction</w:t>
      </w:r>
      <w:r>
        <w:rPr>
          <w:rFonts w:ascii="Times New Roman" w:cs="Times New Roman" w:eastAsia="Times New Roman" w:hAnsi="Times New Roman"/>
          <w:sz w:val="18"/>
          <w:szCs w:val="18"/>
          <w:color w:val="auto"/>
        </w:rPr>
        <w:t>. For all purposes of this Twelfth Supplemental Indenture, except as otherwise expressly provided or unless the context otherwise requires:</w:t>
      </w:r>
    </w:p>
    <w:p>
      <w:pPr>
        <w:spacing w:after="0" w:line="162" w:lineRule="exact"/>
        <w:rPr>
          <w:sz w:val="20"/>
          <w:szCs w:val="20"/>
          <w:color w:val="auto"/>
        </w:rPr>
      </w:pPr>
    </w:p>
    <w:p>
      <w:pPr>
        <w:ind w:right="380" w:firstLine="987"/>
        <w:spacing w:after="0" w:line="282" w:lineRule="auto"/>
        <w:tabs>
          <w:tab w:leader="none" w:pos="1236"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w:t>
      </w:r>
      <w:r>
        <w:rPr>
          <w:rFonts w:ascii="Times New Roman" w:cs="Times New Roman" w:eastAsia="Times New Roman" w:hAnsi="Times New Roman"/>
          <w:sz w:val="18"/>
          <w:szCs w:val="18"/>
          <w:u w:val="single" w:color="auto"/>
          <w:color w:val="auto"/>
        </w:rPr>
        <w:t>herein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hereof</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hereunder</w:t>
      </w:r>
      <w:r>
        <w:rPr>
          <w:rFonts w:ascii="Times New Roman" w:cs="Times New Roman" w:eastAsia="Times New Roman" w:hAnsi="Times New Roman"/>
          <w:sz w:val="18"/>
          <w:szCs w:val="18"/>
          <w:color w:val="auto"/>
        </w:rPr>
        <w:t>” and other words of similar import refer to this Twelfth Supplemental Indenture as a whole and not to any particular Article, Section or other subdivision.</w:t>
      </w:r>
    </w:p>
    <w:p>
      <w:pPr>
        <w:spacing w:after="0" w:line="161" w:lineRule="exact"/>
        <w:rPr>
          <w:rFonts w:ascii="Times New Roman" w:cs="Times New Roman" w:eastAsia="Times New Roman" w:hAnsi="Times New Roman"/>
          <w:sz w:val="18"/>
          <w:szCs w:val="18"/>
          <w:color w:val="auto"/>
        </w:rPr>
      </w:pPr>
    </w:p>
    <w:p>
      <w:pPr>
        <w:ind w:right="540" w:firstLine="987"/>
        <w:spacing w:after="0" w:line="282" w:lineRule="auto"/>
        <w:tabs>
          <w:tab w:leader="none" w:pos="1246"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or other subdivision herein are references to an Article, Section or other subdivision of this Twelfth Supplemental Indenture, unless the context otherwise requires.</w:t>
      </w:r>
    </w:p>
    <w:p>
      <w:pPr>
        <w:spacing w:after="0" w:line="161" w:lineRule="exact"/>
        <w:rPr>
          <w:rFonts w:ascii="Times New Roman" w:cs="Times New Roman" w:eastAsia="Times New Roman" w:hAnsi="Times New Roman"/>
          <w:sz w:val="18"/>
          <w:szCs w:val="18"/>
          <w:color w:val="auto"/>
        </w:rPr>
      </w:pPr>
    </w:p>
    <w:p>
      <w:pPr>
        <w:ind w:right="100" w:firstLine="987"/>
        <w:spacing w:after="0" w:line="261" w:lineRule="auto"/>
        <w:tabs>
          <w:tab w:leader="none" w:pos="1236"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any agreement, instrument, statute or regulation defined or referred to herein or in any instrument establishing the terms of the Notes (or executed in connection therewith) are references to such agreement, instrument, statute or regulation as from time to time amended, modified, supplemented or replaced, including (in the case of agreements or instruments) by waiver or consent and by succession of comparable successor agreements, instruments, statutes or regulations.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THE NOTES</w:t>
      </w:r>
    </w:p>
    <w:p>
      <w:pPr>
        <w:spacing w:after="0" w:line="229"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u w:val="single" w:color="auto"/>
          <w:color w:val="auto"/>
        </w:rPr>
        <w:t>Terms of the Notes</w:t>
      </w:r>
      <w:r>
        <w:rPr>
          <w:rFonts w:ascii="Times New Roman" w:cs="Times New Roman" w:eastAsia="Times New Roman" w:hAnsi="Times New Roman"/>
          <w:sz w:val="18"/>
          <w:szCs w:val="18"/>
          <w:color w:val="auto"/>
        </w:rPr>
        <w:t>. The Notes are hereby created and designated as a separate series of Securities under the Base Indenture. The following terms relate to the Notes:</w:t>
      </w:r>
    </w:p>
    <w:p>
      <w:pPr>
        <w:spacing w:after="0" w:line="162" w:lineRule="exact"/>
        <w:rPr>
          <w:sz w:val="20"/>
          <w:szCs w:val="20"/>
          <w:color w:val="auto"/>
        </w:rPr>
      </w:pPr>
    </w:p>
    <w:p>
      <w:pPr>
        <w:ind w:left="1240" w:hanging="253"/>
        <w:spacing w:after="0"/>
        <w:tabs>
          <w:tab w:leader="none" w:pos="124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shall constitute a separate series of Securities under the Base Indenture having the title “1.90% Notes due 2029.”</w:t>
      </w:r>
    </w:p>
    <w:p>
      <w:pPr>
        <w:spacing w:after="0" w:line="225" w:lineRule="exact"/>
        <w:rPr>
          <w:rFonts w:ascii="Times New Roman" w:cs="Times New Roman" w:eastAsia="Times New Roman" w:hAnsi="Times New Roman"/>
          <w:sz w:val="18"/>
          <w:szCs w:val="18"/>
          <w:color w:val="auto"/>
        </w:rPr>
      </w:pPr>
    </w:p>
    <w:p>
      <w:pPr>
        <w:ind w:firstLine="987"/>
        <w:spacing w:after="0" w:line="282" w:lineRule="auto"/>
        <w:tabs>
          <w:tab w:leader="none" w:pos="1246"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shall be issued at a price of 100.00% of the principal amount thereof, other than any offering discounts pursuant to the initial offering and resale of the Notes.</w:t>
      </w:r>
    </w:p>
    <w:p>
      <w:pPr>
        <w:spacing w:after="0" w:line="161" w:lineRule="exact"/>
        <w:rPr>
          <w:rFonts w:ascii="Times New Roman" w:cs="Times New Roman" w:eastAsia="Times New Roman" w:hAnsi="Times New Roman"/>
          <w:sz w:val="18"/>
          <w:szCs w:val="18"/>
          <w:color w:val="auto"/>
        </w:rPr>
      </w:pPr>
    </w:p>
    <w:p>
      <w:pPr>
        <w:ind w:right="100" w:firstLine="987"/>
        <w:spacing w:after="0" w:line="273" w:lineRule="auto"/>
        <w:tabs>
          <w:tab w:leader="none" w:pos="1236" w:val="left"/>
        </w:tabs>
        <w:numPr>
          <w:ilvl w:val="0"/>
          <w:numId w:val="1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aggregate principal amount of the Notes (the “</w:t>
      </w:r>
      <w:r>
        <w:rPr>
          <w:rFonts w:ascii="Times New Roman" w:cs="Times New Roman" w:eastAsia="Times New Roman" w:hAnsi="Times New Roman"/>
          <w:sz w:val="17"/>
          <w:szCs w:val="17"/>
          <w:u w:val="single" w:color="auto"/>
          <w:color w:val="auto"/>
        </w:rPr>
        <w:t>Initial Notes</w:t>
      </w:r>
      <w:r>
        <w:rPr>
          <w:rFonts w:ascii="Times New Roman" w:cs="Times New Roman" w:eastAsia="Times New Roman" w:hAnsi="Times New Roman"/>
          <w:sz w:val="17"/>
          <w:szCs w:val="17"/>
          <w:color w:val="auto"/>
        </w:rPr>
        <w:t>”) that may be initially authenticated and delivered under the Indenture shall be CNY4,400,000,000. The Company may from time to time, without the consent of the Holders of the Notes, issue additional Notes (in any such case “</w:t>
      </w:r>
      <w:r>
        <w:rPr>
          <w:rFonts w:ascii="Times New Roman" w:cs="Times New Roman" w:eastAsia="Times New Roman" w:hAnsi="Times New Roman"/>
          <w:sz w:val="17"/>
          <w:szCs w:val="17"/>
          <w:u w:val="single" w:color="auto"/>
          <w:color w:val="auto"/>
        </w:rPr>
        <w:t>Additional Notes</w:t>
      </w:r>
      <w:r>
        <w:rPr>
          <w:rFonts w:ascii="Times New Roman" w:cs="Times New Roman" w:eastAsia="Times New Roman" w:hAnsi="Times New Roman"/>
          <w:sz w:val="17"/>
          <w:szCs w:val="17"/>
          <w:color w:val="auto"/>
        </w:rPr>
        <w:t xml:space="preserve">”) having the same terms and conditions as the Initial Notes in all respects (or in all respects except for the Issue Date, the issue price or the first Interest Payment Date). Any Additional Notes and the Initial Notes shall constitute a single series under the Indenture,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such Additional Notes are not fungible with the Initial Notes for U.S. federal income tax purposes, such Additional Notes shall not have the same ISIN, CMU Instrument Number or other identifying number as the Initial Notes. All references to the “</w:t>
      </w:r>
      <w:r>
        <w:rPr>
          <w:rFonts w:ascii="Times New Roman" w:cs="Times New Roman" w:eastAsia="Times New Roman" w:hAnsi="Times New Roman"/>
          <w:sz w:val="17"/>
          <w:szCs w:val="17"/>
          <w:u w:val="single" w:color="auto"/>
          <w:color w:val="auto"/>
        </w:rPr>
        <w:t>Notes</w:t>
      </w:r>
      <w:r>
        <w:rPr>
          <w:rFonts w:ascii="Times New Roman" w:cs="Times New Roman" w:eastAsia="Times New Roman" w:hAnsi="Times New Roman"/>
          <w:sz w:val="17"/>
          <w:szCs w:val="17"/>
          <w:color w:val="auto"/>
        </w:rPr>
        <w:t>” shall include the Initial Notes and any Additional Notes unless the context otherwise requires. The aggregate principal amount of each of the Additional Notes shall be unlimited.</w:t>
      </w:r>
    </w:p>
    <w:p>
      <w:pPr>
        <w:spacing w:after="0" w:line="171" w:lineRule="exact"/>
        <w:rPr>
          <w:rFonts w:ascii="Times New Roman" w:cs="Times New Roman" w:eastAsia="Times New Roman" w:hAnsi="Times New Roman"/>
          <w:sz w:val="17"/>
          <w:szCs w:val="17"/>
          <w:color w:val="auto"/>
        </w:rPr>
      </w:pPr>
    </w:p>
    <w:p>
      <w:pPr>
        <w:ind w:left="1240" w:hanging="253"/>
        <w:spacing w:after="0"/>
        <w:tabs>
          <w:tab w:leader="none" w:pos="124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entire outstanding principal of the Notes shall be payable on September 15, 2029.</w:t>
      </w:r>
    </w:p>
    <w:p>
      <w:pPr>
        <w:spacing w:after="0" w:line="225" w:lineRule="exact"/>
        <w:rPr>
          <w:rFonts w:ascii="Times New Roman" w:cs="Times New Roman" w:eastAsia="Times New Roman" w:hAnsi="Times New Roman"/>
          <w:sz w:val="18"/>
          <w:szCs w:val="18"/>
          <w:color w:val="auto"/>
        </w:rPr>
      </w:pPr>
    </w:p>
    <w:p>
      <w:pPr>
        <w:ind w:right="80" w:firstLine="987"/>
        <w:spacing w:after="0" w:line="258" w:lineRule="auto"/>
        <w:tabs>
          <w:tab w:leader="none" w:pos="1236"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at which the Notes shall bear interest shall be 1.90% per year. The date from which interest shall accrue on the Notes shall be September 15, 2025, or the most recent Interest Payment Date to which interest has been paid or provided for. The Interest Payment Dates for the Notes shall be March 15 and September 15 of each year, beginning March 15, 2026. Interest shall be payable on each Interest Payment Date to the Holders of record at the close of business on the Clearing System Business Day immediately prior to each Interest Payment Date. The basis upon which interest shall be calculated shall be that of a 365-day year and the actual number of days elapsed.</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297" w:name="page298"/>
    <w:bookmarkEnd w:id="297"/>
    <w:p>
      <w:pPr>
        <w:ind w:right="20" w:firstLine="987"/>
        <w:spacing w:after="0" w:line="258" w:lineRule="auto"/>
        <w:tabs>
          <w:tab w:leader="none" w:pos="1216"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4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Notes shall be issuable in whole in the form of one or more registered Global Securities. The Global Securities will be registered in the name of, and lodged with a sub-custodian for, the Hong Kong Monetary Authority as operator (the “</w:t>
      </w:r>
      <w:r>
        <w:rPr>
          <w:rFonts w:ascii="Times New Roman" w:cs="Times New Roman" w:eastAsia="Times New Roman" w:hAnsi="Times New Roman"/>
          <w:sz w:val="18"/>
          <w:szCs w:val="18"/>
          <w:u w:val="single" w:color="auto"/>
          <w:color w:val="auto"/>
        </w:rPr>
        <w:t>CMU Operator</w:t>
      </w:r>
      <w:r>
        <w:rPr>
          <w:rFonts w:ascii="Times New Roman" w:cs="Times New Roman" w:eastAsia="Times New Roman" w:hAnsi="Times New Roman"/>
          <w:sz w:val="18"/>
          <w:szCs w:val="18"/>
          <w:color w:val="auto"/>
        </w:rPr>
        <w:t>”) of the Central Moneymarkets Unit Service (the “</w:t>
      </w:r>
      <w:r>
        <w:rPr>
          <w:rFonts w:ascii="Times New Roman" w:cs="Times New Roman" w:eastAsia="Times New Roman" w:hAnsi="Times New Roman"/>
          <w:sz w:val="18"/>
          <w:szCs w:val="18"/>
          <w:u w:val="single" w:color="auto"/>
          <w:color w:val="auto"/>
        </w:rPr>
        <w:t>CMU</w:t>
      </w:r>
      <w:r>
        <w:rPr>
          <w:rFonts w:ascii="Times New Roman" w:cs="Times New Roman" w:eastAsia="Times New Roman" w:hAnsi="Times New Roman"/>
          <w:sz w:val="18"/>
          <w:szCs w:val="18"/>
          <w:color w:val="auto"/>
        </w:rPr>
        <w:t>”). The Notes shall be substantially in the form attached hereto as Exhibit A, the terms of which are herein incorporated by reference. The Notes shall be denominated in Renminbi and shall be issuable in minimum denominations of CNY1,000,000 or any integral multiples of CNY10,000 in excess thereof.</w:t>
      </w:r>
    </w:p>
    <w:p>
      <w:pPr>
        <w:spacing w:after="0" w:line="183" w:lineRule="exact"/>
        <w:rPr>
          <w:rFonts w:ascii="Times New Roman" w:cs="Times New Roman" w:eastAsia="Times New Roman" w:hAnsi="Times New Roman"/>
          <w:sz w:val="18"/>
          <w:szCs w:val="18"/>
          <w:color w:val="auto"/>
        </w:rPr>
      </w:pPr>
    </w:p>
    <w:p>
      <w:pPr>
        <w:ind w:firstLine="987"/>
        <w:spacing w:after="0" w:line="282" w:lineRule="auto"/>
        <w:tabs>
          <w:tab w:leader="none" w:pos="1246"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may be redeemed at the option of the Company prior to the date of Stated Maturity for payment of principal on the Notes, as provided in Section 2.03.</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will not have the benefit of any sinking fund.</w:t>
      </w:r>
    </w:p>
    <w:p>
      <w:pPr>
        <w:spacing w:after="0" w:line="225" w:lineRule="exact"/>
        <w:rPr>
          <w:rFonts w:ascii="Times New Roman" w:cs="Times New Roman" w:eastAsia="Times New Roman" w:hAnsi="Times New Roman"/>
          <w:sz w:val="18"/>
          <w:szCs w:val="18"/>
          <w:color w:val="auto"/>
        </w:rPr>
      </w:pPr>
    </w:p>
    <w:p>
      <w:pPr>
        <w:ind w:right="380" w:firstLine="987"/>
        <w:spacing w:after="0" w:line="282" w:lineRule="auto"/>
        <w:tabs>
          <w:tab w:leader="none" w:pos="1206"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herein, the Holders of the Notes shall have no special rights in addition to those provided in the Base Indenture upon the occurrence of any particular events.</w:t>
      </w:r>
    </w:p>
    <w:p>
      <w:pPr>
        <w:spacing w:after="0" w:line="161" w:lineRule="exact"/>
        <w:rPr>
          <w:rFonts w:ascii="Times New Roman" w:cs="Times New Roman" w:eastAsia="Times New Roman" w:hAnsi="Times New Roman"/>
          <w:sz w:val="18"/>
          <w:szCs w:val="18"/>
          <w:color w:val="auto"/>
        </w:rPr>
      </w:pPr>
    </w:p>
    <w:p>
      <w:pPr>
        <w:ind w:right="60" w:firstLine="987"/>
        <w:spacing w:after="0" w:line="282" w:lineRule="auto"/>
        <w:tabs>
          <w:tab w:leader="none" w:pos="1206"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will be senior unsecured obligations of the Company and will rank at least equal in right of payment to all of the Company’s other existing and future unsecured and unsubordinated obligations (subject to any priority rights pursuant to applicable law).</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restrictive covenants set forth in Sections 2.04, 2.05 and 2.06 shall be applicable to the Notes.</w:t>
      </w:r>
    </w:p>
    <w:p>
      <w:pPr>
        <w:spacing w:after="0" w:line="225" w:lineRule="exact"/>
        <w:rPr>
          <w:rFonts w:ascii="Times New Roman" w:cs="Times New Roman" w:eastAsia="Times New Roman" w:hAnsi="Times New Roman"/>
          <w:sz w:val="18"/>
          <w:szCs w:val="18"/>
          <w:color w:val="auto"/>
        </w:rPr>
      </w:pPr>
    </w:p>
    <w:p>
      <w:pPr>
        <w:ind w:right="260" w:firstLine="987"/>
        <w:spacing w:after="0" w:line="266" w:lineRule="auto"/>
        <w:tabs>
          <w:tab w:leader="none" w:pos="1206"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 Securities may not be exchanged for beneficial interests in Global Securities unless the transferor first delivers to the Transfer Agent a written certificate (in the form of Exhibit B attached hereto) to the effect that such transfer will comply with the appropriate transfer restrictions applicable to the Securities.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Section 2.02 [Reserved]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u w:val="single" w:color="auto"/>
          <w:color w:val="auto"/>
        </w:rPr>
        <w:t>Optional Redemption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The provisions of Article IV of the Base Indenture, as amended by the provisions of this Twelfth Supplemental Indenture, shall apply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Notes.</w:t>
      </w:r>
    </w:p>
    <w:p>
      <w:pPr>
        <w:spacing w:after="0" w:line="207" w:lineRule="exact"/>
        <w:rPr>
          <w:sz w:val="20"/>
          <w:szCs w:val="20"/>
          <w:color w:val="auto"/>
        </w:rPr>
      </w:pPr>
    </w:p>
    <w:p>
      <w:pPr>
        <w:ind w:right="40" w:firstLine="987"/>
        <w:spacing w:after="0" w:line="256" w:lineRule="auto"/>
        <w:tabs>
          <w:tab w:leader="none" w:pos="1246"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may, upon giving not less than 30 nor more than 60 days’ notice to (i) the Trustee and the Agents and (ii) Holders of the Notes (which notice shall be irrevocable), redeem the Notes at any time prior to February 15, 2029, in whole or in part, at a redemption amount equal to the greater of (x) 100% of the principal amount of such Notes to be redeemed and (y) the Make Whole Amount, plus accrued and unpaid interest, if any, to, but not including, the Redemption Date (subject to the right of Holders of record on the relevant Record Date to receive interest due on the relevant Interest Payment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principal amount of a Note remaining outstanding after redemption in part shall be CNY1,000,000 or an integral multiple of CNY10,000 in excess thereof.</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298" w:name="page299"/>
    <w:bookmarkEnd w:id="298"/>
    <w:p>
      <w:pPr>
        <w:ind w:left="1244" w:hanging="253"/>
        <w:spacing w:after="0"/>
        <w:tabs>
          <w:tab w:leader="none" w:pos="1244"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4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addition, the Company may, upon giving not less than 30 nor more than 60 days’ notice to (i) the Trustee and the Agents and</w:t>
      </w:r>
    </w:p>
    <w:p>
      <w:pPr>
        <w:spacing w:after="0" w:line="27" w:lineRule="exact"/>
        <w:rPr>
          <w:rFonts w:ascii="Times New Roman" w:cs="Times New Roman" w:eastAsia="Times New Roman" w:hAnsi="Times New Roman"/>
          <w:sz w:val="18"/>
          <w:szCs w:val="18"/>
          <w:color w:val="auto"/>
        </w:rPr>
      </w:pPr>
    </w:p>
    <w:p>
      <w:pPr>
        <w:ind w:left="4" w:right="420" w:hanging="4"/>
        <w:spacing w:after="0" w:line="260" w:lineRule="auto"/>
        <w:tabs>
          <w:tab w:leader="none" w:pos="269"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the Notes (which notice shall be irrevocable), redeem the Notes at any time from or after February 15, 2029, in whole or in part, at a redemption amount equal to 100% of the principal amount of the applicable Notes to be redeemed.</w:t>
      </w:r>
    </w:p>
    <w:p>
      <w:pPr>
        <w:spacing w:after="0" w:line="181" w:lineRule="exact"/>
        <w:rPr>
          <w:rFonts w:ascii="Times New Roman" w:cs="Times New Roman" w:eastAsia="Times New Roman" w:hAnsi="Times New Roman"/>
          <w:sz w:val="18"/>
          <w:szCs w:val="18"/>
          <w:color w:val="auto"/>
        </w:rPr>
      </w:pPr>
    </w:p>
    <w:p>
      <w:pPr>
        <w:ind w:left="4" w:right="120" w:firstLine="987"/>
        <w:spacing w:after="0" w:line="266" w:lineRule="auto"/>
        <w:tabs>
          <w:tab w:leader="none" w:pos="1250"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Redemption Date pursuant to this Section 2.03 is on or after the relevant Record Date and on or before the related Interest Payment Date, any accrued and unpaid interest to the Redemption Date pursuant to this Section 2.03 shall be paid on such Interest Payment Date to the Person in whose name a Note is registered at the close of business on such Record Date.</w:t>
      </w:r>
    </w:p>
    <w:p>
      <w:pPr>
        <w:spacing w:after="0" w:line="175" w:lineRule="exact"/>
        <w:rPr>
          <w:rFonts w:ascii="Times New Roman" w:cs="Times New Roman" w:eastAsia="Times New Roman" w:hAnsi="Times New Roman"/>
          <w:sz w:val="18"/>
          <w:szCs w:val="18"/>
          <w:color w:val="auto"/>
        </w:rPr>
      </w:pPr>
    </w:p>
    <w:p>
      <w:pPr>
        <w:jc w:val="both"/>
        <w:ind w:left="4" w:right="260" w:firstLine="987"/>
        <w:spacing w:after="0" w:line="261" w:lineRule="auto"/>
        <w:tabs>
          <w:tab w:leader="none" w:pos="1240"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any of its Controlled Entities may, in accordance with all applicable laws and regulations, at any time purchase the Notes in the open market or otherwise at any price, so long as such purchase does not otherwise violate the terms of the Indenture. The Notes that the Company or its Affiliates purchase may, in the discretion of the Company, be held, resold or canceled, but will only be resold in compliance with applicable requirements or exemptions under the relevant securities laws.</w:t>
      </w:r>
    </w:p>
    <w:p>
      <w:pPr>
        <w:spacing w:after="0" w:line="179" w:lineRule="exact"/>
        <w:rPr>
          <w:rFonts w:ascii="Times New Roman" w:cs="Times New Roman" w:eastAsia="Times New Roman" w:hAnsi="Times New Roman"/>
          <w:sz w:val="18"/>
          <w:szCs w:val="18"/>
          <w:color w:val="auto"/>
        </w:rPr>
      </w:pPr>
    </w:p>
    <w:p>
      <w:pPr>
        <w:ind w:left="4" w:right="40" w:firstLine="987"/>
        <w:spacing w:after="0" w:line="258" w:lineRule="auto"/>
        <w:tabs>
          <w:tab w:leader="none" w:pos="1220"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and the Agents shall not be responsible for determining or verifying whether a Note is to be accepted for redemption and will not be responsible to the Holders for any loss arising from any failure by it to do so. The Trustee and Agents shall not be under any duty to determine, calculate or verify the redemption amount payable (including any make-whole amount) hereunder and will not be responsible to the Holders for any loss arising from any failure by it to do so. The Trustee will not be responsible for monitoring or informing Holders of any public announcement by any rating agencies.</w:t>
      </w:r>
    </w:p>
    <w:p>
      <w:pPr>
        <w:spacing w:after="0" w:line="183" w:lineRule="exact"/>
        <w:rPr>
          <w:sz w:val="20"/>
          <w:szCs w:val="20"/>
          <w:color w:val="auto"/>
        </w:rPr>
      </w:pPr>
    </w:p>
    <w:p>
      <w:pPr>
        <w:ind w:left="4" w:right="4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2.04 </w:t>
      </w:r>
      <w:r>
        <w:rPr>
          <w:rFonts w:ascii="Times New Roman" w:cs="Times New Roman" w:eastAsia="Times New Roman" w:hAnsi="Times New Roman"/>
          <w:sz w:val="18"/>
          <w:szCs w:val="18"/>
          <w:u w:val="single" w:color="auto"/>
          <w:color w:val="auto"/>
        </w:rPr>
        <w:t>Limitation on Liens</w:t>
      </w:r>
      <w:r>
        <w:rPr>
          <w:rFonts w:ascii="Times New Roman" w:cs="Times New Roman" w:eastAsia="Times New Roman" w:hAnsi="Times New Roman"/>
          <w:sz w:val="18"/>
          <w:szCs w:val="18"/>
          <w:color w:val="auto"/>
        </w:rPr>
        <w:t>. The following additional covenant shall apply with respect to the Notes so long as any of the Notes remain outstanding:</w:t>
      </w:r>
    </w:p>
    <w:p>
      <w:pPr>
        <w:spacing w:after="0" w:line="162" w:lineRule="exact"/>
        <w:rPr>
          <w:sz w:val="20"/>
          <w:szCs w:val="20"/>
          <w:color w:val="auto"/>
        </w:rPr>
      </w:pPr>
    </w:p>
    <w:p>
      <w:pPr>
        <w:ind w:left="4" w:firstLine="987"/>
        <w:spacing w:after="0" w:line="274" w:lineRule="auto"/>
        <w:tabs>
          <w:tab w:leader="none" w:pos="1240" w:val="left"/>
        </w:tabs>
        <w:numPr>
          <w:ilvl w:val="0"/>
          <w:numId w:val="1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exceptions set forth in Section 2.04(b) below, the Company will not create or have outstanding, and the Company will ensure that none of its Principal Controlled Entities will create or have outstanding, any Lien upon the whole or any part of their respective present or future undertaking, assets or revenues (including any uncalled capital) securing any Relevant Indebtedness, or create or have outstanding any guarantee or indemnity in respect of any Relevant Indebtedness either of the Company or of any of its Principal Controlled Entities, without (x) at the same time or prior thereto securing or guaranteeing the Notes equally and ratably therewith or (y) providing such other security or guarantee for the Notes as shall be approved by an act of the Holders of such series of Notes holding at least a majority of the principal amount of such series of Notes then Outstanding.</w:t>
      </w:r>
    </w:p>
    <w:p>
      <w:pPr>
        <w:spacing w:after="0" w:line="10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4"/>
          </w:cols>
          <w:pgMar w:left="436" w:top="270" w:right="459" w:bottom="1440" w:gutter="0" w:footer="0" w:header="0"/>
        </w:sectPr>
      </w:pPr>
    </w:p>
    <w:bookmarkStart w:id="299" w:name="page300"/>
    <w:bookmarkEnd w:id="299"/>
    <w:p>
      <w:pPr>
        <w:ind w:left="800" w:hanging="253"/>
        <w:spacing w:after="0"/>
        <w:tabs>
          <w:tab w:leader="none" w:pos="80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4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restriction set forth in Section 2.04(a) above will not apply to:</w:t>
      </w:r>
    </w:p>
    <w:p>
      <w:pPr>
        <w:spacing w:after="0" w:line="117" w:lineRule="exact"/>
        <w:rPr>
          <w:rFonts w:ascii="Times New Roman" w:cs="Times New Roman" w:eastAsia="Times New Roman" w:hAnsi="Times New Roman"/>
          <w:sz w:val="18"/>
          <w:szCs w:val="18"/>
          <w:color w:val="auto"/>
        </w:rPr>
      </w:pPr>
    </w:p>
    <w:p>
      <w:pPr>
        <w:ind w:right="260" w:firstLine="1160"/>
        <w:spacing w:after="0" w:line="282" w:lineRule="auto"/>
        <w:tabs>
          <w:tab w:leader="none" w:pos="1378"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arising or already arisen automatically by operation of law which is timely discharged or disputed in good faith by appropriate proceedings;</w:t>
      </w:r>
    </w:p>
    <w:p>
      <w:pPr>
        <w:spacing w:after="0" w:line="53" w:lineRule="exact"/>
        <w:rPr>
          <w:rFonts w:ascii="Times New Roman" w:cs="Times New Roman" w:eastAsia="Times New Roman" w:hAnsi="Times New Roman"/>
          <w:sz w:val="18"/>
          <w:szCs w:val="18"/>
          <w:color w:val="auto"/>
        </w:rPr>
      </w:pPr>
    </w:p>
    <w:p>
      <w:pPr>
        <w:ind w:firstLine="1160"/>
        <w:spacing w:after="0" w:line="281" w:lineRule="auto"/>
        <w:tabs>
          <w:tab w:leader="none" w:pos="1428" w:val="left"/>
        </w:tabs>
        <w:numPr>
          <w:ilvl w:val="1"/>
          <w:numId w:val="1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Lien in respect of the obligations of any Person which becomes a Principal Controlled Entity or which merges with or into the Company or a Principal Controlled Entity after the date hereof which is in existence at the date on which it becomes a Principal Controlled Entity or merges with or into the Company or a Principal Controlled Entity;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any such Lien was not incurred in anticipation of such acquisition or of such Person becoming a Principal Controlled Entity or being merged with or into the Company or a Principal Controlled Entity;</w:t>
      </w:r>
    </w:p>
    <w:p>
      <w:pPr>
        <w:spacing w:after="0" w:line="56" w:lineRule="exact"/>
        <w:rPr>
          <w:rFonts w:ascii="Times New Roman" w:cs="Times New Roman" w:eastAsia="Times New Roman" w:hAnsi="Times New Roman"/>
          <w:sz w:val="17"/>
          <w:szCs w:val="17"/>
          <w:color w:val="auto"/>
        </w:rPr>
      </w:pPr>
    </w:p>
    <w:p>
      <w:pPr>
        <w:ind w:left="1480" w:hanging="320"/>
        <w:spacing w:after="0"/>
        <w:tabs>
          <w:tab w:leader="none" w:pos="1480"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created or outstanding in favor of the Company;</w:t>
      </w:r>
    </w:p>
    <w:p>
      <w:pPr>
        <w:spacing w:after="0" w:line="117" w:lineRule="exact"/>
        <w:rPr>
          <w:rFonts w:ascii="Times New Roman" w:cs="Times New Roman" w:eastAsia="Times New Roman" w:hAnsi="Times New Roman"/>
          <w:sz w:val="18"/>
          <w:szCs w:val="18"/>
          <w:color w:val="auto"/>
        </w:rPr>
      </w:pPr>
    </w:p>
    <w:p>
      <w:pPr>
        <w:ind w:right="120" w:firstLine="1160"/>
        <w:spacing w:after="0" w:line="261" w:lineRule="auto"/>
        <w:tabs>
          <w:tab w:leader="none" w:pos="1468"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in respect of Relevant Indebtedness of the Company or any Principal Controlled Entity with respect to which the Company or such Principal Controlled Entity has paid money or deposited money or securities with a fiscal agent, trustee or depositary to pay or discharge in full the obligations of the Company or such Principal Controlled Entity in respect thereof (other than the obligation that such money or securities so paid or deposited, and the proceeds therefrom, be sufficient to pay or discharge such obligations in full);</w:t>
      </w:r>
    </w:p>
    <w:p>
      <w:pPr>
        <w:spacing w:after="0" w:line="71" w:lineRule="exact"/>
        <w:rPr>
          <w:rFonts w:ascii="Times New Roman" w:cs="Times New Roman" w:eastAsia="Times New Roman" w:hAnsi="Times New Roman"/>
          <w:sz w:val="18"/>
          <w:szCs w:val="18"/>
          <w:color w:val="auto"/>
        </w:rPr>
      </w:pPr>
    </w:p>
    <w:p>
      <w:pPr>
        <w:ind w:right="20" w:firstLine="1160"/>
        <w:spacing w:after="0" w:line="282" w:lineRule="auto"/>
        <w:tabs>
          <w:tab w:leader="none" w:pos="1418"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created in connection with Relevant Indebtedness of the Company or any Principal Controlled Entity denominated in Chinese Renminbi and initially offered, marketed or issued primarily to Persons resident in the PRC;</w:t>
      </w:r>
    </w:p>
    <w:p>
      <w:pPr>
        <w:spacing w:after="0" w:line="53" w:lineRule="exact"/>
        <w:rPr>
          <w:rFonts w:ascii="Times New Roman" w:cs="Times New Roman" w:eastAsia="Times New Roman" w:hAnsi="Times New Roman"/>
          <w:sz w:val="18"/>
          <w:szCs w:val="18"/>
          <w:color w:val="auto"/>
        </w:rPr>
      </w:pPr>
    </w:p>
    <w:p>
      <w:pPr>
        <w:ind w:left="1460" w:hanging="300"/>
        <w:spacing w:after="0"/>
        <w:tabs>
          <w:tab w:leader="none" w:pos="1460"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created in connection with a project financed with, or created to secure, Non-recourse Obligations; or</w:t>
      </w:r>
    </w:p>
    <w:p>
      <w:pPr>
        <w:spacing w:after="0" w:line="117" w:lineRule="exact"/>
        <w:rPr>
          <w:rFonts w:ascii="Times New Roman" w:cs="Times New Roman" w:eastAsia="Times New Roman" w:hAnsi="Times New Roman"/>
          <w:sz w:val="18"/>
          <w:szCs w:val="18"/>
          <w:color w:val="auto"/>
        </w:rPr>
      </w:pPr>
    </w:p>
    <w:p>
      <w:pPr>
        <w:jc w:val="both"/>
        <w:ind w:right="180" w:firstLine="1160"/>
        <w:spacing w:after="0" w:line="261" w:lineRule="auto"/>
        <w:tabs>
          <w:tab w:leader="none" w:pos="1518"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Lien arising out of the refinancing, extension, renewal or refunding of any Relevant Indebtedness secured by any Lien permitted by the foregoing clause (ii), (v), (vi) or (vii) of this Section 2.04(b);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Relevant Indebtedness is not increased beyond the principal amount thereof (together with the costs of such refinancing, extension, renewal or refunding) and is not secured by any additional property or assets.</w:t>
      </w:r>
    </w:p>
    <w:p>
      <w:pPr>
        <w:spacing w:after="0" w:line="112"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540"/>
          </w:cols>
          <w:pgMar w:left="880" w:top="270" w:right="479" w:bottom="1440" w:gutter="0" w:footer="0" w:header="0"/>
        </w:sectPr>
      </w:pPr>
    </w:p>
    <w:bookmarkStart w:id="300" w:name="page301"/>
    <w:bookmarkEnd w:id="300"/>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4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2.05 </w:t>
      </w:r>
      <w:r>
        <w:rPr>
          <w:rFonts w:ascii="Times New Roman" w:cs="Times New Roman" w:eastAsia="Times New Roman" w:hAnsi="Times New Roman"/>
          <w:sz w:val="18"/>
          <w:szCs w:val="18"/>
          <w:u w:val="single" w:color="auto"/>
          <w:color w:val="auto"/>
        </w:rPr>
        <w:t>Repurchase Upon Triggering Event</w:t>
      </w:r>
      <w:r>
        <w:rPr>
          <w:rFonts w:ascii="Times New Roman" w:cs="Times New Roman" w:eastAsia="Times New Roman" w:hAnsi="Times New Roman"/>
          <w:sz w:val="18"/>
          <w:szCs w:val="18"/>
          <w:color w:val="auto"/>
        </w:rPr>
        <w:t>. The following additional covenant shall apply with respect to the Notes so long as any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remain outstanding:</w:t>
      </w:r>
    </w:p>
    <w:p>
      <w:pPr>
        <w:spacing w:after="0" w:line="207" w:lineRule="exact"/>
        <w:rPr>
          <w:sz w:val="20"/>
          <w:szCs w:val="20"/>
          <w:color w:val="auto"/>
        </w:rPr>
      </w:pPr>
    </w:p>
    <w:p>
      <w:pPr>
        <w:ind w:right="180" w:firstLine="987"/>
        <w:spacing w:after="0" w:line="254" w:lineRule="auto"/>
        <w:tabs>
          <w:tab w:leader="none" w:pos="1236"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Triggering Event occurs, unless the Company has exercised its right to redeem all of the Notes pursuant to Section 2.03 hereof or Section 4.07 of the Base Indenture, the Company shall make an offer to repurchase all or, at the Holder’s option, any part (equal to CNY1,000,000 or multiples of CNY10,000 in excess thereof) of each Holder’s Notes pursuant to the offer described below (the “</w:t>
      </w:r>
      <w:r>
        <w:rPr>
          <w:rFonts w:ascii="Times New Roman" w:cs="Times New Roman" w:eastAsia="Times New Roman" w:hAnsi="Times New Roman"/>
          <w:sz w:val="18"/>
          <w:szCs w:val="18"/>
          <w:u w:val="single" w:color="auto"/>
          <w:color w:val="auto"/>
        </w:rPr>
        <w:t>Triggering Event Offer</w:t>
      </w:r>
      <w:r>
        <w:rPr>
          <w:rFonts w:ascii="Times New Roman" w:cs="Times New Roman" w:eastAsia="Times New Roman" w:hAnsi="Times New Roman"/>
          <w:sz w:val="18"/>
          <w:szCs w:val="18"/>
          <w:color w:val="auto"/>
        </w:rPr>
        <w:t>”), at a purchase price in cash equal to 101% of the aggregate principal amount of the Notes repurchased plus accrued and unpaid interest, if any, on the Notes repurchased to, but not including, the date of purchase (the “</w:t>
      </w:r>
      <w:r>
        <w:rPr>
          <w:rFonts w:ascii="Times New Roman" w:cs="Times New Roman" w:eastAsia="Times New Roman" w:hAnsi="Times New Roman"/>
          <w:sz w:val="18"/>
          <w:szCs w:val="18"/>
          <w:u w:val="single" w:color="auto"/>
          <w:color w:val="auto"/>
        </w:rPr>
        <w:t>Triggering Event Payment</w:t>
      </w:r>
      <w:r>
        <w:rPr>
          <w:rFonts w:ascii="Times New Roman" w:cs="Times New Roman" w:eastAsia="Times New Roman" w:hAnsi="Times New Roman"/>
          <w:sz w:val="18"/>
          <w:szCs w:val="18"/>
          <w:color w:val="auto"/>
        </w:rPr>
        <w:t>”) (subject to the right of Holders of record on the relevant Record Date to receive interest due on the relevant Interest Payment Date). Within 30 days following a Triggering Event, unless the Company has exercised its right to redeem all of the Notes pursuant to Section 2.03 hereof or Section 4.07 of the Base Indenture, the Company will mail a notice of such Triggering Event Offer to each Holder or otherwise give notice in accordance with the applicable procedures of CMU, with a copy to the Trustee and Agents, stating:</w:t>
      </w:r>
    </w:p>
    <w:p>
      <w:pPr>
        <w:spacing w:after="0" w:line="80" w:lineRule="exact"/>
        <w:rPr>
          <w:rFonts w:ascii="Times New Roman" w:cs="Times New Roman" w:eastAsia="Times New Roman" w:hAnsi="Times New Roman"/>
          <w:sz w:val="18"/>
          <w:szCs w:val="18"/>
          <w:color w:val="auto"/>
        </w:rPr>
      </w:pPr>
    </w:p>
    <w:p>
      <w:pPr>
        <w:ind w:left="440" w:right="40" w:firstLine="1160"/>
        <w:spacing w:after="0" w:line="258" w:lineRule="auto"/>
        <w:tabs>
          <w:tab w:leader="none" w:pos="1818"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 Triggering Event Offer is being made pursuant to this Section 2.05, including a description of the transaction or transactions that constitute the Triggering Event, and that all Notes properly tendered pursuant to such Triggering Event Offer will be accepted for purchase by the Company at a purchase price in cash equal to 101% of the aggregate principal amount of such Notes plus accrued and unpaid interest, if any, on such Notes to the date of purchase (subject to the right of Holders of record on the relevant Record Date to receive interest due on the relevant Interest Payment Date);</w:t>
      </w:r>
    </w:p>
    <w:p>
      <w:pPr>
        <w:spacing w:after="0" w:line="75" w:lineRule="exact"/>
        <w:rPr>
          <w:rFonts w:ascii="Times New Roman" w:cs="Times New Roman" w:eastAsia="Times New Roman" w:hAnsi="Times New Roman"/>
          <w:sz w:val="18"/>
          <w:szCs w:val="18"/>
          <w:color w:val="auto"/>
        </w:rPr>
      </w:pPr>
    </w:p>
    <w:p>
      <w:pPr>
        <w:ind w:left="1860" w:hanging="260"/>
        <w:spacing w:after="0"/>
        <w:tabs>
          <w:tab w:leader="none" w:pos="1860"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date (which shall be no earlier than 30 days and no later than 60 days from the date such notice is mailed) (the</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Triggering Event Payment Date</w:t>
      </w:r>
      <w:r>
        <w:rPr>
          <w:rFonts w:ascii="Times New Roman" w:cs="Times New Roman" w:eastAsia="Times New Roman" w:hAnsi="Times New Roman"/>
          <w:sz w:val="18"/>
          <w:szCs w:val="18"/>
          <w:color w:val="auto"/>
        </w:rPr>
        <w:t>”);</w:t>
      </w:r>
    </w:p>
    <w:p>
      <w:pPr>
        <w:spacing w:after="0" w:line="99" w:lineRule="exact"/>
        <w:rPr>
          <w:sz w:val="20"/>
          <w:szCs w:val="20"/>
          <w:color w:val="auto"/>
        </w:rPr>
      </w:pPr>
    </w:p>
    <w:p>
      <w:pPr>
        <w:ind w:left="440" w:right="300" w:firstLine="1160"/>
        <w:spacing w:after="0" w:line="282" w:lineRule="auto"/>
        <w:tabs>
          <w:tab w:leader="none" w:pos="1918"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Notes must be tendered in amounts of CNY1,000,000 or multiples of CNY10,000 in excess thereof, and any Note not properly tendered will remain outstanding and continue to accrue interest;</w:t>
      </w:r>
    </w:p>
    <w:p>
      <w:pPr>
        <w:spacing w:after="0" w:line="53" w:lineRule="exact"/>
        <w:rPr>
          <w:rFonts w:ascii="Times New Roman" w:cs="Times New Roman" w:eastAsia="Times New Roman" w:hAnsi="Times New Roman"/>
          <w:sz w:val="18"/>
          <w:szCs w:val="18"/>
          <w:color w:val="auto"/>
        </w:rPr>
      </w:pPr>
    </w:p>
    <w:p>
      <w:pPr>
        <w:ind w:left="440" w:right="140" w:firstLine="1160"/>
        <w:spacing w:after="0" w:line="282" w:lineRule="auto"/>
        <w:tabs>
          <w:tab w:leader="none" w:pos="1908"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unless the Company defaults in the payment of the Triggering Event Payment, any Note accepted for payment pursuant to the Triggering Event Offer will cease to accrue interest on and after the Triggering Event Payment Date;</w:t>
      </w:r>
    </w:p>
    <w:p>
      <w:pPr>
        <w:spacing w:after="0" w:line="53" w:lineRule="exact"/>
        <w:rPr>
          <w:rFonts w:ascii="Times New Roman" w:cs="Times New Roman" w:eastAsia="Times New Roman" w:hAnsi="Times New Roman"/>
          <w:sz w:val="18"/>
          <w:szCs w:val="18"/>
          <w:color w:val="auto"/>
        </w:rPr>
      </w:pPr>
    </w:p>
    <w:p>
      <w:pPr>
        <w:jc w:val="both"/>
        <w:ind w:left="440" w:firstLine="1160"/>
        <w:spacing w:after="0" w:line="261" w:lineRule="auto"/>
        <w:tabs>
          <w:tab w:leader="none" w:pos="1858"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Holders electing to have any Notes purchased pursuant to a Triggering Event Offer will be required to surrender such Notes, with the form entitled “Option of Holder to Elect Purchase” on the reverse of such Notes completed, to the CMU Lodging and Paying Agent specified in the notice at the address specified in the notice prior to the close of business on the third Business Day preceding the Triggering Event Payment Date;</w:t>
      </w:r>
    </w:p>
    <w:p>
      <w:pPr>
        <w:spacing w:after="0" w:line="71" w:lineRule="exact"/>
        <w:rPr>
          <w:rFonts w:ascii="Times New Roman" w:cs="Times New Roman" w:eastAsia="Times New Roman" w:hAnsi="Times New Roman"/>
          <w:sz w:val="18"/>
          <w:szCs w:val="18"/>
          <w:color w:val="auto"/>
        </w:rPr>
      </w:pPr>
    </w:p>
    <w:p>
      <w:pPr>
        <w:ind w:left="440" w:right="40" w:firstLine="1160"/>
        <w:spacing w:after="0" w:line="258" w:lineRule="auto"/>
        <w:tabs>
          <w:tab w:leader="none" w:pos="1908"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Holders shall be entitled to withdraw their tendered Notes and their election to require the Company to purchase such Notes;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CMU Lodging and Paying Agent receives at the address specified in the notice, not later than the close of business on the 30th day following the date of the Triggering Event notice, a telegram, facsimile transmission or letter setting forth the name of the Holder of the Notes, the principal amount of Notes tendered for purchase, and a statement that such Holder is withdrawing its tendered Notes and its election to have such Notes purchased;</w:t>
      </w:r>
    </w:p>
    <w:p>
      <w:pPr>
        <w:spacing w:after="0" w:line="75" w:lineRule="exact"/>
        <w:rPr>
          <w:rFonts w:ascii="Times New Roman" w:cs="Times New Roman" w:eastAsia="Times New Roman" w:hAnsi="Times New Roman"/>
          <w:sz w:val="18"/>
          <w:szCs w:val="18"/>
          <w:color w:val="auto"/>
        </w:rPr>
      </w:pPr>
    </w:p>
    <w:p>
      <w:pPr>
        <w:ind w:left="440" w:right="140" w:firstLine="1160"/>
        <w:spacing w:after="0" w:line="266" w:lineRule="auto"/>
        <w:tabs>
          <w:tab w:leader="none" w:pos="1958"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if a Holder is tendering less than all of its Notes, such Holder will be issued new Notes equal in principal amount to the unpurchased portion of the Notes surrendered (the unpurchased portion of the Notes must be equal to CNY1,000,000 or an integral multiple of CNY10,000 in excess thereof); and</w:t>
      </w:r>
    </w:p>
    <w:p>
      <w:pPr>
        <w:spacing w:after="0" w:line="67" w:lineRule="exact"/>
        <w:rPr>
          <w:rFonts w:ascii="Times New Roman" w:cs="Times New Roman" w:eastAsia="Times New Roman" w:hAnsi="Times New Roman"/>
          <w:sz w:val="18"/>
          <w:szCs w:val="18"/>
          <w:color w:val="auto"/>
        </w:rPr>
      </w:pPr>
    </w:p>
    <w:p>
      <w:pPr>
        <w:ind w:left="2000" w:hanging="400"/>
        <w:spacing w:after="0"/>
        <w:tabs>
          <w:tab w:leader="none" w:pos="200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instructions, as determined by the Company consistent with this Section 2.05, that a Holder must follow.</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301" w:name="page302"/>
    <w:bookmarkEnd w:id="301"/>
    <w:p>
      <w:pPr>
        <w:ind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4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notice, if sent in a manner herein provided, shall be conclusively presumed to have been given, whether or not the Holder receives such notice. If (A) the notice is sent in a manner herein provided and (B) any Holder fails to receive such notice or a Holder receives such notice but it is defective, such Holder’s failure to receive such notice or such defect shall not affect the validity of the proceedings for the purchase of the Notes as to all other Holders that properly received such notice without defect.</w:t>
      </w:r>
    </w:p>
    <w:p>
      <w:pPr>
        <w:spacing w:after="0" w:line="180" w:lineRule="exact"/>
        <w:rPr>
          <w:sz w:val="20"/>
          <w:szCs w:val="20"/>
          <w:color w:val="auto"/>
        </w:rPr>
      </w:pPr>
    </w:p>
    <w:p>
      <w:pPr>
        <w:ind w:left="1240" w:hanging="253"/>
        <w:spacing w:after="0"/>
        <w:tabs>
          <w:tab w:leader="none" w:pos="124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Triggering Event Payment Date, the Company will, to the extent lawful:</w:t>
      </w:r>
    </w:p>
    <w:p>
      <w:pPr>
        <w:spacing w:after="0" w:line="117" w:lineRule="exact"/>
        <w:rPr>
          <w:rFonts w:ascii="Times New Roman" w:cs="Times New Roman" w:eastAsia="Times New Roman" w:hAnsi="Times New Roman"/>
          <w:sz w:val="18"/>
          <w:szCs w:val="18"/>
          <w:color w:val="auto"/>
        </w:rPr>
      </w:pPr>
    </w:p>
    <w:p>
      <w:pPr>
        <w:ind w:left="440" w:right="500" w:firstLine="948"/>
        <w:spacing w:after="0" w:line="282" w:lineRule="auto"/>
        <w:tabs>
          <w:tab w:leader="none" w:pos="1607"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 for payment all Notes or portions of Notes (of CNY1,000,000 or integral multiples of CNY10,000 in excess thereof) properly tendered pursuant to the Triggering Event Offer;</w:t>
      </w:r>
    </w:p>
    <w:p>
      <w:pPr>
        <w:spacing w:after="0" w:line="53" w:lineRule="exact"/>
        <w:rPr>
          <w:rFonts w:ascii="Times New Roman" w:cs="Times New Roman" w:eastAsia="Times New Roman" w:hAnsi="Times New Roman"/>
          <w:sz w:val="18"/>
          <w:szCs w:val="18"/>
          <w:color w:val="auto"/>
        </w:rPr>
      </w:pPr>
    </w:p>
    <w:p>
      <w:pPr>
        <w:ind w:left="440" w:right="360" w:firstLine="948"/>
        <w:spacing w:after="0" w:line="266" w:lineRule="auto"/>
        <w:tabs>
          <w:tab w:leader="none" w:pos="1657"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with the CMU Lodging and Paying Agent, one Business Day prior to the Triggering Event Payment Date, an amount equal to the Triggering Event Payment in respect of all Notes or portions of Notes properly tendered at least three Business Days prior to the Triggering Event Payment Date; and</w:t>
      </w:r>
    </w:p>
    <w:p>
      <w:pPr>
        <w:spacing w:after="0" w:line="67" w:lineRule="exact"/>
        <w:rPr>
          <w:rFonts w:ascii="Times New Roman" w:cs="Times New Roman" w:eastAsia="Times New Roman" w:hAnsi="Times New Roman"/>
          <w:sz w:val="18"/>
          <w:szCs w:val="18"/>
          <w:color w:val="auto"/>
        </w:rPr>
      </w:pPr>
    </w:p>
    <w:p>
      <w:pPr>
        <w:ind w:left="440" w:right="100" w:firstLine="948"/>
        <w:spacing w:after="0" w:line="266" w:lineRule="auto"/>
        <w:tabs>
          <w:tab w:leader="none" w:pos="1707"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or cause to be delivered to the Registrar for cancellation the Notes properly accepted together with an Officers’ Certificate stating the aggregate principal amount of Notes or portions of Notes being purchased by the Company in accordance with the terms of this Section 2.05.</w:t>
      </w:r>
    </w:p>
    <w:p>
      <w:pPr>
        <w:spacing w:after="0" w:line="175" w:lineRule="exact"/>
        <w:rPr>
          <w:rFonts w:ascii="Times New Roman" w:cs="Times New Roman" w:eastAsia="Times New Roman" w:hAnsi="Times New Roman"/>
          <w:sz w:val="18"/>
          <w:szCs w:val="18"/>
          <w:color w:val="auto"/>
        </w:rPr>
      </w:pPr>
    </w:p>
    <w:p>
      <w:pPr>
        <w:jc w:val="both"/>
        <w:ind w:right="160" w:firstLine="987"/>
        <w:spacing w:after="0" w:line="261" w:lineRule="auto"/>
        <w:tabs>
          <w:tab w:leader="none" w:pos="1236"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CMU Lodging and Paying Agent shall promptly mail, to each Holder who properly tendered Notes, the purchase price for such Notes properly tendered, and the Registrar shall promptly authenticate and mail (or cause to be transferred by book-entry) to each such Holder a new Note equal in principal amount to any unpurchased portion of the Notes surrendered, if 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each new Note will be in a principal amount of CNY1,000,000 or a multiple of CNY10,000 in excess thereof.</w:t>
      </w:r>
    </w:p>
    <w:p>
      <w:pPr>
        <w:spacing w:after="0" w:line="179" w:lineRule="exact"/>
        <w:rPr>
          <w:rFonts w:ascii="Times New Roman" w:cs="Times New Roman" w:eastAsia="Times New Roman" w:hAnsi="Times New Roman"/>
          <w:sz w:val="18"/>
          <w:szCs w:val="18"/>
          <w:color w:val="auto"/>
        </w:rPr>
      </w:pPr>
    </w:p>
    <w:p>
      <w:pPr>
        <w:jc w:val="both"/>
        <w:ind w:right="220" w:firstLine="987"/>
        <w:spacing w:after="0" w:line="266" w:lineRule="auto"/>
        <w:tabs>
          <w:tab w:leader="none" w:pos="1246"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Triggering Event Payment Date is on or after the relevant Record Date and on or before the related Interest Payment Date, any accrued and unpaid interest to the Triggering Event Payment Date shall be paid on such Interest Payment Date to the Person in whose name a Note is registered at the close of business on such Record Date.</w:t>
      </w:r>
    </w:p>
    <w:p>
      <w:pPr>
        <w:spacing w:after="0" w:line="175" w:lineRule="exact"/>
        <w:rPr>
          <w:rFonts w:ascii="Times New Roman" w:cs="Times New Roman" w:eastAsia="Times New Roman" w:hAnsi="Times New Roman"/>
          <w:sz w:val="18"/>
          <w:szCs w:val="18"/>
          <w:color w:val="auto"/>
        </w:rPr>
      </w:pPr>
    </w:p>
    <w:p>
      <w:pPr>
        <w:ind w:right="20" w:firstLine="987"/>
        <w:spacing w:after="0" w:line="261" w:lineRule="auto"/>
        <w:tabs>
          <w:tab w:leader="none" w:pos="1236"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not be required to make a Triggering Event Offer upon a Triggering Event if a third party makes such an offer in the manner, at the times and otherwise in compliance with the requirements for an offer made by the Company and such third party purchases all Notes properly tendered and not withdrawn under its offer. In the event that such third party terminates or defaults its offer, the Company will be required to make a Triggering Event Offer treating the date of such termination or default as though it were the date of the Triggering Event.</w:t>
      </w:r>
    </w:p>
    <w:p>
      <w:pPr>
        <w:spacing w:after="0" w:line="179" w:lineRule="exact"/>
        <w:rPr>
          <w:rFonts w:ascii="Times New Roman" w:cs="Times New Roman" w:eastAsia="Times New Roman" w:hAnsi="Times New Roman"/>
          <w:sz w:val="18"/>
          <w:szCs w:val="18"/>
          <w:color w:val="auto"/>
        </w:rPr>
      </w:pPr>
    </w:p>
    <w:p>
      <w:pPr>
        <w:ind w:right="280" w:firstLine="987"/>
        <w:spacing w:after="0" w:line="258" w:lineRule="auto"/>
        <w:tabs>
          <w:tab w:leader="none" w:pos="1216"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comply with the requirements of Rule 14e-1 under the Exchange Act, to the extent applicable, and any other securities laws and regulations thereunder to the extent those laws and regulations are applicable in connection with the repurchase of the Notes as a result of a Triggering Event. To the extent that the provision of any such securities laws or regulations conflicts with the Triggering Event Offer provisions of the Notes, the Company will comply with those securities laws and regulations and will not be deemed to have breached its obligations under the Triggering Event Offer provisions of the Notes by virtue of any such conflict.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302" w:name="page303"/>
    <w:bookmarkEnd w:id="302"/>
    <w:p>
      <w:pPr>
        <w:jc w:val="both"/>
        <w:ind w:firstLine="987"/>
        <w:spacing w:after="0" w:line="261" w:lineRule="auto"/>
        <w:tabs>
          <w:tab w:leader="none" w:pos="1246"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4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Neither the Trustee nor the Agents shall be required to take any steps to ascertain whether a Triggering Event or any event which could lead to a Triggering Event has occurred or may occur. The Trustee and the Agents shall be entitled to assume that no such event has occurred until it has received written notice to the contrary from the Company and shall not be responsible or liable to any person for any failure to do so. The Trustee and Agents shall not be required to take any steps to ascertain whether the condition for the exercise of the rights herein has occurred.</w:t>
      </w:r>
    </w:p>
    <w:p>
      <w:pPr>
        <w:spacing w:after="0" w:line="180" w:lineRule="exact"/>
        <w:rPr>
          <w:sz w:val="20"/>
          <w:szCs w:val="20"/>
          <w:color w:val="auto"/>
        </w:rPr>
      </w:pPr>
    </w:p>
    <w:p>
      <w:pPr>
        <w:ind w:right="20" w:firstLine="440"/>
        <w:spacing w:after="0" w:line="219" w:lineRule="exact"/>
        <w:rPr>
          <w:sz w:val="20"/>
          <w:szCs w:val="20"/>
          <w:color w:val="auto"/>
        </w:rPr>
      </w:pPr>
      <w:r>
        <w:rPr>
          <w:rFonts w:ascii="Times New Roman" w:cs="Times New Roman" w:eastAsia="Times New Roman" w:hAnsi="Times New Roman"/>
          <w:sz w:val="18"/>
          <w:szCs w:val="18"/>
          <w:color w:val="auto"/>
        </w:rPr>
        <w:t xml:space="preserve">Section 2.06 </w:t>
      </w:r>
      <w:r>
        <w:rPr>
          <w:rFonts w:ascii="Times New Roman" w:cs="Times New Roman" w:eastAsia="Times New Roman" w:hAnsi="Times New Roman"/>
          <w:sz w:val="18"/>
          <w:szCs w:val="18"/>
          <w:u w:val="single" w:color="auto"/>
          <w:color w:val="auto"/>
        </w:rPr>
        <w:t>NDRC Post-issuance Filing</w:t>
      </w:r>
      <w:r>
        <w:rPr>
          <w:rFonts w:ascii="Times New Roman" w:cs="Times New Roman" w:eastAsia="Times New Roman" w:hAnsi="Times New Roman"/>
          <w:sz w:val="18"/>
          <w:szCs w:val="18"/>
          <w:color w:val="auto"/>
        </w:rPr>
        <w:t>. The Company will notify the Trustee if it does not file or cause to be filed with the NDRC the requisite information and documents required to be filed with the NDRC in respect of the Notes within the relevant prescribed timeframe after the completion of the Notes issuance in accordance with the Administrative Measures for the Review and Registration of Medium- and Long-Term Foreign Debt of Enterprises (</w:t>
      </w:r>
      <w:r>
        <w:rPr>
          <w:rFonts w:ascii="SimSun" w:cs="SimSun" w:eastAsia="SimSun" w:hAnsi="SimSun"/>
          <w:sz w:val="16"/>
          <w:szCs w:val="16"/>
          <w:color w:val="auto"/>
        </w:rPr>
        <w:t>企业中长期外债审核登记管理办法</w:t>
      </w:r>
      <w:r>
        <w:rPr>
          <w:rFonts w:ascii="Times New Roman" w:cs="Times New Roman" w:eastAsia="Times New Roman" w:hAnsi="Times New Roman"/>
          <w:sz w:val="18"/>
          <w:szCs w:val="18"/>
          <w:color w:val="auto"/>
        </w:rPr>
        <w:t>(</w:t>
      </w:r>
      <w:r>
        <w:rPr>
          <w:rFonts w:ascii="SimSun" w:cs="SimSun" w:eastAsia="SimSun" w:hAnsi="SimSun"/>
          <w:sz w:val="16"/>
          <w:szCs w:val="16"/>
          <w:color w:val="auto"/>
        </w:rPr>
        <w:t>国家发展和改革委员会令第</w:t>
      </w:r>
      <w:r>
        <w:rPr>
          <w:rFonts w:ascii="Times New Roman" w:cs="Times New Roman" w:eastAsia="Times New Roman" w:hAnsi="Times New Roman"/>
          <w:sz w:val="18"/>
          <w:szCs w:val="18"/>
          <w:color w:val="auto"/>
        </w:rPr>
        <w:t>56</w:t>
      </w:r>
      <w:r>
        <w:rPr>
          <w:rFonts w:ascii="SimSun" w:cs="SimSun" w:eastAsia="SimSun" w:hAnsi="SimSun"/>
          <w:sz w:val="16"/>
          <w:szCs w:val="16"/>
          <w:color w:val="auto"/>
        </w:rPr>
        <w:t>号</w:t>
      </w:r>
      <w:r>
        <w:rPr>
          <w:rFonts w:ascii="Times New Roman" w:cs="Times New Roman" w:eastAsia="Times New Roman" w:hAnsi="Times New Roman"/>
          <w:sz w:val="18"/>
          <w:szCs w:val="18"/>
          <w:color w:val="auto"/>
        </w:rPr>
        <w:t>)) issued by the NDRC and effective from February 10, 2023, and/or any applicable implementation rules, reports, certificates, approvals or guidelines as may be issued by the NDRC from time to time (the “</w:t>
      </w:r>
      <w:r>
        <w:rPr>
          <w:rFonts w:ascii="Times New Roman" w:cs="Times New Roman" w:eastAsia="Times New Roman" w:hAnsi="Times New Roman"/>
          <w:sz w:val="18"/>
          <w:szCs w:val="18"/>
          <w:u w:val="single" w:color="auto"/>
          <w:color w:val="auto"/>
        </w:rPr>
        <w:t>NDRC Post-Issuance Filings</w:t>
      </w:r>
      <w:r>
        <w:rPr>
          <w:rFonts w:ascii="Times New Roman" w:cs="Times New Roman" w:eastAsia="Times New Roman" w:hAnsi="Times New Roman"/>
          <w:sz w:val="18"/>
          <w:szCs w:val="18"/>
          <w:color w:val="auto"/>
        </w:rPr>
        <w:t>”). Such notification to the Trustee shall be made within 10 PRC Business Days after such failure to complete the NDRC Post-Issuance Filing. The Trustee shall have no obligation or duty to monitor or assist with and ensure the completion of the NDRC Post-Issuance Filings on or before the deadline referred to above or to verify the accuracy, validity, and/or genuineness of any documents in relation to or in connection with the NDRC Post-Issuance Filings, or to translate or procure the translation into English of the documents in relation to or in connection with the NDRC Post-Issuance Filing, or to give notice to the Holders confirming the completion of the NDRC Post-Issuance Filing, and shall not be liable to the Company, the Holders or any other person for not doing so.</w:t>
      </w:r>
    </w:p>
    <w:p>
      <w:pPr>
        <w:spacing w:after="0" w:line="205" w:lineRule="exact"/>
        <w:rPr>
          <w:sz w:val="20"/>
          <w:szCs w:val="20"/>
          <w:color w:val="auto"/>
        </w:rPr>
      </w:pPr>
    </w:p>
    <w:p>
      <w:pPr>
        <w:ind w:right="4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2.07 </w:t>
      </w:r>
      <w:r>
        <w:rPr>
          <w:rFonts w:ascii="Times New Roman" w:cs="Times New Roman" w:eastAsia="Times New Roman" w:hAnsi="Times New Roman"/>
          <w:sz w:val="18"/>
          <w:szCs w:val="18"/>
          <w:u w:val="single" w:color="auto"/>
          <w:color w:val="auto"/>
        </w:rPr>
        <w:t>Covenant Defeasance</w:t>
      </w:r>
      <w:r>
        <w:rPr>
          <w:rFonts w:ascii="Times New Roman" w:cs="Times New Roman" w:eastAsia="Times New Roman" w:hAnsi="Times New Roman"/>
          <w:sz w:val="18"/>
          <w:szCs w:val="18"/>
          <w:color w:val="auto"/>
        </w:rPr>
        <w:t>. Upon the Company’s exercise under Section 12.03(a) of the Base Indenture of the option applicable to Section 12.03(c) thereof, the Company shall, subject to the satisfaction of the conditions set forth in Section 12.03(d) thereof, be released from its obligations under the covenants contained in Section 6.04 and Section 6.06 thereof and from its obligations under the covenants contained in Section 2.04 and Section 2.05 of this Twelfth Supplemental Indenture, on and after the date the conditions set forth in Section 12.03(d) thereof are satisfied.</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60"/>
          </w:cols>
          <w:pgMar w:left="440" w:top="270" w:right="499" w:bottom="1440" w:gutter="0" w:footer="0" w:header="0"/>
        </w:sectPr>
      </w:pPr>
    </w:p>
    <w:bookmarkStart w:id="303" w:name="page304"/>
    <w:bookmarkEnd w:id="30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4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2.08 </w:t>
      </w:r>
      <w:r>
        <w:rPr>
          <w:rFonts w:ascii="Times New Roman" w:cs="Times New Roman" w:eastAsia="Times New Roman" w:hAnsi="Times New Roman"/>
          <w:sz w:val="18"/>
          <w:szCs w:val="18"/>
          <w:u w:val="single" w:color="auto"/>
          <w:color w:val="auto"/>
        </w:rPr>
        <w:t>Supplemental Indentures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Definition of “Holder” under Section 1.01 of the Base Indenture shall be replaced in its entirety by the following with respect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only:</w:t>
      </w:r>
    </w:p>
    <w:p>
      <w:pPr>
        <w:spacing w:after="0" w:line="99" w:lineRule="exact"/>
        <w:rPr>
          <w:sz w:val="20"/>
          <w:szCs w:val="20"/>
          <w:color w:val="auto"/>
        </w:rPr>
      </w:pPr>
    </w:p>
    <w:p>
      <w:pPr>
        <w:ind w:left="98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in relation to a Security, means the Person in whose name a Security is registered in the security register for the registration and the registration of transfer or of exchange of the Securities save that, for so long as such Securities are evidenced by a Global Security held by a subcustodian of the CMU, each Person who is for the time being shown in the records of the CMU Operator as the Holder of a particular principal amount of Securities (in which regard any certificate or other document issued by the CMU Operator as to the principal amount of such Securities standing to the account of any person shall be conclusive and binding for all purposes except in the case of manifest error) and shall be treated by the Company, the Trustee, the CMU Lodging and Paying Agent, the Registrar, the Transfer Agent, the other agents and the CMU Operator as the holder of such principal amount of such Securities for all purposes other than with respect to the payment of principal, premium (if any) or interest on the Securities, the right to which shall be vested, as against the Company, the Trustee, the CMU Lodging and Paying Agent, the Registrar, the Transfer Agent, the other agents and the CMU Operator, solely in the registered holder of the Global Security in accordance with and subject to its terms and the expressions; “</w:t>
      </w:r>
      <w:r>
        <w:rPr>
          <w:rFonts w:ascii="Times New Roman" w:cs="Times New Roman" w:eastAsia="Times New Roman" w:hAnsi="Times New Roman"/>
          <w:sz w:val="18"/>
          <w:szCs w:val="18"/>
          <w:u w:val="single" w:color="auto"/>
          <w:color w:val="auto"/>
        </w:rPr>
        <w:t>Holder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Securityholder</w:t>
      </w:r>
      <w:r>
        <w:rPr>
          <w:rFonts w:ascii="Times New Roman" w:cs="Times New Roman" w:eastAsia="Times New Roman" w:hAnsi="Times New Roman"/>
          <w:sz w:val="18"/>
          <w:szCs w:val="18"/>
          <w:color w:val="auto"/>
        </w:rPr>
        <w:t>” and related expressions shall (where appropriate) be construed accordingly.</w:t>
      </w:r>
    </w:p>
    <w:p>
      <w:pPr>
        <w:spacing w:after="0" w:line="192" w:lineRule="exact"/>
        <w:rPr>
          <w:sz w:val="20"/>
          <w:szCs w:val="20"/>
          <w:color w:val="auto"/>
        </w:rPr>
      </w:pPr>
    </w:p>
    <w:p>
      <w:pPr>
        <w:ind w:right="180" w:firstLine="987"/>
        <w:spacing w:after="0" w:line="282" w:lineRule="auto"/>
        <w:tabs>
          <w:tab w:leader="none" w:pos="1246"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Definition of “Principal Controlled Entity” under Section 1.01 of the Base Indenture shall be replaced in its entirety by the following with respect to the Notes only:</w:t>
      </w:r>
    </w:p>
    <w:p>
      <w:pPr>
        <w:spacing w:after="0" w:line="5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Principal Controlled Entities</w:t>
      </w:r>
      <w:r>
        <w:rPr>
          <w:rFonts w:ascii="Times New Roman" w:cs="Times New Roman" w:eastAsia="Times New Roman" w:hAnsi="Times New Roman"/>
          <w:sz w:val="18"/>
          <w:szCs w:val="18"/>
          <w:color w:val="auto"/>
        </w:rPr>
        <w:t>” at any time shall mean one of the Non-listed Controlled Entities of the Company:</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 as to which one or more of the following conditions is/are satisfied:</w:t>
      </w:r>
    </w:p>
    <w:p>
      <w:pPr>
        <w:spacing w:after="0" w:line="117" w:lineRule="exact"/>
        <w:rPr>
          <w:sz w:val="20"/>
          <w:szCs w:val="20"/>
          <w:color w:val="auto"/>
        </w:rPr>
      </w:pPr>
    </w:p>
    <w:p>
      <w:pPr>
        <w:jc w:val="both"/>
        <w:ind w:left="980" w:right="620" w:firstLine="7"/>
        <w:spacing w:after="0" w:line="266" w:lineRule="auto"/>
        <w:tabs>
          <w:tab w:leader="none" w:pos="1275"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total revenue or (in the case of one of the Non-listed Controlled Entities of the Company which has one or more Non-listed Controlled Entities) consolidated total revenue attributable to the Company is at least 10% of the consolidated total revenue of the Company;</w:t>
      </w:r>
    </w:p>
    <w:p>
      <w:pPr>
        <w:spacing w:after="0" w:line="67" w:lineRule="exact"/>
        <w:rPr>
          <w:rFonts w:ascii="Times New Roman" w:cs="Times New Roman" w:eastAsia="Times New Roman" w:hAnsi="Times New Roman"/>
          <w:sz w:val="18"/>
          <w:szCs w:val="18"/>
          <w:color w:val="auto"/>
        </w:rPr>
      </w:pPr>
    </w:p>
    <w:p>
      <w:pPr>
        <w:ind w:left="980" w:right="80" w:firstLine="7"/>
        <w:spacing w:after="0" w:line="266" w:lineRule="auto"/>
        <w:tabs>
          <w:tab w:leader="none" w:pos="1265"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net profit or (in the case of one of the Non-listed Controlled Entities of the Company which has one or more Non-listed Controlled Entities) consolidated net profit attributable to the Company (in each case before taxation and exceptional items) is at least 10% of the consolidated net profit of the Company (before taxation and exceptional items); or</w:t>
      </w:r>
    </w:p>
    <w:p>
      <w:pPr>
        <w:spacing w:after="0" w:line="67" w:lineRule="exact"/>
        <w:rPr>
          <w:rFonts w:ascii="Times New Roman" w:cs="Times New Roman" w:eastAsia="Times New Roman" w:hAnsi="Times New Roman"/>
          <w:sz w:val="18"/>
          <w:szCs w:val="18"/>
          <w:color w:val="auto"/>
        </w:rPr>
      </w:pPr>
    </w:p>
    <w:p>
      <w:pPr>
        <w:ind w:left="980" w:right="60" w:firstLine="7"/>
        <w:spacing w:after="0" w:line="266" w:lineRule="auto"/>
        <w:tabs>
          <w:tab w:leader="none" w:pos="1265"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net assets or (in the case of one of the Non-listed Controlled Entities of the Company which has one or more Non-listed Controlled Entities) consolidated net assets attributable to the Company (in each case after deducting minority interests in Subsidiaries) are at least 10% of the consolidated net assets of the Company (after deducting minority interests in Subsidiaries);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80"/>
          </w:cols>
          <w:pgMar w:left="440" w:top="270" w:right="479" w:bottom="1440" w:gutter="0" w:footer="0" w:header="0"/>
        </w:sectPr>
      </w:pPr>
    </w:p>
    <w:bookmarkStart w:id="304" w:name="page305"/>
    <w:bookmarkEnd w:id="304"/>
    <w:p>
      <w:pPr>
        <w:ind w:right="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4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all as calculated by reference to the then latest audited financial statements (consolidated or, as the case may be, unconsolidated) of the Non-listed Controlled Entity of the Company and the then latest audited consolidated financial statements of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relation to clauses (A), (B) and (C) above:</w:t>
      </w:r>
    </w:p>
    <w:p>
      <w:pPr>
        <w:spacing w:after="0" w:line="68" w:lineRule="exact"/>
        <w:rPr>
          <w:sz w:val="20"/>
          <w:szCs w:val="20"/>
          <w:color w:val="auto"/>
        </w:rPr>
      </w:pPr>
    </w:p>
    <w:p>
      <w:pPr>
        <w:ind w:firstLine="7"/>
        <w:spacing w:after="0" w:line="255" w:lineRule="auto"/>
        <w:tabs>
          <w:tab w:leader="none" w:pos="255"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corporation or other business entity becoming a Non-listed Controlled Entity after the end of the financial period to which the latest consolidated audited accounts of the Company relate, the reference to the then latest consolidated audited accounts of the Company and its Non-listed Controlled Entities for the purposes of the calculation above shall, until the consolidated audited accounts of the Company for the financial period in which the relevant corporation or other business entity becomes a Non-listed Controlled Entity are issued, be deemed to be a reference to the then latest consolidated audited accounts of the Company and its Non-listed Controlled Entities adjusted to consolidate the latest audited accounts (consolidated in the case of a Non-listed Controlled Entity which itself has Controlled Entities) of such Non-listed Controlled Entity in such accounts;</w:t>
      </w:r>
    </w:p>
    <w:p>
      <w:pPr>
        <w:spacing w:after="0" w:line="80" w:lineRule="exact"/>
        <w:rPr>
          <w:rFonts w:ascii="Times New Roman" w:cs="Times New Roman" w:eastAsia="Times New Roman" w:hAnsi="Times New Roman"/>
          <w:sz w:val="18"/>
          <w:szCs w:val="18"/>
          <w:color w:val="auto"/>
        </w:rPr>
      </w:pPr>
    </w:p>
    <w:p>
      <w:pPr>
        <w:ind w:right="140" w:firstLine="7"/>
        <w:spacing w:after="0" w:line="261" w:lineRule="auto"/>
        <w:tabs>
          <w:tab w:leader="none" w:pos="255"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relevant time in relation to the Company or any Non-listed Controlled Entity which itself has Non-listed Controlled Entities, no consolidated accounts are prepared and audited, total revenue, net profit or net assets of the Company and/or any such Non-listed Controlled Entity shall be determined on the basis of pro forma consolidated accounts prepared for this purpose by or on behalf of the Company;</w:t>
      </w:r>
    </w:p>
    <w:p>
      <w:pPr>
        <w:spacing w:after="0" w:line="71" w:lineRule="exact"/>
        <w:rPr>
          <w:rFonts w:ascii="Times New Roman" w:cs="Times New Roman" w:eastAsia="Times New Roman" w:hAnsi="Times New Roman"/>
          <w:sz w:val="18"/>
          <w:szCs w:val="18"/>
          <w:color w:val="auto"/>
        </w:rPr>
      </w:pPr>
    </w:p>
    <w:p>
      <w:pPr>
        <w:ind w:right="300" w:firstLine="7"/>
        <w:spacing w:after="0" w:line="266" w:lineRule="auto"/>
        <w:tabs>
          <w:tab w:leader="none" w:pos="255"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relevant time in relation to any Non-listed Controlled Entity, no accounts are audited, its net assets (consolidated, if appropriate) shall be determined on the basis of pro forma accounts (consolidated, if appropriate) of the relevant Non-listed Controlled Entity prepared for this purpose by or on behalf of the Company; and</w:t>
      </w:r>
    </w:p>
    <w:p>
      <w:pPr>
        <w:spacing w:after="0" w:line="67" w:lineRule="exact"/>
        <w:rPr>
          <w:rFonts w:ascii="Times New Roman" w:cs="Times New Roman" w:eastAsia="Times New Roman" w:hAnsi="Times New Roman"/>
          <w:sz w:val="18"/>
          <w:szCs w:val="18"/>
          <w:color w:val="auto"/>
        </w:rPr>
      </w:pPr>
    </w:p>
    <w:p>
      <w:pPr>
        <w:jc w:val="both"/>
        <w:ind w:right="80" w:firstLine="7"/>
        <w:spacing w:after="0" w:line="261" w:lineRule="auto"/>
        <w:tabs>
          <w:tab w:leader="none" w:pos="255"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accounts of any Non-listed Controlled Entity (not being a Non-listed Controlled Entity referred to in proviso (1) above) are not consolidated with the accounts of the Company, then the determination of whether or not such Non-listed Controlled Entity is a Principal Controlled Entity shall be based on a pro forma consolidation of its accounts (consolidated, if appropriate) with the consolidated accounts of the Company (determined on the basis of the foregoing); or</w:t>
      </w:r>
    </w:p>
    <w:p>
      <w:pPr>
        <w:spacing w:after="0" w:line="72" w:lineRule="exact"/>
        <w:rPr>
          <w:sz w:val="20"/>
          <w:szCs w:val="20"/>
          <w:color w:val="auto"/>
        </w:rPr>
      </w:pPr>
    </w:p>
    <w:p>
      <w:pPr>
        <w:ind w:right="320" w:firstLine="7"/>
        <w:spacing w:after="0" w:line="261" w:lineRule="auto"/>
        <w:tabs>
          <w:tab w:leader="none" w:pos="265"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which is transferred all or substantially all of the assets of a Controlled Entity which immediately prior to the transfer was a Principal Controlled Entity;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effect from such transfer, the Controlled Entity which so transfers its assets and undertakings shall cease to be a Principal Controlled Entity (but without prejudice to paragraph (i) above) and the Controlled Entity to which the assets are so transferred shall become a Principal Controlled Entity.</w:t>
      </w:r>
    </w:p>
    <w:p>
      <w:pPr>
        <w:spacing w:after="0" w:line="7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An Officers’ Certificate delivered to the Trustee certifying in good faith as to whether or not a Non-listed Controlled Entity is a Principal Controlled Entity shall be conclusive in the absence of manifest error.”</w:t>
      </w:r>
    </w:p>
    <w:p>
      <w:pPr>
        <w:spacing w:after="0" w:line="94"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000"/>
          </w:cols>
          <w:pgMar w:left="1420" w:top="270" w:right="479" w:bottom="1440" w:gutter="0" w:footer="0" w:header="0"/>
        </w:sectPr>
      </w:pPr>
    </w:p>
    <w:bookmarkStart w:id="305" w:name="page306"/>
    <w:bookmarkEnd w:id="305"/>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4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 Section 3.03(g) of the Base Indenture shall be replaced in its entirety by the following with respect to the Notes only:</w:t>
      </w:r>
    </w:p>
    <w:p>
      <w:pPr>
        <w:spacing w:after="0" w:line="117" w:lineRule="exact"/>
        <w:rPr>
          <w:sz w:val="20"/>
          <w:szCs w:val="20"/>
          <w:color w:val="auto"/>
        </w:rPr>
      </w:pPr>
    </w:p>
    <w:p>
      <w:pPr>
        <w:ind w:left="980"/>
        <w:spacing w:after="0" w:line="282" w:lineRule="auto"/>
        <w:rPr>
          <w:sz w:val="20"/>
          <w:szCs w:val="20"/>
          <w:color w:val="auto"/>
        </w:rPr>
      </w:pPr>
      <w:r>
        <w:rPr>
          <w:rFonts w:ascii="Times New Roman" w:cs="Times New Roman" w:eastAsia="Times New Roman" w:hAnsi="Times New Roman"/>
          <w:sz w:val="18"/>
          <w:szCs w:val="18"/>
          <w:color w:val="auto"/>
        </w:rPr>
        <w:t>“Each Depositary designated pursuant to Section 3.01 for a Global Security in registered form must, at the time of its designation and at all times while it serves as such Depositary, be a clearing agency registered under applicable statute or regulation.”</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(d) The first sentence of Section 3.06(c)(i) of the Base Indenture shall be replaced in its entirety by the following with respect to the Notes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only:</w:t>
      </w:r>
    </w:p>
    <w:p>
      <w:pPr>
        <w:spacing w:after="0" w:line="99" w:lineRule="exact"/>
        <w:rPr>
          <w:sz w:val="20"/>
          <w:szCs w:val="20"/>
          <w:color w:val="auto"/>
        </w:rPr>
      </w:pPr>
    </w:p>
    <w:p>
      <w:pPr>
        <w:ind w:left="980" w:right="40"/>
        <w:spacing w:after="0" w:line="258" w:lineRule="auto"/>
        <w:rPr>
          <w:sz w:val="20"/>
          <w:szCs w:val="20"/>
          <w:color w:val="auto"/>
        </w:rPr>
      </w:pPr>
      <w:r>
        <w:rPr>
          <w:rFonts w:ascii="Times New Roman" w:cs="Times New Roman" w:eastAsia="Times New Roman" w:hAnsi="Times New Roman"/>
          <w:sz w:val="18"/>
          <w:szCs w:val="18"/>
          <w:color w:val="auto"/>
        </w:rPr>
        <w:t>“(i) Individual Securities shall be issued to all owners of beneficial interests in a Global Security in exchange for such interests at any time the Depositary of the Securities of a series or any other clearing system selected by the Company and approved in writing by the Trustee, the CMU Lodging and Paying Agent and the Registrar through which the Securities are held is closed for business for a continuous period of 14 calendar days (other than by reason of holidays, statutory or otherwise) or announces an intention permanently to cease business or does in fact do so.”</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 Section 3.06(h) of the Base Indenture shall be replaced in its entirety by the following with respect to the Notes only:</w:t>
      </w:r>
    </w:p>
    <w:p>
      <w:pPr>
        <w:spacing w:after="0" w:line="117" w:lineRule="exact"/>
        <w:rPr>
          <w:sz w:val="20"/>
          <w:szCs w:val="20"/>
          <w:color w:val="auto"/>
        </w:rPr>
      </w:pPr>
    </w:p>
    <w:p>
      <w:pPr>
        <w:ind w:left="980" w:right="20"/>
        <w:spacing w:after="0" w:line="253" w:lineRule="auto"/>
        <w:rPr>
          <w:sz w:val="20"/>
          <w:szCs w:val="20"/>
          <w:color w:val="auto"/>
        </w:rPr>
      </w:pPr>
      <w:r>
        <w:rPr>
          <w:rFonts w:ascii="Times New Roman" w:cs="Times New Roman" w:eastAsia="Times New Roman" w:hAnsi="Times New Roman"/>
          <w:sz w:val="18"/>
          <w:szCs w:val="18"/>
          <w:color w:val="auto"/>
        </w:rPr>
        <w:t>“Prior to the due presentation for registration of transfer or exchange of any Security, the Company, the Trustee, the CMU Lodging and Paying Agent, the Transfer Agent, the Registrar or any of their agents may deem and treat the Person who is for the time being shown in the records of the CMU Operator as the holder of a particular principal amount of Securities (each such person, an “</w:t>
      </w:r>
      <w:r>
        <w:rPr>
          <w:rFonts w:ascii="Times New Roman" w:cs="Times New Roman" w:eastAsia="Times New Roman" w:hAnsi="Times New Roman"/>
          <w:sz w:val="18"/>
          <w:szCs w:val="18"/>
          <w:u w:val="single" w:color="auto"/>
          <w:color w:val="auto"/>
        </w:rPr>
        <w:t>account holder</w:t>
      </w:r>
      <w:r>
        <w:rPr>
          <w:rFonts w:ascii="Times New Roman" w:cs="Times New Roman" w:eastAsia="Times New Roman" w:hAnsi="Times New Roman"/>
          <w:sz w:val="18"/>
          <w:szCs w:val="18"/>
          <w:color w:val="auto"/>
        </w:rPr>
        <w:t>”), in which regard any certificate or other documents issued by the CMU Operator as to the principal amount of such Securities standing to the account of any Person shall be conclusive and binding for all purposes and shall be treated by the Company, the Trustee, the Agents and the CMU Operator as the Holder of such principal amount of such Securities for all purposes other than with respect to the payment of principal, premium (if any) or interest on the Securities, the right to which shall be vested, as against the Company, the Trustee, the Agents and the CMU Operator solely in the registered holder of the Global Securities in accordance with and subject to its terms. Notwithstanding the above, if the Global Securities are held by or on behalf of the CMU, any payments that are made in respect of the Securities evidenced by the Global Securities shall be made to the respective account holders.”</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70" w:right="459" w:bottom="1440" w:gutter="0" w:footer="0" w:header="0"/>
        </w:sectPr>
      </w:pPr>
    </w:p>
    <w:bookmarkStart w:id="306" w:name="page307"/>
    <w:bookmarkEnd w:id="30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4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 Section 4.02(a) of the Base Indenture shall be replaced in its entirety by the following with respect to the Notes only:</w:t>
      </w:r>
    </w:p>
    <w:p>
      <w:pPr>
        <w:spacing w:after="0" w:line="11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“If the Company shall at any time elect to redeem all or any portion of the Securities of a series then Outstanding, it shall at least 15 calendar days (or such shorter period acceptable to the Trustee) prior to the date the notice of redemption is to be mailed, notify the Trustee of such Redemption Date and of the principal amount of Securities to be redeemed, and the Securities to be redeemed will be selected (i) if held through CMU, by lot (by drawing) in accordance with the requirements of CMU, and (ii) if the Securities are not held through CMU, then pro rata, by lot or in such other manner as the trustee deems appropriate in its sole discretion, unless otherwise required by law and which may provide for the selection for redemption of a portion of the principal amount of any Security of such series; provided that the unredeemed portion of the principal amount of any Security shall be in an authorized denomination (which shall not be less than the minimum authorized denomination) for such Security. In any case where more than one Security of such series is registered in the same name, the Trustee may treat the aggregate principal amount so registered as if it were represented by one Security of such series. If the Securities are in definitive form, the Trustee shall, as soon as practicable, notify the Company in writing of the Securities and portions of Securities so selected.”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 Section 6.05(a) of the Base Indenture shall be replaced in its entirety by the following with respect to the Notes only:</w:t>
      </w:r>
    </w:p>
    <w:p>
      <w:pPr>
        <w:spacing w:after="0" w:line="11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“All payments of principal, premium, if any, and interest made by the Company in respect of any Security shall be made without withholding or deduction for, or on account of, any present or future taxes, duties, assessments or governmental charges of whatever nature (collectively,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imposed or levied by or within the British Virgin Islands, the Cayman Islands, the PRC or any jurisdiction where the Company is otherwise considered by a taxing authority to be a resident for tax purposes (in each case, including any political subdivision or any authority therein or thereof having power to tax) (the “</w:t>
      </w:r>
      <w:r>
        <w:rPr>
          <w:rFonts w:ascii="Times New Roman" w:cs="Times New Roman" w:eastAsia="Times New Roman" w:hAnsi="Times New Roman"/>
          <w:sz w:val="18"/>
          <w:szCs w:val="18"/>
          <w:u w:val="single" w:color="auto"/>
          <w:color w:val="auto"/>
        </w:rPr>
        <w:t>Relevant Jurisdiction</w:t>
      </w:r>
      <w:r>
        <w:rPr>
          <w:rFonts w:ascii="Times New Roman" w:cs="Times New Roman" w:eastAsia="Times New Roman" w:hAnsi="Times New Roman"/>
          <w:sz w:val="18"/>
          <w:szCs w:val="18"/>
          <w:color w:val="auto"/>
        </w:rPr>
        <w:t>”), unless such withholding or deduction of such Taxes is required by law. If the Company is required to make such withholding or deduction, the Company shall pay such additional amounts (“</w:t>
      </w:r>
      <w:r>
        <w:rPr>
          <w:rFonts w:ascii="Times New Roman" w:cs="Times New Roman" w:eastAsia="Times New Roman" w:hAnsi="Times New Roman"/>
          <w:sz w:val="18"/>
          <w:szCs w:val="18"/>
          <w:u w:val="single" w:color="auto"/>
          <w:color w:val="auto"/>
        </w:rPr>
        <w:t>Additional Amounts</w:t>
      </w:r>
      <w:r>
        <w:rPr>
          <w:rFonts w:ascii="Times New Roman" w:cs="Times New Roman" w:eastAsia="Times New Roman" w:hAnsi="Times New Roman"/>
          <w:sz w:val="18"/>
          <w:szCs w:val="18"/>
          <w:color w:val="auto"/>
        </w:rPr>
        <w:t>”) as will result in receipt by each Holder of Securities of such amounts as would have been received by such Holder had no such withholding or deduction of such Taxes been required, except that no such Additional Amounts shall be payable:</w:t>
      </w:r>
    </w:p>
    <w:p>
      <w:pPr>
        <w:spacing w:after="0" w:line="84" w:lineRule="exact"/>
        <w:rPr>
          <w:sz w:val="20"/>
          <w:szCs w:val="20"/>
          <w:color w:val="auto"/>
        </w:rPr>
      </w:pPr>
    </w:p>
    <w:p>
      <w:pPr>
        <w:ind w:right="120" w:firstLine="408"/>
        <w:spacing w:after="0" w:line="256" w:lineRule="auto"/>
        <w:tabs>
          <w:tab w:leader="none" w:pos="616"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any such Taxes that would not have been imposed, deducted or withheld but for the existence of any connection (whether present or former) between the Holder or beneficial owner of a Security and the Relevant Jurisdiction other than merely holding such Security or receiving principal, premium, if any, or interest in respect thereof (including such Holder or beneficial owner being or having been a national, domiciliary or resident of such Relevant Jurisdiction or treated as a resident thereof or being or having been physically present or engaged in a trade or business therein or having or having had a permanent establishment, place of management or fixed base therein);</w:t>
      </w:r>
    </w:p>
    <w:p>
      <w:pPr>
        <w:spacing w:after="0" w:line="79" w:lineRule="exact"/>
        <w:rPr>
          <w:rFonts w:ascii="Times New Roman" w:cs="Times New Roman" w:eastAsia="Times New Roman" w:hAnsi="Times New Roman"/>
          <w:sz w:val="18"/>
          <w:szCs w:val="18"/>
          <w:color w:val="auto"/>
        </w:rPr>
      </w:pPr>
    </w:p>
    <w:p>
      <w:pPr>
        <w:ind w:right="180" w:firstLine="408"/>
        <w:spacing w:after="0" w:line="261" w:lineRule="auto"/>
        <w:tabs>
          <w:tab w:leader="none" w:pos="666"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any Security presented for payment (where presentation is required) more than 30 days after the relevant date, except to the extent that the Holder thereof would have been entitled to such Additional Amounts on presenting the same for payment on the last day of such 30-day period. For this purpose, the “</w:t>
      </w:r>
      <w:r>
        <w:rPr>
          <w:rFonts w:ascii="Times New Roman" w:cs="Times New Roman" w:eastAsia="Times New Roman" w:hAnsi="Times New Roman"/>
          <w:sz w:val="18"/>
          <w:szCs w:val="18"/>
          <w:u w:val="single" w:color="auto"/>
          <w:color w:val="auto"/>
        </w:rPr>
        <w:t>relevant date</w:t>
      </w:r>
      <w:r>
        <w:rPr>
          <w:rFonts w:ascii="Times New Roman" w:cs="Times New Roman" w:eastAsia="Times New Roman" w:hAnsi="Times New Roman"/>
          <w:sz w:val="18"/>
          <w:szCs w:val="18"/>
          <w:color w:val="auto"/>
        </w:rPr>
        <w:t>” in relation to any Security means the later of (a) the due date for such payment or (b) the date such payment was made or duly provided for;</w:t>
      </w:r>
    </w:p>
    <w:p>
      <w:pPr>
        <w:spacing w:after="0" w:line="112"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040"/>
          </w:cols>
          <w:pgMar w:left="1420" w:top="270" w:right="439" w:bottom="1440" w:gutter="0" w:footer="0" w:header="0"/>
        </w:sectPr>
      </w:pPr>
    </w:p>
    <w:bookmarkStart w:id="307" w:name="page308"/>
    <w:bookmarkEnd w:id="307"/>
    <w:p>
      <w:pPr>
        <w:ind w:left="-20" w:right="80" w:firstLine="408"/>
        <w:spacing w:after="0" w:line="256" w:lineRule="auto"/>
        <w:tabs>
          <w:tab w:leader="none" w:pos="696"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4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respect of any Taxes that would not have been imposed, deducted or withheld but for a failure of the Holder or beneficial owner of a Security to promptly comply with any request (whether timely or not) by the Company addressed to the Holder or beneficial owner to (a) provide information, documentation or forms concerning such Holder’s or beneficial owner’s nationality, residence, identity or connection with any Relevant Jurisdiction or (b) to take any other action that we reasonably request, if and to the extent that due and timely compliance with such request is required under the tax laws of such jurisdiction in order to reduce or eliminate any withholding or deduction as to which Additional Amounts would have otherwise been payable to such Holder;</w:t>
      </w:r>
    </w:p>
    <w:p>
      <w:pPr>
        <w:spacing w:after="0" w:line="79" w:lineRule="exact"/>
        <w:rPr>
          <w:rFonts w:ascii="Times New Roman" w:cs="Times New Roman" w:eastAsia="Times New Roman" w:hAnsi="Times New Roman"/>
          <w:sz w:val="18"/>
          <w:szCs w:val="18"/>
          <w:color w:val="auto"/>
        </w:rPr>
      </w:pPr>
    </w:p>
    <w:p>
      <w:pPr>
        <w:ind w:left="-20" w:right="340" w:firstLine="408"/>
        <w:spacing w:after="0" w:line="282" w:lineRule="auto"/>
        <w:tabs>
          <w:tab w:leader="none" w:pos="686"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any Taxes imposed as a result of a Security being presented for payment (where presentation is required) in the Relevant Jurisdiction, unless such Security could not have been presented for payment elsewhere;</w:t>
      </w:r>
    </w:p>
    <w:p>
      <w:pPr>
        <w:spacing w:after="0" w:line="53" w:lineRule="exact"/>
        <w:rPr>
          <w:rFonts w:ascii="Times New Roman" w:cs="Times New Roman" w:eastAsia="Times New Roman" w:hAnsi="Times New Roman"/>
          <w:sz w:val="18"/>
          <w:szCs w:val="18"/>
          <w:color w:val="auto"/>
        </w:rPr>
      </w:pPr>
    </w:p>
    <w:p>
      <w:pPr>
        <w:ind w:left="640" w:hanging="252"/>
        <w:spacing w:after="0"/>
        <w:tabs>
          <w:tab w:leader="none" w:pos="64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any estate, inheritance, gift, sales, transfer, personal property or similar Taxes;</w:t>
      </w:r>
    </w:p>
    <w:p>
      <w:pPr>
        <w:spacing w:after="0" w:line="117" w:lineRule="exact"/>
        <w:rPr>
          <w:rFonts w:ascii="Times New Roman" w:cs="Times New Roman" w:eastAsia="Times New Roman" w:hAnsi="Times New Roman"/>
          <w:sz w:val="18"/>
          <w:szCs w:val="18"/>
          <w:color w:val="auto"/>
        </w:rPr>
      </w:pPr>
    </w:p>
    <w:p>
      <w:pPr>
        <w:jc w:val="both"/>
        <w:ind w:left="-20" w:right="20" w:firstLine="408"/>
        <w:spacing w:after="0" w:line="261" w:lineRule="auto"/>
        <w:tabs>
          <w:tab w:leader="none" w:pos="686"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Holder of a Security that is a fiduciary, partnership or person other than the sole beneficial owner of any payment to the extent that such payment would be required to be included in the income under the laws of a Relevant Jurisdiction, for tax purposes, of a beneficiary or settlor with respect to the fiduciary, or a member of that partnership or a beneficial owner who would not have been entitled to such Additional Amounts had that beneficiary, settlor, partner or beneficial owner been the Holder thereof;</w:t>
      </w:r>
    </w:p>
    <w:p>
      <w:pPr>
        <w:spacing w:after="0" w:line="71" w:lineRule="exact"/>
        <w:rPr>
          <w:rFonts w:ascii="Times New Roman" w:cs="Times New Roman" w:eastAsia="Times New Roman" w:hAnsi="Times New Roman"/>
          <w:sz w:val="18"/>
          <w:szCs w:val="18"/>
          <w:color w:val="auto"/>
        </w:rPr>
      </w:pPr>
    </w:p>
    <w:p>
      <w:pPr>
        <w:ind w:left="-20" w:firstLine="408"/>
        <w:spacing w:after="0" w:line="289" w:lineRule="auto"/>
        <w:tabs>
          <w:tab w:leader="none" w:pos="736" w:val="left"/>
        </w:tabs>
        <w:numPr>
          <w:ilvl w:val="0"/>
          <w:numId w:val="1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any withholding or deduction that is imposed in connection with Sections 1471-1474 of the U.S. Internal Revenue Code and U.S. Treasury regulations thereunder (“</w:t>
      </w:r>
      <w:r>
        <w:rPr>
          <w:rFonts w:ascii="Times New Roman" w:cs="Times New Roman" w:eastAsia="Times New Roman" w:hAnsi="Times New Roman"/>
          <w:sz w:val="17"/>
          <w:szCs w:val="17"/>
          <w:u w:val="single" w:color="auto"/>
          <w:color w:val="auto"/>
        </w:rPr>
        <w:t>FATCA</w:t>
      </w:r>
      <w:r>
        <w:rPr>
          <w:rFonts w:ascii="Times New Roman" w:cs="Times New Roman" w:eastAsia="Times New Roman" w:hAnsi="Times New Roman"/>
          <w:sz w:val="17"/>
          <w:szCs w:val="17"/>
          <w:color w:val="auto"/>
        </w:rPr>
        <w:t>”), any intergovernmental agreement between the United States and any other jurisdiction implementing or relating to FATCA or any non-U.S. law, regulation or guidance enacted or issued with respect thereto;</w:t>
      </w:r>
    </w:p>
    <w:p>
      <w:pPr>
        <w:spacing w:after="0" w:line="49" w:lineRule="exact"/>
        <w:rPr>
          <w:rFonts w:ascii="Times New Roman" w:cs="Times New Roman" w:eastAsia="Times New Roman" w:hAnsi="Times New Roman"/>
          <w:sz w:val="17"/>
          <w:szCs w:val="17"/>
          <w:color w:val="auto"/>
        </w:rPr>
      </w:pPr>
    </w:p>
    <w:p>
      <w:pPr>
        <w:ind w:left="800" w:hanging="412"/>
        <w:spacing w:after="0"/>
        <w:tabs>
          <w:tab w:leader="none" w:pos="80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Taxes payable otherwise than by deduction or withholding from payments under or with respect to any Security; or</w:t>
      </w:r>
    </w:p>
    <w:p>
      <w:pPr>
        <w:spacing w:after="0" w:line="117" w:lineRule="exact"/>
        <w:rPr>
          <w:rFonts w:ascii="Times New Roman" w:cs="Times New Roman" w:eastAsia="Times New Roman" w:hAnsi="Times New Roman"/>
          <w:sz w:val="18"/>
          <w:szCs w:val="18"/>
          <w:color w:val="auto"/>
        </w:rPr>
      </w:pPr>
    </w:p>
    <w:p>
      <w:pPr>
        <w:ind w:left="700" w:hanging="312"/>
        <w:spacing w:after="0"/>
        <w:tabs>
          <w:tab w:leader="none" w:pos="70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Taxes referred to in the preceding clauses (i) through (viii) above.”</w:t>
      </w:r>
    </w:p>
    <w:p>
      <w:pPr>
        <w:spacing w:after="0" w:line="15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9960"/>
          </w:cols>
          <w:pgMar w:left="1440" w:top="270" w:right="499" w:bottom="1440" w:gutter="0" w:footer="0" w:header="0"/>
        </w:sectPr>
      </w:pPr>
    </w:p>
    <w:bookmarkStart w:id="308" w:name="page309"/>
    <w:bookmarkEnd w:id="30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4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 Section 7.01(e) of the Base Indenture shall be replaced in its entirety by the following with respect to the Notes only:</w:t>
      </w:r>
    </w:p>
    <w:p>
      <w:pPr>
        <w:spacing w:after="0" w:line="11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 there occurs with respect to any indebtedness of the Company, whether such indebtedness exists as of the date hereof or shall hereafter be created, (A) an event of default that has resulted in the holder thereof declaring the principal of such indebtedness to be due and payable prior to its stated maturity or (B) a failure to make a payment of principal, interest or premium when due (after giving effect to the expiration of any applicable grace period therefor, a “Payment Default”) and (ii) the outstanding principal amount of such indebtedness, together with the outstanding principal amount of any of the Company’s other indebtedness under which there has been a Payment Default or the maturity of which has been so accelerated, is equal to or exceeds the greater of (x) US$100,000,000 (or the Dollar Equivalent thereof) and (y) 2.5% of the Total Equity of the Company;”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Section 7.01(f) of the Base Indenture shall be replaced in its entirety by the following with respect to the Notes only:</w:t>
      </w:r>
    </w:p>
    <w:p>
      <w:pPr>
        <w:spacing w:after="0" w:line="117"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“one or more final judgments or orders for the payment of money are rendered against the Company and are not paid or discharged, and there is a period of 90 consecutive days following entry of the final judgment or order that causes the aggregate amount for all such final judgments or orders outstanding and not paid or discharged against the Company (net of any amounts that the Company’s insurance carriers have paid or agreed to pay with respect thereto under applicable policies) to exceed the greater of (x) US$100,000,000 (or the Dollar Equivalent thereof) and (y) 2.5% of the Total Equity of the Company, during which a stay of enforcement, by reason of a pending appeal or otherwise, is not in effect;”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 First sentence of Section 7.02(b) of the Base Indenture shall be replaced in its entirety by the following with respect to the Notes only:</w:t>
      </w:r>
    </w:p>
    <w:p>
      <w:pPr>
        <w:spacing w:after="0" w:line="11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 the event of a declaration of acceleration with respect to the Securities of any series because of an Event of Default specified in Section 7.01(e) above shall occur, the declaration of acceleration with respect to the Securities of such series shall be automatically annulled if the Default triggering such Event of Default pursuant to Section 7.01(e) above shall be remedied or cured by the Company or waived by the holders of the relevant indebtedness within 30 days after the declaration of acceleration with respect thereto and:”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 Section 12.02(a)(i)(B) of the Base Indenture shall be replaced in its entirety by the following with respect to the Notes only:</w:t>
      </w:r>
    </w:p>
    <w:p>
      <w:pPr>
        <w:spacing w:after="0" w:line="11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“all Securities of such series that have not been delivered to the Registrar for cancellation have become due and payable by reason of the mailing of a notice of redemption or otherwise or will become due and payable within one year and the Company has irrevocably deposited or caused to be deposited with the Trustee (or its agent) as trust funds in trust solely for the benefit of the Holders, cash in CNY, in amounts as will be sufficient, without consideration of any reinvestment of interest, to pay and discharge the entire Indebtedness on such Securities not delivered to the Registrar for cancellation for principal, premium, if any, and accrued interest to the Stated Maturity or Redemption Date, as the case may be;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in the event a petition for relief under the Bankruptcy Code or any applicable state bankruptcy, insolvency or other similar law is filed with respect to the Company within 91 days after the deposit and the Trustee (or its agent) is required to return the moneys then on deposit with the Trustee to the Company, the obligations of the Company under this Indenture with respect to such Securities shall not be deemed terminated or discharged;”</w:t>
      </w:r>
    </w:p>
    <w:p>
      <w:pPr>
        <w:spacing w:after="0" w:line="121"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020"/>
          </w:cols>
          <w:pgMar w:left="1420" w:top="270" w:right="459" w:bottom="1440" w:gutter="0" w:footer="0" w:header="0"/>
        </w:sectPr>
      </w:pPr>
    </w:p>
    <w:bookmarkStart w:id="309" w:name="page310"/>
    <w:bookmarkEnd w:id="30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4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 Section 12.03(d)(i) of the Base Indenture shall be replaced in its entirety by the following with respect to the Notes only:</w:t>
      </w:r>
    </w:p>
    <w:p>
      <w:pPr>
        <w:spacing w:after="0" w:line="11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must irrevocably deposit with the Trustee (or its agent) as trust funds, in trust, for the benefit of the Holders of all Securities subject to Legal Defeasance or Covenant Defeasance, cash in CNY, in amounts as will be sufficient, in the opinion of a nationally recognized investment bank, appraisal firm or firm of independent public accountants to pay the principal of, or interest and premium on such Securities that are then Outstanding on the Stated Maturity or Redemption Date, as the case may be, and the Company must specify whether such Securities are being defeased to maturity or to a particular Redemption Date;”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 Section 14.01(h) of the Base Indenture shall be replaced in its entirety by the following with respect to the Notes only:</w:t>
      </w:r>
    </w:p>
    <w:p>
      <w:pPr>
        <w:spacing w:after="0" w:line="117"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“to conform the text of this Indenture or any series of the Securities to any provision of the section entitled “Description of the Notes” in the Offering Memorandum to the extent that such provision in the Offering Memorandum was intended to be a verbatim recitation of a provision of this Indenture or such series of the Securities as evidenced by an Officers’ Certificate;”</w:t>
      </w:r>
    </w:p>
    <w:p>
      <w:pPr>
        <w:spacing w:after="0" w:line="176" w:lineRule="exact"/>
        <w:rPr>
          <w:sz w:val="20"/>
          <w:szCs w:val="20"/>
          <w:color w:val="auto"/>
        </w:rPr>
      </w:pPr>
    </w:p>
    <w:p>
      <w:pPr>
        <w:ind w:right="260" w:firstLine="7"/>
        <w:spacing w:after="0" w:line="407" w:lineRule="auto"/>
        <w:tabs>
          <w:tab w:leader="none" w:pos="255"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Clause (ii) of Section 14.02(a) of the Base Indenture shall be replaced in its entirety by the following with respect to the Notes only: “reduce the principal amount of, payments of interest on or change the stated time for payment of interest on any Note;”</w:t>
      </w:r>
    </w:p>
    <w:p>
      <w:pPr>
        <w:spacing w:after="0" w:line="53" w:lineRule="exact"/>
        <w:rPr>
          <w:rFonts w:ascii="Times New Roman" w:cs="Times New Roman" w:eastAsia="Times New Roman" w:hAnsi="Times New Roman"/>
          <w:sz w:val="18"/>
          <w:szCs w:val="18"/>
          <w:color w:val="auto"/>
        </w:rPr>
      </w:pPr>
    </w:p>
    <w:p>
      <w:pPr>
        <w:ind w:left="260" w:hanging="253"/>
        <w:spacing w:after="0"/>
        <w:tabs>
          <w:tab w:leader="none" w:pos="26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Clause (xi) of Section 14.02(a) of the Base Indenture shall be replaced in its entirety by the following with respect to the Notes only:</w:t>
      </w:r>
    </w:p>
    <w:p>
      <w:pPr>
        <w:spacing w:after="0" w:line="11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“reduce the amount of the premium payable upon the redemption or repurchase of any Security or change the time at which any Security may be redeemed or repurchased as described in Section 4.07 of the Base Indenture or as described in Section 2.03 or 2.05 of the Twelfth Supplemental Indenture, whether through an amendment or waiver of provisions in the covenants, definitions or otherwise (except through amendments to the definition of “</w:t>
      </w:r>
      <w:r>
        <w:rPr>
          <w:rFonts w:ascii="Times New Roman" w:cs="Times New Roman" w:eastAsia="Times New Roman" w:hAnsi="Times New Roman"/>
          <w:sz w:val="18"/>
          <w:szCs w:val="18"/>
          <w:u w:val="single" w:color="auto"/>
          <w:color w:val="auto"/>
        </w:rPr>
        <w:t>Triggering Event</w:t>
      </w:r>
      <w:r>
        <w:rPr>
          <w:rFonts w:ascii="Times New Roman" w:cs="Times New Roman" w:eastAsia="Times New Roman" w:hAnsi="Times New Roman"/>
          <w:sz w:val="18"/>
          <w:szCs w:val="18"/>
          <w:color w:val="auto"/>
        </w:rPr>
        <w:t>” if applicable).”</w:t>
      </w:r>
    </w:p>
    <w:p>
      <w:pPr>
        <w:spacing w:after="0" w:line="112"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020"/>
          </w:cols>
          <w:pgMar w:left="1420" w:top="270" w:right="459" w:bottom="1440" w:gutter="0" w:footer="0" w:header="0"/>
        </w:sectPr>
      </w:pPr>
    </w:p>
    <w:bookmarkStart w:id="310" w:name="page311"/>
    <w:bookmarkEnd w:id="310"/>
    <w:p>
      <w:pPr>
        <w:ind w:left="-20" w:right="200" w:firstLine="987"/>
        <w:spacing w:after="0" w:line="282" w:lineRule="auto"/>
        <w:tabs>
          <w:tab w:leader="none" w:pos="1226"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4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 respect to the Notes only, all references in the Base Indenture to the Trustee in the context of authenticating and delivery of any Securities shall be deemed to include references to the Registrar as defined in this Twelfth Supplemental Indenture.</w:t>
      </w:r>
    </w:p>
    <w:p>
      <w:pPr>
        <w:spacing w:after="0" w:line="161" w:lineRule="exact"/>
        <w:rPr>
          <w:rFonts w:ascii="Times New Roman" w:cs="Times New Roman" w:eastAsia="Times New Roman" w:hAnsi="Times New Roman"/>
          <w:sz w:val="18"/>
          <w:szCs w:val="18"/>
          <w:color w:val="auto"/>
        </w:rPr>
      </w:pPr>
    </w:p>
    <w:p>
      <w:pPr>
        <w:ind w:left="-20" w:right="120" w:firstLine="987"/>
        <w:spacing w:after="0" w:line="266" w:lineRule="auto"/>
        <w:tabs>
          <w:tab w:leader="none" w:pos="1226"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Notes only, provisions of the Base Indenture relating to the conduct or affecting the liability or offering protection, privilege, immunity or indemnity to the Trustee shall be deemed to apply with the same force and effect to, and shall be enforceable by The Bank of New York Mellon, Hong Kong Branch acting in its capacities as CMU Lodging and Paying Agent, Transfer Agent and Registrar.</w:t>
      </w:r>
    </w:p>
    <w:p>
      <w:pPr>
        <w:spacing w:after="0" w:line="175" w:lineRule="exact"/>
        <w:rPr>
          <w:rFonts w:ascii="Times New Roman" w:cs="Times New Roman" w:eastAsia="Times New Roman" w:hAnsi="Times New Roman"/>
          <w:sz w:val="18"/>
          <w:szCs w:val="18"/>
          <w:color w:val="auto"/>
        </w:rPr>
      </w:pPr>
    </w:p>
    <w:p>
      <w:pPr>
        <w:ind w:left="1200" w:hanging="233"/>
        <w:spacing w:after="0"/>
        <w:tabs>
          <w:tab w:leader="none" w:pos="120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Notes only, a new Section 11.01(s) shall be added as follows to the Base Indenture:</w:t>
      </w:r>
    </w:p>
    <w:p>
      <w:pPr>
        <w:spacing w:after="0" w:line="117" w:lineRule="exact"/>
        <w:rPr>
          <w:sz w:val="20"/>
          <w:szCs w:val="20"/>
          <w:color w:val="auto"/>
        </w:rPr>
      </w:pPr>
    </w:p>
    <w:p>
      <w:pPr>
        <w:ind w:left="960" w:right="200"/>
        <w:spacing w:after="0" w:line="255" w:lineRule="auto"/>
        <w:rPr>
          <w:sz w:val="20"/>
          <w:szCs w:val="20"/>
          <w:color w:val="auto"/>
        </w:rPr>
      </w:pPr>
      <w:r>
        <w:rPr>
          <w:rFonts w:ascii="Times New Roman" w:cs="Times New Roman" w:eastAsia="Times New Roman" w:hAnsi="Times New Roman"/>
          <w:sz w:val="18"/>
          <w:szCs w:val="18"/>
          <w:color w:val="auto"/>
        </w:rPr>
        <w:t>“In no event shall the Trustee, the CMU Lodging and Paying Agent, the Transfer Agent and the Registrar (collectively, the “</w:t>
      </w:r>
      <w:r>
        <w:rPr>
          <w:rFonts w:ascii="Times New Roman" w:cs="Times New Roman" w:eastAsia="Times New Roman" w:hAnsi="Times New Roman"/>
          <w:sz w:val="18"/>
          <w:szCs w:val="18"/>
          <w:u w:val="single" w:color="auto"/>
          <w:color w:val="auto"/>
        </w:rPr>
        <w:t>Agents</w:t>
      </w:r>
      <w:r>
        <w:rPr>
          <w:rFonts w:ascii="Times New Roman" w:cs="Times New Roman" w:eastAsia="Times New Roman" w:hAnsi="Times New Roman"/>
          <w:sz w:val="18"/>
          <w:szCs w:val="18"/>
          <w:color w:val="auto"/>
        </w:rPr>
        <w:t>”) be liable for any losses arising from the Trustee and/or the Agents receiving any data from or transmitting any data to the Company, the Trustee and/or the Agents (or any Authorised Person) or acting upon any notice, instruction or other communications via any Electronic Means. The Trustee and/or the Agents have no duty or obligation to verify or confirm that the person who sent such instructions or directions is, in fact, a person authorised to give instructions or directions on behalf of the Company (or any Authorised Person). The Company agrees that the security procedures, if any, to be followed in connection with a transmission of any such notice, instructions or other communications, provide to it a commercially reasonable degree of protection in light of its particular needs and circumstances.</w:t>
      </w:r>
    </w:p>
    <w:p>
      <w:pPr>
        <w:spacing w:after="0" w:line="81" w:lineRule="exact"/>
        <w:rPr>
          <w:sz w:val="20"/>
          <w:szCs w:val="20"/>
          <w:color w:val="auto"/>
        </w:rPr>
      </w:pPr>
    </w:p>
    <w:p>
      <w:pPr>
        <w:ind w:left="96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Electronic Means</w:t>
      </w:r>
      <w:r>
        <w:rPr>
          <w:rFonts w:ascii="Times New Roman" w:cs="Times New Roman" w:eastAsia="Times New Roman" w:hAnsi="Times New Roman"/>
          <w:sz w:val="18"/>
          <w:szCs w:val="18"/>
          <w:color w:val="auto"/>
        </w:rPr>
        <w:t>” shall mean the following communications methods: (i) non-secure methods of transmission or communication such as e-mail transmission and (ii) secure electronic transmission containing applicable authorisation codes, passwords and/or authentication keys issued by the Trustee and/or the Agents, or another method or system specified by the Trustee and/or the Agents as available for use in connection with its services hereunder.</w:t>
      </w:r>
    </w:p>
    <w:p>
      <w:pPr>
        <w:spacing w:after="0" w:line="68" w:lineRule="exact"/>
        <w:rPr>
          <w:sz w:val="20"/>
          <w:szCs w:val="20"/>
          <w:color w:val="auto"/>
        </w:rPr>
      </w:pPr>
    </w:p>
    <w:p>
      <w:pPr>
        <w:jc w:val="both"/>
        <w:ind w:left="960" w:right="8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Authorised Person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means any person included in the Officers’ Certificate setting forth the names of individuals and/or titles of officers of the Company authorized at to take specified actions pursuant to the Indenture that the Company has delivered and/or shall from time to time deliver to the Trustee pursuant to Section 11.01(p) of the Indenture.”</w:t>
      </w:r>
    </w:p>
    <w:p>
      <w:pPr>
        <w:spacing w:after="0" w:line="17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(s) With respect to the Notes only, a new Section 11.01(t) shall be added as follows to the Base Indenture:</w:t>
      </w:r>
    </w:p>
    <w:p>
      <w:pPr>
        <w:spacing w:after="0" w:line="117" w:lineRule="exact"/>
        <w:rPr>
          <w:sz w:val="20"/>
          <w:szCs w:val="20"/>
          <w:color w:val="auto"/>
        </w:rPr>
      </w:pPr>
    </w:p>
    <w:p>
      <w:pPr>
        <w:ind w:left="960" w:right="20"/>
        <w:spacing w:after="0" w:line="266" w:lineRule="auto"/>
        <w:rPr>
          <w:sz w:val="20"/>
          <w:szCs w:val="20"/>
          <w:color w:val="auto"/>
        </w:rPr>
      </w:pPr>
      <w:r>
        <w:rPr>
          <w:rFonts w:ascii="Times New Roman" w:cs="Times New Roman" w:eastAsia="Times New Roman" w:hAnsi="Times New Roman"/>
          <w:sz w:val="18"/>
          <w:szCs w:val="18"/>
          <w:color w:val="auto"/>
        </w:rPr>
        <w:t>“The Company covenants and represents that neither it nor any of its affiliates, subsidiaries, directors or officers are the target or subject of any sanctions enforced by the US Government, (including the Office of Foreign Assets Control of the U.S. Department of the Treasury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the United Nations Security Council, the European Union or HM Treasury (collectively “</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80"/>
          </w:cols>
          <w:pgMar w:left="460" w:top="270" w:right="459" w:bottom="1440" w:gutter="0" w:footer="0" w:header="0"/>
        </w:sectPr>
      </w:pPr>
    </w:p>
    <w:bookmarkStart w:id="311" w:name="page312"/>
    <w:bookmarkEnd w:id="311"/>
    <w:p>
      <w:pPr>
        <w:ind w:left="980" w:right="1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4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covenants and represents that neither it nor any of its affiliates, subsidiaries, directors or officers will use any payments made pursuant to this Indenture, (i) to fund or facilitate any prohibited activities of or business with any person who, at the time of such funding or facilitation, is the subject or target of Sanctions, (ii) to fund or facilitate any prohibited activities of or business with any country or territory that is the target or subject of Sanctions, or (iii) in any other manner that will result in a violation of Sanctions by any person.”</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 With respect to the Notes only, a new Section 11.01(u) shall be added as follows to the Base Indenture:</w:t>
      </w:r>
    </w:p>
    <w:p>
      <w:pPr>
        <w:spacing w:after="0" w:line="117" w:lineRule="exact"/>
        <w:rPr>
          <w:sz w:val="20"/>
          <w:szCs w:val="20"/>
          <w:color w:val="auto"/>
        </w:rPr>
      </w:pPr>
    </w:p>
    <w:p>
      <w:pPr>
        <w:ind w:left="980"/>
        <w:spacing w:after="0" w:line="256" w:lineRule="auto"/>
        <w:rPr>
          <w:sz w:val="20"/>
          <w:szCs w:val="20"/>
          <w:color w:val="auto"/>
        </w:rPr>
      </w:pPr>
      <w:r>
        <w:rPr>
          <w:rFonts w:ascii="Times New Roman" w:cs="Times New Roman" w:eastAsia="Times New Roman" w:hAnsi="Times New Roman"/>
          <w:sz w:val="18"/>
          <w:szCs w:val="18"/>
          <w:color w:val="auto"/>
        </w:rPr>
        <w:t>“If any payment provided for by Article 6 is made late but otherwise under the terms of the Indenture, the Company shall deliver such forms, instructions and information as are required by the CMU or the CMU Lodging and Paying Agent in order for the CMU Lodging and Paying Agent to process a late payment on such Notes including (but not limited to) noteholder account information and noteholder know-your-customer information. The Company acknowledges that such late payment shall not be made by the CMU Lodging and Paying Agent unless and until all forms, instructions and information required by CMU or the CMU Lodging and Paying Agent have been delivered to the CMU Lodging and Paying Agent by the Company pursuant to this Section.”</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MISCELLANEOUS PROVISIONS</w:t>
      </w:r>
    </w:p>
    <w:p>
      <w:pPr>
        <w:spacing w:after="0" w:line="229"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Confirmation of Indenture</w:t>
      </w:r>
      <w:r>
        <w:rPr>
          <w:rFonts w:ascii="Times New Roman" w:cs="Times New Roman" w:eastAsia="Times New Roman" w:hAnsi="Times New Roman"/>
          <w:sz w:val="18"/>
          <w:szCs w:val="18"/>
          <w:color w:val="auto"/>
        </w:rPr>
        <w:t>. The Base Indenture, as supplemented and amended by this Twelfth Supplemental Indenture, is in all respects ratified and confirmed, and the Base Indenture, this Twelfth Supplemental Indenture and all indentures supplemental thereto with respect to the Notes shall be read, taken and construed as one and the same instrument.</w:t>
      </w:r>
    </w:p>
    <w:p>
      <w:pPr>
        <w:spacing w:after="0" w:line="176"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in this Twelfth Supplemental Indenture or in the Notes shall be held to be invalid, illegal or unenforceable under applicable law, then the remaining provisions in this Twelfth Supplemental Indenture or in the Notes shall be construed as though such invalid, illegal or unenforceable provision were not contained herein.</w:t>
      </w:r>
    </w:p>
    <w:p>
      <w:pPr>
        <w:spacing w:after="0" w:line="176"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u w:val="single" w:color="auto"/>
          <w:color w:val="auto"/>
        </w:rPr>
        <w:t>Conflicts with Base Indenture</w:t>
      </w:r>
      <w:r>
        <w:rPr>
          <w:rFonts w:ascii="Times New Roman" w:cs="Times New Roman" w:eastAsia="Times New Roman" w:hAnsi="Times New Roman"/>
          <w:sz w:val="18"/>
          <w:szCs w:val="18"/>
          <w:color w:val="auto"/>
        </w:rPr>
        <w:t>. In the event that any provision of this Twelfth Supplemental Indenture limits, qualifies or conflicts with a provision of the Base Indenture, such provision of the Twelfth Supplemental Indenture shall prevail.</w:t>
      </w:r>
    </w:p>
    <w:p>
      <w:pPr>
        <w:spacing w:after="0" w:line="162"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3.04 </w:t>
      </w:r>
      <w:r>
        <w:rPr>
          <w:rFonts w:ascii="Times New Roman" w:cs="Times New Roman" w:eastAsia="Times New Roman" w:hAnsi="Times New Roman"/>
          <w:sz w:val="18"/>
          <w:szCs w:val="18"/>
          <w:u w:val="single" w:color="auto"/>
          <w:color w:val="auto"/>
        </w:rPr>
        <w:t>Benefits of Indenture</w:t>
      </w:r>
      <w:r>
        <w:rPr>
          <w:rFonts w:ascii="Times New Roman" w:cs="Times New Roman" w:eastAsia="Times New Roman" w:hAnsi="Times New Roman"/>
          <w:sz w:val="18"/>
          <w:szCs w:val="18"/>
          <w:color w:val="auto"/>
        </w:rPr>
        <w:t>. Nothing in this Twelfth Supplemental Indenture expressed and nothing that may be implied from any of the provisions hereof is intended, or shall be construed, to confer upon, or to give to, any Person other than the parties hereto and their successors and the Holders of the Notes any benefit or any right, remedy or claim under or by reason of this Twelfth Supplement Indenture or the Base Indenture or any covenant, condition, stipulation, promise or agreement hereof or thereof, and all covenants, conditions, stipulations, promises and agreements contained herein or therein shall be for the sole and exclusive benefit of the parties hereto and their successors and of the Holders of the Notes.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80"/>
          </w:cols>
          <w:pgMar w:left="440" w:top="270" w:right="479" w:bottom="1440" w:gutter="0" w:footer="0" w:header="0"/>
        </w:sectPr>
      </w:pPr>
    </w:p>
    <w:bookmarkStart w:id="312" w:name="page313"/>
    <w:bookmarkEnd w:id="312"/>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4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3.05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Twelfth Supplemental Indenture may be executed in any number of counterparts, each of which so executed shall be deemed to be an original, but all such counterparts shall together constitute but one and the same instrument.</w:t>
      </w:r>
    </w:p>
    <w:p>
      <w:pPr>
        <w:spacing w:after="0" w:line="162"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3.06 </w:t>
      </w:r>
      <w:r>
        <w:rPr>
          <w:rFonts w:ascii="Times New Roman" w:cs="Times New Roman" w:eastAsia="Times New Roman" w:hAnsi="Times New Roman"/>
          <w:sz w:val="18"/>
          <w:szCs w:val="18"/>
          <w:u w:val="single" w:color="auto"/>
          <w:color w:val="auto"/>
        </w:rPr>
        <w:t>Governing Law; Waiver of Trial by Jury</w:t>
      </w:r>
      <w:r>
        <w:rPr>
          <w:rFonts w:ascii="Times New Roman" w:cs="Times New Roman" w:eastAsia="Times New Roman" w:hAnsi="Times New Roman"/>
          <w:sz w:val="18"/>
          <w:szCs w:val="18"/>
          <w:color w:val="auto"/>
        </w:rPr>
        <w:t>. This Twelfth Supplemental Indenture and the Notes shall be deemed to be contracts made under the law of the State of New York, and for all purposes shall be governed by and construed in accordance with the law of said State (without regard to conflicts of laws principles thereof that would permit the application of the laws of another jurisdiction).</w:t>
      </w:r>
    </w:p>
    <w:p>
      <w:pPr>
        <w:spacing w:after="0" w:line="176"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EACH OF THE COMPANY AND THE TRUSTEE HEREBY WAIVES, TO THE FULLEST EXTENT PERMITTED BY APPLICABLE LAW, ANY RIGHT IT MAY HAVE TO A TRIAL BY JURY IN RESPECT OF ANY LITIGATION DIRECTLY OR INDIRECTLY ARISING OUT OF, UNDER OR IN CONNECTION WITH THIS TWELFTH SUPPLEMENTAL INDENTURE.</w:t>
      </w:r>
    </w:p>
    <w:p>
      <w:pPr>
        <w:spacing w:after="0" w:line="176" w:lineRule="exact"/>
        <w:rPr>
          <w:sz w:val="20"/>
          <w:szCs w:val="20"/>
          <w:color w:val="auto"/>
        </w:rPr>
      </w:pPr>
    </w:p>
    <w:p>
      <w:pPr>
        <w:ind w:right="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3.07 </w:t>
      </w:r>
      <w:r>
        <w:rPr>
          <w:rFonts w:ascii="Times New Roman" w:cs="Times New Roman" w:eastAsia="Times New Roman" w:hAnsi="Times New Roman"/>
          <w:sz w:val="18"/>
          <w:szCs w:val="18"/>
          <w:u w:val="single" w:color="auto"/>
          <w:color w:val="auto"/>
        </w:rPr>
        <w:t>Information Sharing</w:t>
      </w:r>
      <w:r>
        <w:rPr>
          <w:rFonts w:ascii="Times New Roman" w:cs="Times New Roman" w:eastAsia="Times New Roman" w:hAnsi="Times New Roman"/>
          <w:sz w:val="18"/>
          <w:szCs w:val="18"/>
          <w:color w:val="auto"/>
        </w:rPr>
        <w:t>. The Company understands that The Bank of New York Mellon is a global financial organization that operates in and provides services and products to clients through affiliates and subsidiaries located in multiple jurisdictions (the “</w:t>
      </w:r>
      <w:r>
        <w:rPr>
          <w:rFonts w:ascii="Times New Roman" w:cs="Times New Roman" w:eastAsia="Times New Roman" w:hAnsi="Times New Roman"/>
          <w:sz w:val="18"/>
          <w:szCs w:val="18"/>
          <w:u w:val="single" w:color="auto"/>
          <w:color w:val="auto"/>
        </w:rPr>
        <w:t>BNY Mellon Group</w:t>
      </w:r>
      <w:r>
        <w:rPr>
          <w:rFonts w:ascii="Times New Roman" w:cs="Times New Roman" w:eastAsia="Times New Roman" w:hAnsi="Times New Roman"/>
          <w:sz w:val="18"/>
          <w:szCs w:val="18"/>
          <w:color w:val="auto"/>
        </w:rPr>
        <w:t>”). The Company also understands that the BNY Mellon Group may centralize in one or more affiliates, subsidiaries or unaffiliated service providers certain activities, including audit, accounting, administration, risk management, legal, compliance, sales, marketing, relationship management, and the storage, maintenance, aggregation, processing and analysis of information and data regarding the Company and any accounts maintained by it with the BNY Mellon Group. Consequently, the Company hereby consents and authorizes The Bank of New York Mellon to disclose to other members of the BNY Mellon Group (and their respective officers, directors and employees) on a need-to-know basis information and data regarding the Company and any accounts established pursuant to this Twelfth Supplemental Indenture in connection with the foregoing activities. To the extent that information and data includes personal data encompassed by relevant data protection legislation applicable to the Company, the Company represents and warrants that it is authorized to provide the foregoing consents and authorizations and that the disclosure to The Bank of New York Mellon will comply with the relevant data protection legislation. The Company acknowledges and agrees that information concerning the Company may be disclosed to unaffiliated service providers that the Trustee, where practicable, has previously identified in writing to the Company and who are required in writing to maintain the same level of confidentiality of such information, or when required by law to governmental and regulatory authorities in jurisdictions where the BNY Mellon Group operates.</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[Signatures on following page]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80"/>
          </w:cols>
          <w:pgMar w:left="440" w:top="270" w:right="479" w:bottom="1440" w:gutter="0" w:footer="0" w:header="0"/>
        </w:sectPr>
      </w:pPr>
    </w:p>
    <w:bookmarkStart w:id="313" w:name="page314"/>
    <w:bookmarkEnd w:id="31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4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caused this Twelfth Supplemental Indenture to be duly executed as of the date first written above.</w:t>
      </w:r>
    </w:p>
    <w:p>
      <w:pPr>
        <w:spacing w:after="0" w:line="25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BAIDU, INC.,</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as Issuer</w:t>
      </w:r>
    </w:p>
    <w:p>
      <w:pPr>
        <w:spacing w:after="0" w:line="220" w:lineRule="exact"/>
        <w:rPr>
          <w:sz w:val="20"/>
          <w:szCs w:val="20"/>
          <w:color w:val="auto"/>
        </w:rPr>
      </w:pPr>
    </w:p>
    <w:tbl>
      <w:tblPr>
        <w:tblLayout w:type="fixed"/>
        <w:tblInd w:w="618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Haijian He</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Haijian He</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0580"/>
          </w:cols>
          <w:pgMar w:left="880" w:top="270" w:right="439" w:bottom="1440" w:gutter="0" w:footer="0" w:header="0"/>
        </w:sectPr>
      </w:pPr>
    </w:p>
    <w:bookmarkStart w:id="314" w:name="page315"/>
    <w:bookmarkEnd w:id="314"/>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4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BANK OF NEW YORK MELLON</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Trustee</w:t>
      </w:r>
    </w:p>
    <w:p>
      <w:pPr>
        <w:spacing w:after="0" w:line="220"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Joe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48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Joe Lin</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Vice President</w:t>
      </w:r>
    </w:p>
    <w:p>
      <w:pPr>
        <w:sectPr>
          <w:pgSz w:w="11900" w:h="16838" w:orient="portrait"/>
          <w:cols w:equalWidth="0" w:num="1">
            <w:col w:w="9019"/>
          </w:cols>
          <w:pgMar w:left="1440" w:top="270" w:right="1440" w:bottom="1440" w:gutter="0" w:footer="0" w:header="0"/>
        </w:sectPr>
      </w:pPr>
    </w:p>
    <w:bookmarkStart w:id="315" w:name="page316"/>
    <w:bookmarkEnd w:id="315"/>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4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BANK OF NEW YORK MELLON,</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HONG KONG BRANCH</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CMU Lodging and Paying Agent,</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Transfer Agent and Registrar</w:t>
      </w:r>
    </w:p>
    <w:p>
      <w:pPr>
        <w:spacing w:after="0" w:line="220"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Joe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49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Joe Lin</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Vice President</w:t>
      </w:r>
    </w:p>
    <w:p>
      <w:pPr>
        <w:sectPr>
          <w:pgSz w:w="11900" w:h="16838" w:orient="portrait"/>
          <w:cols w:equalWidth="0" w:num="1">
            <w:col w:w="9019"/>
          </w:cols>
          <w:pgMar w:left="1440" w:top="270" w:right="1440" w:bottom="1440" w:gutter="0" w:footer="0" w:header="0"/>
        </w:sectPr>
      </w:pPr>
    </w:p>
    <w:bookmarkStart w:id="316" w:name="page317"/>
    <w:bookmarkEnd w:id="316"/>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4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1.90% NOTES DUE 2029</w:t>
      </w:r>
    </w:p>
    <w:p>
      <w:pPr>
        <w:spacing w:after="0" w:line="225" w:lineRule="exact"/>
        <w:rPr>
          <w:sz w:val="20"/>
          <w:szCs w:val="20"/>
          <w:color w:val="auto"/>
        </w:rPr>
      </w:pPr>
    </w:p>
    <w:p>
      <w:pPr>
        <w:ind w:left="9760"/>
        <w:spacing w:after="0"/>
        <w:rPr>
          <w:sz w:val="20"/>
          <w:szCs w:val="20"/>
          <w:color w:val="auto"/>
        </w:rPr>
      </w:pPr>
      <w:r>
        <w:rPr>
          <w:rFonts w:ascii="Times New Roman" w:cs="Times New Roman" w:eastAsia="Times New Roman" w:hAnsi="Times New Roman"/>
          <w:sz w:val="17"/>
          <w:szCs w:val="17"/>
          <w:color w:val="auto"/>
        </w:rPr>
        <w:t>FACE OF NOTE</w:t>
      </w:r>
    </w:p>
    <w:p>
      <w:pPr>
        <w:spacing w:after="0" w:line="233"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For Inclusion in a Global Security only –</w:t>
      </w:r>
      <w:r>
        <w:rPr>
          <w:rFonts w:ascii="Times New Roman" w:cs="Times New Roman" w:eastAsia="Times New Roman" w:hAnsi="Times New Roman"/>
          <w:sz w:val="18"/>
          <w:szCs w:val="18"/>
          <w:color w:val="auto"/>
        </w:rPr>
        <w:t xml:space="preserve"> THIS SECURITY HAS NOT BEEN REGISTERED UNDER THE UNITED STATES SECURITIES ACT OF 1933, AS AMENDED (THE “SECURITIES ACT”), OR THE SECURITIES LAWS OF ANY STATE OR OTHER JURISDICTION. NEITHER THIS SECURITY NOR ANY INTEREST OR PARTICIPATION HEREIN MAY BE REOFFERED, SOLD, ASSIGNED, TRANSFERRED, PLEDGED, ENCUMBERED OR OTHERWISE DISPOSED OF IN THE ABSENCE OF SUCH REGISTRATION OR UNLESS SUCH TRANSACTION IS EXEMPT FROM, OR NOT SUBJECT TO, SUCH REGISTRATION.</w:t>
      </w:r>
    </w:p>
    <w:p>
      <w:pPr>
        <w:spacing w:after="0" w:line="18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HOLDER OF THIS SECURITY, BY ITS ACCEPTANCE HEREOF, AGREES ON ITS OWN BEHALF AND ON BEHALF OF ANY INVESTOR ACCOUNT FOR WHICH IT HAS PURCHASED SUCH SECURITY, TO OFFER, SELL OR OTHERWISE TRANSFER SUCH SECURITY, PRIOR TO THE DATE (THE “RESALE RESTRICTION TERMINATION DATE”) THAT IS 40 DAYS AFTER THE LATER OF THE ORIGINAL ISSUE DATE HEREOF AND THE LAST DATE ON WHICH THE ISSUER OR ANY AFFILIATE OF THE ISSUER WAS THE OWNER OF THIS SECURITY (OR ANY PREDECESSOR OF SUCH SECURITY), ONLY (A) TO THE ISSUER (B) PURSUANT TO A REGISTRATION STATEMENT THAT HAS BEEN DECLARED EFFECTIVE UNDER THE SECURITIES ACT, (C) PURSUANT TO OFFERS AND SALES TO NON-US PERSONS THAT OCCUR OUTSIDE THE UNITED STATES WITHIN THE MEANING OF REGULATION S UNDER THE SECURITIES ACT, OR (D) PURSUANT TO ANOTHER AVAILABLE EXEMPTION FROM THE REGISTRATION REQUIREMENTS OF THE SECURITIES ACT, SUBJECT TO THE ISSUER’S AND THE TRANSFER AGENT’S RIGHT PRIOR TO ANY SUCH OFFER, SALE OR TRANSFER PURSUANT TO CLAUSE (D) TO REQUIRE THE DELIVERY OF AN OPINION OF COUNSEL, CERTIFICATION AND/OR OTHER INFORMATION SATISFACTORY TO EACH OF THEM. THIS LEGEND WILL BE REMOVED UPON THE REQUEST OF THE HOLDER AFTER THE RESALE RESTRICTION TERMINATION DATE.</w:t>
      </w:r>
    </w:p>
    <w:p>
      <w:pPr>
        <w:spacing w:after="0" w:line="19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UNLESS AND UNTIL IT IS EXCHANGED IN WHOLE OR IN PART FOR THE INDIVIDUAL SECURITIES REPRESENTED HEREBY, THIS GLOBAL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1020"/>
          </w:cols>
          <w:pgMar w:left="440" w:top="266" w:right="439" w:bottom="1440" w:gutter="0" w:footer="0" w:header="0"/>
        </w:sectPr>
      </w:pPr>
    </w:p>
    <w:bookmarkStart w:id="317" w:name="page318"/>
    <w:bookmarkEnd w:id="317"/>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4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BAIDU,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1.90% Note Due 2029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AMOUNT: CNY_________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ISIN / Common Code / CMU Instrument No: HK0001186094 / 317015089 / BNYHFN25169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_________</w:t>
      </w:r>
    </w:p>
    <w:p>
      <w:pPr>
        <w:spacing w:after="0" w:line="207" w:lineRule="exact"/>
        <w:rPr>
          <w:sz w:val="20"/>
          <w:szCs w:val="20"/>
          <w:color w:val="auto"/>
        </w:rPr>
      </w:pPr>
    </w:p>
    <w:p>
      <w:pPr>
        <w:ind w:right="240" w:firstLine="440"/>
        <w:spacing w:after="0" w:line="272" w:lineRule="auto"/>
        <w:rPr>
          <w:sz w:val="20"/>
          <w:szCs w:val="20"/>
          <w:color w:val="auto"/>
        </w:rPr>
      </w:pPr>
      <w:r>
        <w:rPr>
          <w:rFonts w:ascii="Times New Roman" w:cs="Times New Roman" w:eastAsia="Times New Roman" w:hAnsi="Times New Roman"/>
          <w:sz w:val="17"/>
          <w:szCs w:val="17"/>
          <w:color w:val="auto"/>
        </w:rPr>
        <w:t>Baidu, Inc., an exempted company incorporated in the Cayman Islands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which term includes any successor thereto under the Indenture referred to on the reverse hereof), for value received, hereby promises to pay to The Bank of New York Depository (Nominees) Limited, or registered assigns, the principal sum of __________________ RENMINBI (CNY_____) (or such other principal amount as shall be set forth in the</w:t>
      </w:r>
    </w:p>
    <w:p>
      <w:pPr>
        <w:spacing w:after="0" w:line="2"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Schedule of Increases or Decreases in Note attached hereto) on September 15, 2029, or on such earlier date as the principal hereof may become due in accordance with the provisions of this Note.</w:t>
      </w:r>
    </w:p>
    <w:p>
      <w:pPr>
        <w:spacing w:after="0" w:line="1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Interest Rate: 1.90% per annum.</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Interest Payment Dates: March 15 and September 15, commencing March 15, 2026</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Record Dates: One Clearing System Business Day immediately preceding an Interest Payment Date.</w:t>
      </w:r>
    </w:p>
    <w:p>
      <w:pPr>
        <w:spacing w:after="0" w:line="225" w:lineRule="exact"/>
        <w:rPr>
          <w:sz w:val="20"/>
          <w:szCs w:val="20"/>
          <w:color w:val="auto"/>
        </w:rPr>
      </w:pPr>
    </w:p>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t>Reference is made to the further provisions of this Note set forth on the reverse hereof. Such further provisions shall for all purposes have the same effect as though fully set forth at this place.</w:t>
      </w:r>
    </w:p>
    <w:p>
      <w:pPr>
        <w:spacing w:after="0" w:line="162"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This Note shall not be valid or become obligatory for any purpose until the certificate of authentication hereon shall have been manually signed by the Registrar under the Indenture referred to on the reverse hereof.</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1000"/>
          </w:cols>
          <w:pgMar w:left="440" w:top="270" w:right="459" w:bottom="1440" w:gutter="0" w:footer="0" w:header="0"/>
        </w:sectPr>
      </w:pPr>
    </w:p>
    <w:bookmarkStart w:id="318" w:name="page319"/>
    <w:bookmarkEnd w:id="31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4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Baidu, Inc. has caused this Note to be duly executed.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 2025</w:t>
      </w:r>
    </w:p>
    <w:p>
      <w:pPr>
        <w:spacing w:after="0" w:line="25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color w:val="auto"/>
        </w:rPr>
        <w:t>BAIDU, INC.</w:t>
      </w:r>
    </w:p>
    <w:p>
      <w:pPr>
        <w:spacing w:after="0" w:line="23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4398645</wp:posOffset>
            </wp:positionH>
            <wp:positionV relativeFrom="paragraph">
              <wp:posOffset>17145</wp:posOffset>
            </wp:positionV>
            <wp:extent cx="2314575"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495">
                      <a:extLst>
                        <a:ext uri="{28A0092B-C50C-407E-A947-70E740481C1C}"/>
                      </a:extLst>
                    </a:blip>
                    <a:srcRect/>
                    <a:stretch>
                      <a:fillRect/>
                    </a:stretch>
                  </pic:blipFill>
                  <pic:spPr bwMode="auto">
                    <a:xfrm>
                      <a:off x="0" y="0"/>
                      <a:ext cx="2314575"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A-3</w:t>
      </w:r>
    </w:p>
    <w:p>
      <w:pPr>
        <w:sectPr>
          <w:pgSz w:w="11900" w:h="16838" w:orient="portrait"/>
          <w:cols w:equalWidth="0" w:num="1">
            <w:col w:w="9579"/>
          </w:cols>
          <w:pgMar w:left="880" w:top="270" w:right="1440" w:bottom="1440" w:gutter="0" w:footer="0" w:header="0"/>
        </w:sectPr>
      </w:pPr>
    </w:p>
    <w:bookmarkStart w:id="319" w:name="page320"/>
    <w:bookmarkEnd w:id="319"/>
    <w:p>
      <w:pPr>
        <w:ind w:left="40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4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CERTIFICATE OF AUTHENTICATION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is one of the Securities of the series designated therein referred to in the within-mentioned Indenture.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authentication:</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THE BANK OF NEW YORK MELLON,</w:t>
      </w:r>
    </w:p>
    <w:p>
      <w:pPr>
        <w:spacing w:after="0" w:line="3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HONG KONG BRANCH</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as Registrar</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4678045</wp:posOffset>
            </wp:positionH>
            <wp:positionV relativeFrom="paragraph">
              <wp:posOffset>17145</wp:posOffset>
            </wp:positionV>
            <wp:extent cx="2314575"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497">
                      <a:extLst>
                        <a:ext uri="{28A0092B-C50C-407E-A947-70E740481C1C}"/>
                      </a:extLst>
                    </a:blip>
                    <a:srcRect/>
                    <a:stretch>
                      <a:fillRect/>
                    </a:stretch>
                  </pic:blipFill>
                  <pic:spPr bwMode="auto">
                    <a:xfrm>
                      <a:off x="0" y="0"/>
                      <a:ext cx="231457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A-4</w:t>
      </w:r>
    </w:p>
    <w:p>
      <w:pPr>
        <w:sectPr>
          <w:pgSz w:w="11900" w:h="16838" w:orient="portrait"/>
          <w:cols w:equalWidth="0" w:num="1">
            <w:col w:w="10019"/>
          </w:cols>
          <w:pgMar w:left="440" w:top="270" w:right="1440" w:bottom="1440" w:gutter="0" w:footer="0" w:header="0"/>
        </w:sectPr>
      </w:pPr>
    </w:p>
    <w:bookmarkStart w:id="320" w:name="page321"/>
    <w:bookmarkEnd w:id="320"/>
    <w:p>
      <w:pPr>
        <w:jc w:val="center"/>
        <w:ind w:right="-5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4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REVERSE OF NOTE</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BAIDU, INC.</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1.90% Note Due 2029</w:t>
      </w:r>
    </w:p>
    <w:p>
      <w:pPr>
        <w:spacing w:after="0" w:line="225"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This Note is one of a duly authorized issue of debt securities of the Company of the series designated as the “1.90% Notes due 2029” (the “</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all issued or to be issued under and pursuant to an Indenture, dated as of November 28, 2012 (the “</w:t>
      </w:r>
      <w:r>
        <w:rPr>
          <w:rFonts w:ascii="Times New Roman" w:cs="Times New Roman" w:eastAsia="Times New Roman" w:hAnsi="Times New Roman"/>
          <w:sz w:val="18"/>
          <w:szCs w:val="18"/>
          <w:u w:val="single" w:color="auto"/>
          <w:color w:val="auto"/>
        </w:rPr>
        <w:t>Base Indenture</w:t>
      </w:r>
      <w:r>
        <w:rPr>
          <w:rFonts w:ascii="Times New Roman" w:cs="Times New Roman" w:eastAsia="Times New Roman" w:hAnsi="Times New Roman"/>
          <w:sz w:val="18"/>
          <w:szCs w:val="18"/>
          <w:color w:val="auto"/>
        </w:rPr>
        <w:t>”), duly executed and delivered by and between the Company and The Bank of New York Mellon, a banking corporation organized and existing under the laws of the State of New York with limited liability, as trustee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which term includes any successor trustee), as supplemented by the Twelfth Supplemental Indenture, dated as of September 15, 2025 (the “</w:t>
      </w:r>
      <w:r>
        <w:rPr>
          <w:rFonts w:ascii="Times New Roman" w:cs="Times New Roman" w:eastAsia="Times New Roman" w:hAnsi="Times New Roman"/>
          <w:sz w:val="18"/>
          <w:szCs w:val="18"/>
          <w:u w:val="single" w:color="auto"/>
          <w:color w:val="auto"/>
        </w:rPr>
        <w:t>Twelfth Supplemental Indenture</w:t>
      </w:r>
      <w:r>
        <w:rPr>
          <w:rFonts w:ascii="Times New Roman" w:cs="Times New Roman" w:eastAsia="Times New Roman" w:hAnsi="Times New Roman"/>
          <w:sz w:val="18"/>
          <w:szCs w:val="18"/>
          <w:color w:val="auto"/>
        </w:rPr>
        <w:t>”), duly executed and delivered by and between the Company, the Trustee and The Bank of New York Mellon, Hong Kong Branch, a banking corporation organized and existing under the laws of the State of New York with limited liability and operating through its branch in Hong Kong at Level 26, Three Pacific Place, 1 Queen’s Road East, Hong Kong, as CMU Lodging and Paying Agent, Transfer Agent and Registrar. The Base Indenture as supplemented and amended by the Twelfth Supplemental Indenture and all indentures supplemental thereto with respect to the Notes is referred to herein as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Capitalized terms used herein and not otherwise defined shall have the meanings given them in the Indenture.</w:t>
      </w:r>
    </w:p>
    <w:p>
      <w:pPr>
        <w:spacing w:after="0" w:line="194" w:lineRule="exact"/>
        <w:rPr>
          <w:sz w:val="20"/>
          <w:szCs w:val="20"/>
          <w:color w:val="auto"/>
        </w:rPr>
      </w:pPr>
    </w:p>
    <w:p>
      <w:pPr>
        <w:ind w:right="20" w:firstLine="436"/>
        <w:spacing w:after="0" w:line="261" w:lineRule="auto"/>
        <w:tabs>
          <w:tab w:leader="none" w:pos="62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Interest</w:t>
      </w:r>
      <w:r>
        <w:rPr>
          <w:rFonts w:ascii="Times New Roman" w:cs="Times New Roman" w:eastAsia="Times New Roman" w:hAnsi="Times New Roman"/>
          <w:sz w:val="18"/>
          <w:szCs w:val="18"/>
          <w:color w:val="auto"/>
        </w:rPr>
        <w:t>. The Company promises to pay interest on the principal amount of this Note at a rate of 1.90% per annum. The Company will pay interest semi-annually in arrears on March 15 and September 15 of each year. If a payment date is not a Business Day as defined in the Indenture at a Place of Payment, payment may be made at that place on the next succeeding day that is a Business Day, and no interest shall accrue for the intervening period. Interest shall be computed on the basis of a 365-day year and the actual number of days elapsed.</w:t>
      </w:r>
    </w:p>
    <w:p>
      <w:pPr>
        <w:spacing w:after="0" w:line="179" w:lineRule="exact"/>
        <w:rPr>
          <w:rFonts w:ascii="Times New Roman" w:cs="Times New Roman" w:eastAsia="Times New Roman" w:hAnsi="Times New Roman"/>
          <w:sz w:val="18"/>
          <w:szCs w:val="18"/>
          <w:color w:val="auto"/>
        </w:rPr>
      </w:pPr>
    </w:p>
    <w:p>
      <w:pPr>
        <w:ind w:firstLine="436"/>
        <w:spacing w:after="0" w:line="255" w:lineRule="auto"/>
        <w:tabs>
          <w:tab w:leader="none" w:pos="62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Method of Payment</w:t>
      </w:r>
      <w:r>
        <w:rPr>
          <w:rFonts w:ascii="Times New Roman" w:cs="Times New Roman" w:eastAsia="Times New Roman" w:hAnsi="Times New Roman"/>
          <w:sz w:val="18"/>
          <w:szCs w:val="18"/>
          <w:color w:val="auto"/>
        </w:rPr>
        <w:t>. The Company shall pay interest on the Notes (except Defaulted Interest), if any, to the Persons in whose name such Notes are registered at the close of business on the Record Date referred to on the face of this Note immediately preceding the related Interest Payment Date, even if any Notes are canceled, repurchased or redeemed on or after such Record Date and on or before such Interest Payment Date. Payment of interest on the Notes shall be made, in the currency of the People’s Republic of China that at the time is legal tender for payment of public and private debts, at the specified office of the CMU Lodging and Paying Agent or, at the option of the Company, by check mailed to the address of the Person entitled thereto as such address shall appear in the Register or, in accordance with arrangements satisfactory to the Trustee, by wire transfer to an account designated by the Holder.</w:t>
      </w:r>
    </w:p>
    <w:p>
      <w:pPr>
        <w:spacing w:after="0" w:line="188" w:lineRule="exact"/>
        <w:rPr>
          <w:rFonts w:ascii="Times New Roman" w:cs="Times New Roman" w:eastAsia="Times New Roman" w:hAnsi="Times New Roman"/>
          <w:sz w:val="18"/>
          <w:szCs w:val="18"/>
          <w:color w:val="auto"/>
        </w:rPr>
      </w:pPr>
    </w:p>
    <w:p>
      <w:pPr>
        <w:ind w:right="80" w:firstLine="436"/>
        <w:spacing w:after="0" w:line="266" w:lineRule="auto"/>
        <w:tabs>
          <w:tab w:leader="none" w:pos="62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CMU Lodging and Paying Agent and Registrar</w:t>
      </w:r>
      <w:r>
        <w:rPr>
          <w:rFonts w:ascii="Times New Roman" w:cs="Times New Roman" w:eastAsia="Times New Roman" w:hAnsi="Times New Roman"/>
          <w:sz w:val="18"/>
          <w:szCs w:val="18"/>
          <w:color w:val="auto"/>
        </w:rPr>
        <w:t>. Initially, The Bank of New York Mellon, Hong Kong Branch, will act as CMU Lodging and Paying Agent and Registrar. The Company may change or appoint any CMU Lodging and Paying Agent or Registrar without notice to any Noteholder. The Company may act in any such capacity.</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A-5</w:t>
      </w:r>
    </w:p>
    <w:p>
      <w:pPr>
        <w:sectPr>
          <w:pgSz w:w="11900" w:h="16838" w:orient="portrait"/>
          <w:cols w:equalWidth="0" w:num="1">
            <w:col w:w="10960"/>
          </w:cols>
          <w:pgMar w:left="440" w:top="270" w:right="499" w:bottom="1440" w:gutter="0" w:footer="0" w:header="0"/>
        </w:sectPr>
      </w:pPr>
    </w:p>
    <w:bookmarkStart w:id="321" w:name="page322"/>
    <w:bookmarkEnd w:id="321"/>
    <w:p>
      <w:pPr>
        <w:ind w:left="-20" w:firstLine="436"/>
        <w:spacing w:after="0" w:line="255" w:lineRule="auto"/>
        <w:tabs>
          <w:tab w:leader="none" w:pos="60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4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Indenture</w:t>
      </w:r>
      <w:r>
        <w:rPr>
          <w:rFonts w:ascii="Times New Roman" w:cs="Times New Roman" w:eastAsia="Times New Roman" w:hAnsi="Times New Roman"/>
          <w:sz w:val="18"/>
          <w:szCs w:val="18"/>
          <w:color w:val="auto"/>
        </w:rPr>
        <w:t>. The terms of the Notes include those stated in the Indenture and those made part of the Indenture by reference to the Trust Indenture Act of 1939 (“</w:t>
      </w:r>
      <w:r>
        <w:rPr>
          <w:rFonts w:ascii="Times New Roman" w:cs="Times New Roman" w:eastAsia="Times New Roman" w:hAnsi="Times New Roman"/>
          <w:sz w:val="18"/>
          <w:szCs w:val="18"/>
          <w:u w:val="single" w:color="auto"/>
          <w:color w:val="auto"/>
        </w:rPr>
        <w:t>TIA</w:t>
      </w:r>
      <w:r>
        <w:rPr>
          <w:rFonts w:ascii="Times New Roman" w:cs="Times New Roman" w:eastAsia="Times New Roman" w:hAnsi="Times New Roman"/>
          <w:sz w:val="18"/>
          <w:szCs w:val="18"/>
          <w:color w:val="auto"/>
        </w:rPr>
        <w:t>”) as in effect on the date the Indenture is qualified. The Notes are subject to all such terms, and Noteholders are referred to the Indenture and TIA for a statement of such terms. The Notes are unsecured general obligations of the Company and constitute the series designated on the face of this Note as the “1.90% Notes due 2029,” initially limited to CNY4,400,000,000 in aggregate principal amount. The Company will furnish to any Noteholder upon written request and without charge a copy of the Base Indenture and the Twelfth Supplemental Indenture. Requests may be made to: Baidu, Inc., Baidu Campus, No. 10 Shangdi 10th Street, Haidian District, Beijing 100085, People’s Republic of China, Attention: Treasury Department.</w:t>
      </w:r>
    </w:p>
    <w:p>
      <w:pPr>
        <w:spacing w:after="0" w:line="188" w:lineRule="exact"/>
        <w:rPr>
          <w:rFonts w:ascii="Times New Roman" w:cs="Times New Roman" w:eastAsia="Times New Roman" w:hAnsi="Times New Roman"/>
          <w:sz w:val="18"/>
          <w:szCs w:val="18"/>
          <w:color w:val="auto"/>
        </w:rPr>
      </w:pPr>
    </w:p>
    <w:p>
      <w:pPr>
        <w:ind w:left="-20" w:firstLine="436"/>
        <w:spacing w:after="0" w:line="266" w:lineRule="auto"/>
        <w:tabs>
          <w:tab w:leader="none" w:pos="60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Redemption and Repurchase</w:t>
      </w:r>
      <w:r>
        <w:rPr>
          <w:rFonts w:ascii="Times New Roman" w:cs="Times New Roman" w:eastAsia="Times New Roman" w:hAnsi="Times New Roman"/>
          <w:sz w:val="18"/>
          <w:szCs w:val="18"/>
          <w:color w:val="auto"/>
        </w:rPr>
        <w:t>. The Notes are subject to optional redemption and tax redemption and may be the subject of a Triggering Event Offer, as further described in the Indenture. The Company shall not be required to make mandatory redemption or sinking fund payments with respect to the Notes.</w:t>
      </w:r>
    </w:p>
    <w:p>
      <w:pPr>
        <w:spacing w:after="0" w:line="175" w:lineRule="exact"/>
        <w:rPr>
          <w:rFonts w:ascii="Times New Roman" w:cs="Times New Roman" w:eastAsia="Times New Roman" w:hAnsi="Times New Roman"/>
          <w:sz w:val="18"/>
          <w:szCs w:val="18"/>
          <w:color w:val="auto"/>
        </w:rPr>
      </w:pPr>
    </w:p>
    <w:p>
      <w:pPr>
        <w:ind w:left="-20" w:right="20" w:firstLine="436"/>
        <w:spacing w:after="0" w:line="256" w:lineRule="auto"/>
        <w:tabs>
          <w:tab w:leader="none" w:pos="60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Denominations, Transfer, Exchange</w:t>
      </w:r>
      <w:r>
        <w:rPr>
          <w:rFonts w:ascii="Times New Roman" w:cs="Times New Roman" w:eastAsia="Times New Roman" w:hAnsi="Times New Roman"/>
          <w:sz w:val="18"/>
          <w:szCs w:val="18"/>
          <w:color w:val="auto"/>
        </w:rPr>
        <w:t>. The Notes are in registered form without coupons in the denominations of CNY1,000,000 or any integral multiple of CNY10,000 in excess thereof. The transfer of Notes may be registered and Notes may be exchanged as provided in the Indenture. The Notes may be presented for exchange or for registration of transfer (duly endorsed or with the form of transfer endorsed thereon duly executed if so required by the Company or the Registrar) at the office of the Registrar or at the office of any transfer agent designated by the Company for such purpose. The Company need not exchange or register the transfer of any Note or portion of a Note selected for redemption, except for the unredeemed portion of any Note being redeemed in part.</w:t>
      </w:r>
    </w:p>
    <w:p>
      <w:pPr>
        <w:spacing w:after="0" w:line="187" w:lineRule="exact"/>
        <w:rPr>
          <w:rFonts w:ascii="Times New Roman" w:cs="Times New Roman" w:eastAsia="Times New Roman" w:hAnsi="Times New Roman"/>
          <w:sz w:val="18"/>
          <w:szCs w:val="18"/>
          <w:color w:val="auto"/>
        </w:rPr>
      </w:pPr>
    </w:p>
    <w:p>
      <w:pPr>
        <w:ind w:left="600" w:hanging="184"/>
        <w:spacing w:after="0"/>
        <w:tabs>
          <w:tab w:leader="none" w:pos="60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Persons Deemed Owners</w:t>
      </w:r>
      <w:r>
        <w:rPr>
          <w:rFonts w:ascii="Times New Roman" w:cs="Times New Roman" w:eastAsia="Times New Roman" w:hAnsi="Times New Roman"/>
          <w:sz w:val="18"/>
          <w:szCs w:val="18"/>
          <w:color w:val="auto"/>
        </w:rPr>
        <w:t>. The registered Noteholder may be treated as its owner for all purposes.</w:t>
      </w:r>
    </w:p>
    <w:p>
      <w:pPr>
        <w:spacing w:after="0" w:line="225" w:lineRule="exact"/>
        <w:rPr>
          <w:rFonts w:ascii="Times New Roman" w:cs="Times New Roman" w:eastAsia="Times New Roman" w:hAnsi="Times New Roman"/>
          <w:sz w:val="18"/>
          <w:szCs w:val="18"/>
          <w:color w:val="auto"/>
        </w:rPr>
      </w:pPr>
    </w:p>
    <w:p>
      <w:pPr>
        <w:ind w:left="-20" w:right="180" w:firstLine="436"/>
        <w:spacing w:after="0" w:line="261" w:lineRule="auto"/>
        <w:tabs>
          <w:tab w:leader="none" w:pos="60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Supplements and Waivers</w:t>
      </w:r>
      <w:r>
        <w:rPr>
          <w:rFonts w:ascii="Times New Roman" w:cs="Times New Roman" w:eastAsia="Times New Roman" w:hAnsi="Times New Roman"/>
          <w:sz w:val="18"/>
          <w:szCs w:val="18"/>
          <w:color w:val="auto"/>
        </w:rPr>
        <w:t>. The Indenture and the Notes may be amended or supplemented as provided in the Indenture. Any consent or waiver by the Noteholders as provided in the Indenture shall be conclusive and binding upon such Holders and upon all future Noteholders and holders of any security issued upon the registration of transfer hereof or in exchange herefor or in lieu hereof, whether or not notation of such consent or waiver is made upon the Notes.</w:t>
      </w:r>
    </w:p>
    <w:p>
      <w:pPr>
        <w:spacing w:after="0" w:line="179" w:lineRule="exact"/>
        <w:rPr>
          <w:rFonts w:ascii="Times New Roman" w:cs="Times New Roman" w:eastAsia="Times New Roman" w:hAnsi="Times New Roman"/>
          <w:sz w:val="18"/>
          <w:szCs w:val="18"/>
          <w:color w:val="auto"/>
        </w:rPr>
      </w:pPr>
    </w:p>
    <w:p>
      <w:pPr>
        <w:jc w:val="both"/>
        <w:ind w:left="-20" w:right="340" w:firstLine="436"/>
        <w:spacing w:after="0" w:line="266" w:lineRule="auto"/>
        <w:tabs>
          <w:tab w:leader="none" w:pos="60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Defaults and Remedies</w:t>
      </w:r>
      <w:r>
        <w:rPr>
          <w:rFonts w:ascii="Times New Roman" w:cs="Times New Roman" w:eastAsia="Times New Roman" w:hAnsi="Times New Roman"/>
          <w:sz w:val="18"/>
          <w:szCs w:val="18"/>
          <w:color w:val="auto"/>
        </w:rPr>
        <w:t>. The Events of Default relating to the Notes are defined in Section 7.01 of the Indenture. Upon the occurrence of an Event of Default, the rights and obligations of the Company, the Trustee and the Noteholders shall be as set forth in the applicable provisions of the Indenture.</w:t>
      </w:r>
    </w:p>
    <w:p>
      <w:pPr>
        <w:spacing w:after="0" w:line="175" w:lineRule="exact"/>
        <w:rPr>
          <w:rFonts w:ascii="Times New Roman" w:cs="Times New Roman" w:eastAsia="Times New Roman" w:hAnsi="Times New Roman"/>
          <w:sz w:val="18"/>
          <w:szCs w:val="18"/>
          <w:color w:val="auto"/>
        </w:rPr>
      </w:pPr>
    </w:p>
    <w:p>
      <w:pPr>
        <w:ind w:left="-20" w:right="80" w:firstLine="436"/>
        <w:spacing w:after="0" w:line="258" w:lineRule="auto"/>
        <w:tabs>
          <w:tab w:leader="none" w:pos="69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Recourse Against Others</w:t>
      </w:r>
      <w:r>
        <w:rPr>
          <w:rFonts w:ascii="Times New Roman" w:cs="Times New Roman" w:eastAsia="Times New Roman" w:hAnsi="Times New Roman"/>
          <w:sz w:val="18"/>
          <w:szCs w:val="18"/>
          <w:color w:val="auto"/>
        </w:rPr>
        <w:t>. No recourse under or upon any obligation, covenant or agreement contained in the Indenture or the Notes, or because of any indebtedness evidenced thereby, shall be had against any incorporator as such, or against any past, present or future stockholder, officer, director or employee, as such, of the Company or of any successor, either directly or through the Company or any successor, under any rule of law, statute or constitutional provision or by the enforcement of any assessment or by any legal or equitable proceeding or otherwise, all such liability being expressly waived and released by the acceptance hereof and as part of the consideration for the issue hereof.</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w:t>
      </w:r>
    </w:p>
    <w:p>
      <w:pPr>
        <w:sectPr>
          <w:pgSz w:w="11900" w:h="16838" w:orient="portrait"/>
          <w:cols w:equalWidth="0" w:num="1">
            <w:col w:w="10960"/>
          </w:cols>
          <w:pgMar w:left="460" w:top="270" w:right="479" w:bottom="1440" w:gutter="0" w:footer="0" w:header="0"/>
        </w:sectPr>
      </w:pPr>
    </w:p>
    <w:bookmarkStart w:id="322" w:name="page323"/>
    <w:bookmarkEnd w:id="322"/>
    <w:p>
      <w:pPr>
        <w:ind w:left="-40" w:right="120" w:firstLine="436"/>
        <w:spacing w:after="0" w:line="282" w:lineRule="auto"/>
        <w:tabs>
          <w:tab w:leader="none" w:pos="663"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5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Authentication</w:t>
      </w:r>
      <w:r>
        <w:rPr>
          <w:rFonts w:ascii="Times New Roman" w:cs="Times New Roman" w:eastAsia="Times New Roman" w:hAnsi="Times New Roman"/>
          <w:sz w:val="18"/>
          <w:szCs w:val="18"/>
          <w:color w:val="auto"/>
        </w:rPr>
        <w:t>. This Note shall not be entitled to any benefit under the Indenture or be valid or obligatory for any purpose until authenticated by the manual signature of the Registrar.</w:t>
      </w:r>
    </w:p>
    <w:p>
      <w:pPr>
        <w:spacing w:after="0" w:line="161" w:lineRule="exact"/>
        <w:rPr>
          <w:rFonts w:ascii="Times New Roman" w:cs="Times New Roman" w:eastAsia="Times New Roman" w:hAnsi="Times New Roman"/>
          <w:sz w:val="18"/>
          <w:szCs w:val="18"/>
          <w:color w:val="auto"/>
        </w:rPr>
      </w:pPr>
    </w:p>
    <w:p>
      <w:pPr>
        <w:ind w:left="-40" w:firstLine="436"/>
        <w:spacing w:after="0" w:line="266" w:lineRule="auto"/>
        <w:tabs>
          <w:tab w:leader="none" w:pos="67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The Base Indenture, the Twelfth Supplemental Indenture and this Note shall be deemed to be contracts made under the law of the State of New York, and for all purposes shall be governed by and construed in accordance with the law of said State (without regard to conflicts of laws principles thereof that would permit the application of the laws of another jurisdiction).</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w:t>
      </w:r>
    </w:p>
    <w:p>
      <w:pPr>
        <w:sectPr>
          <w:pgSz w:w="11900" w:h="16838" w:orient="portrait"/>
          <w:cols w:equalWidth="0" w:num="1">
            <w:col w:w="10940"/>
          </w:cols>
          <w:pgMar w:left="480" w:top="270" w:right="479" w:bottom="1440" w:gutter="0" w:footer="0" w:header="0"/>
        </w:sectPr>
      </w:pPr>
    </w:p>
    <w:bookmarkStart w:id="323" w:name="page324"/>
    <w:bookmarkEnd w:id="323"/>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5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ASSIGNMENT</w:t>
      </w:r>
    </w:p>
    <w:p>
      <w:pPr>
        <w:spacing w:after="0" w:line="225" w:lineRule="exact"/>
        <w:rPr>
          <w:sz w:val="20"/>
          <w:szCs w:val="20"/>
          <w:color w:val="auto"/>
        </w:rPr>
      </w:pPr>
    </w:p>
    <w:p>
      <w:pPr>
        <w:jc w:val="center"/>
        <w:ind w:right="3780"/>
        <w:spacing w:after="0"/>
        <w:rPr>
          <w:sz w:val="20"/>
          <w:szCs w:val="20"/>
          <w:color w:val="auto"/>
        </w:rPr>
      </w:pPr>
      <w:r>
        <w:rPr>
          <w:rFonts w:ascii="Times New Roman" w:cs="Times New Roman" w:eastAsia="Times New Roman" w:hAnsi="Times New Roman"/>
          <w:sz w:val="18"/>
          <w:szCs w:val="18"/>
          <w:color w:val="auto"/>
        </w:rPr>
        <w:t>FOR VALUE RECEIVED, the undersigned hereby sell(s), assign(s) and transfer(s) unto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INSERT SOCIAL SECURITY OR OTHER IDENTIFYING NUMBER OF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188595</wp:posOffset>
            </wp:positionV>
            <wp:extent cx="699516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50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394335</wp:posOffset>
            </wp:positionV>
            <wp:extent cx="699516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50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PRINT OR TYPE NAME AND ADDRESS, INCLUDING ZIP CODE, OF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188595</wp:posOffset>
            </wp:positionV>
            <wp:extent cx="699516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50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within Note and all rights thereunder, hereby irrevocably constituting and appointing ___________________________________________________</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 Attorney to transfer such Note on the books of the Issuer, with full power of substitution in the premises.</w:t>
      </w:r>
    </w:p>
    <w:p>
      <w:pPr>
        <w:spacing w:after="0" w:line="234"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Signature: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Dated: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40005</wp:posOffset>
            </wp:positionV>
            <wp:extent cx="335153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505">
                      <a:extLst>
                        <a:ext uri="{28A0092B-C50C-407E-A947-70E740481C1C}"/>
                      </a:extLst>
                    </a:blip>
                    <a:srcRect/>
                    <a:stretch>
                      <a:fillRect/>
                    </a:stretch>
                  </pic:blipFill>
                  <pic:spPr bwMode="auto">
                    <a:xfrm>
                      <a:off x="0" y="0"/>
                      <a:ext cx="3351530" cy="8255"/>
                    </a:xfrm>
                    <a:prstGeom prst="rect">
                      <a:avLst/>
                    </a:prstGeom>
                    <a:noFill/>
                  </pic:spPr>
                </pic:pic>
              </a:graphicData>
            </a:graphic>
          </wp:anchor>
        </w:drawing>
        <w:drawing>
          <wp:anchor simplePos="0" relativeHeight="251657728" behindDoc="1" locked="0" layoutInCell="0" allowOverlap="1">
            <wp:simplePos x="0" y="0"/>
            <wp:positionH relativeFrom="column">
              <wp:posOffset>330200</wp:posOffset>
            </wp:positionH>
            <wp:positionV relativeFrom="paragraph">
              <wp:posOffset>-19050</wp:posOffset>
            </wp:positionV>
            <wp:extent cx="91376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506">
                      <a:extLst>
                        <a:ext uri="{28A0092B-C50C-407E-A947-70E740481C1C}"/>
                      </a:extLst>
                    </a:blip>
                    <a:srcRect/>
                    <a:stretch>
                      <a:fillRect/>
                    </a:stretch>
                  </pic:blipFill>
                  <pic:spPr bwMode="auto">
                    <a:xfrm>
                      <a:off x="0" y="0"/>
                      <a:ext cx="913765" cy="8255"/>
                    </a:xfrm>
                    <a:prstGeom prst="rect">
                      <a:avLst/>
                    </a:prstGeom>
                    <a:noFill/>
                  </pic:spPr>
                </pic:pic>
              </a:graphicData>
            </a:graphic>
          </wp:anchor>
        </w:drawing>
      </w:r>
    </w:p>
    <w:p>
      <w:pPr>
        <w:spacing w:after="0" w:line="6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NOTICE: The signature to this assignment must correspond with the</w:t>
      </w:r>
    </w:p>
    <w:p>
      <w:pPr>
        <w:spacing w:after="0" w:line="2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name as written upon the face of the within Note in every particular</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without alteration or enlargement or any change whatsoever.</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GUARANTEE</w:t>
      </w:r>
    </w:p>
    <w:p>
      <w:pPr>
        <w:spacing w:after="0" w:line="225" w:lineRule="exact"/>
        <w:rPr>
          <w:sz w:val="20"/>
          <w:szCs w:val="20"/>
          <w:color w:val="auto"/>
        </w:rPr>
      </w:pPr>
    </w:p>
    <w:p>
      <w:pPr>
        <w:ind w:right="360" w:firstLine="440"/>
        <w:spacing w:after="0" w:line="289" w:lineRule="auto"/>
        <w:rPr>
          <w:sz w:val="20"/>
          <w:szCs w:val="20"/>
          <w:color w:val="auto"/>
        </w:rPr>
      </w:pPr>
      <w:r>
        <w:rPr>
          <w:rFonts w:ascii="Times New Roman" w:cs="Times New Roman" w:eastAsia="Times New Roman" w:hAnsi="Times New Roman"/>
          <w:sz w:val="17"/>
          <w:szCs w:val="17"/>
          <w:color w:val="auto"/>
        </w:rPr>
        <w:t>[Signatures must be guaranteed by an “eligible guarantor institution” meeting the requirements of the Registrar, which requirements include membership or participation in the Security Transfer Agent Medallion Program (“</w:t>
      </w:r>
      <w:r>
        <w:rPr>
          <w:rFonts w:ascii="Times New Roman" w:cs="Times New Roman" w:eastAsia="Times New Roman" w:hAnsi="Times New Roman"/>
          <w:sz w:val="17"/>
          <w:szCs w:val="17"/>
          <w:u w:val="single" w:color="auto"/>
          <w:color w:val="auto"/>
        </w:rPr>
        <w:t>STAMP</w:t>
      </w:r>
      <w:r>
        <w:rPr>
          <w:rFonts w:ascii="Times New Roman" w:cs="Times New Roman" w:eastAsia="Times New Roman" w:hAnsi="Times New Roman"/>
          <w:sz w:val="17"/>
          <w:szCs w:val="17"/>
          <w:color w:val="auto"/>
        </w:rPr>
        <w:t>”) or such other “signature guarantee program” as may be determined by the Registrar in addition to, or in substitution for, STAMP, all in accordance with the Securities Exchange Act of 1934, as amended.]</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A-8</w:t>
      </w:r>
    </w:p>
    <w:p>
      <w:pPr>
        <w:sectPr>
          <w:pgSz w:w="11900" w:h="16838" w:orient="portrait"/>
          <w:cols w:equalWidth="0" w:num="1">
            <w:col w:w="11000"/>
          </w:cols>
          <w:pgMar w:left="440" w:top="270" w:right="459" w:bottom="1440" w:gutter="0" w:footer="0" w:header="0"/>
        </w:sectPr>
      </w:pPr>
    </w:p>
    <w:bookmarkStart w:id="324" w:name="page325"/>
    <w:bookmarkEnd w:id="324"/>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5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OPTION OF HOLDER TO ELECT PURCHASE</w:t>
      </w:r>
    </w:p>
    <w:p>
      <w:pPr>
        <w:spacing w:after="0" w:line="225"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If you want to elect to have this Note purchased by the Company pursuant to Section 2.05 of the Twelfth Supplemental Indenture, check the box below:</w:t>
      </w:r>
    </w:p>
    <w:p>
      <w:pPr>
        <w:spacing w:after="0" w:line="162" w:lineRule="exact"/>
        <w:rPr>
          <w:sz w:val="20"/>
          <w:szCs w:val="20"/>
          <w:color w:val="auto"/>
        </w:rPr>
      </w:pPr>
    </w:p>
    <w:p>
      <w:pPr>
        <w:ind w:left="640" w:hanging="204"/>
        <w:spacing w:after="0"/>
        <w:tabs>
          <w:tab w:leader="none" w:pos="640" w:val="left"/>
        </w:tabs>
        <w:numPr>
          <w:ilvl w:val="0"/>
          <w:numId w:val="18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Section 2.05</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If you want to elect to have only part of the Note purchased by the Company pursuant to Section 2.05 of the Twelfth Supplemental Indenture, state the amount you elect to have purchased: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CNY_________</w:t>
      </w:r>
    </w:p>
    <w:p>
      <w:pPr>
        <w:sectPr>
          <w:pgSz w:w="11900" w:h="16838" w:orient="portrait"/>
          <w:cols w:equalWidth="0" w:num="1">
            <w:col w:w="11000"/>
          </w:cols>
          <w:pgMar w:left="440" w:top="270" w:right="459" w:bottom="1440" w:gutter="0" w:footer="0" w:header="0"/>
        </w:sect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__________________</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857250</wp:posOffset>
            </wp:positionH>
            <wp:positionV relativeFrom="paragraph">
              <wp:posOffset>4445</wp:posOffset>
            </wp:positionV>
            <wp:extent cx="216027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508">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39" w:lineRule="exact"/>
        <w:rPr>
          <w:sz w:val="20"/>
          <w:szCs w:val="20"/>
          <w:color w:val="auto"/>
        </w:rPr>
      </w:pPr>
    </w:p>
    <w:p>
      <w:pPr>
        <w:sectPr>
          <w:pgSz w:w="11900" w:h="16838" w:orient="portrait"/>
          <w:cols w:equalWidth="0" w:num="2">
            <w:col w:w="5540" w:space="720"/>
            <w:col w:w="4740"/>
          </w:cols>
          <w:pgMar w:left="440" w:top="270" w:right="459" w:bottom="1440" w:gutter="0" w:footer="0" w:header="0"/>
          <w:type w:val="continuous"/>
        </w:sectPr>
      </w:pPr>
    </w:p>
    <w:p>
      <w:pPr>
        <w:jc w:val="center"/>
        <w:ind w:left="7600"/>
        <w:spacing w:after="0"/>
        <w:rPr>
          <w:sz w:val="20"/>
          <w:szCs w:val="20"/>
          <w:color w:val="auto"/>
        </w:rPr>
      </w:pPr>
      <w:r>
        <w:rPr>
          <w:rFonts w:ascii="Times New Roman" w:cs="Times New Roman" w:eastAsia="Times New Roman" w:hAnsi="Times New Roman"/>
          <w:sz w:val="17"/>
          <w:szCs w:val="17"/>
          <w:color w:val="auto"/>
        </w:rPr>
        <w:t>(Sign exactly as your name appears</w:t>
      </w:r>
    </w:p>
    <w:p>
      <w:pPr>
        <w:spacing w:after="0" w:line="15"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8"/>
          <w:szCs w:val="18"/>
          <w:color w:val="auto"/>
        </w:rPr>
        <w:t>on the face of this Note)</w:t>
      </w:r>
    </w:p>
    <w:p>
      <w:pPr>
        <w:spacing w:after="0" w:line="216"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20"/>
          <w:szCs w:val="20"/>
          <w:color w:val="auto"/>
        </w:rPr>
        <w:t>Tax Identification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4832350</wp:posOffset>
            </wp:positionH>
            <wp:positionV relativeFrom="paragraph">
              <wp:posOffset>-2540</wp:posOffset>
            </wp:positionV>
            <wp:extent cx="216027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509">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A-9</w:t>
      </w:r>
    </w:p>
    <w:p>
      <w:pPr>
        <w:sectPr>
          <w:pgSz w:w="11900" w:h="16838" w:orient="portrait"/>
          <w:cols w:equalWidth="0" w:num="1">
            <w:col w:w="11000"/>
          </w:cols>
          <w:pgMar w:left="440" w:top="270" w:right="459" w:bottom="1440" w:gutter="0" w:footer="0" w:header="0"/>
          <w:type w:val="continuous"/>
        </w:sectPr>
      </w:pPr>
    </w:p>
    <w:bookmarkStart w:id="325" w:name="page326"/>
    <w:bookmarkEnd w:id="325"/>
    <w:p>
      <w:pPr>
        <w:jc w:val="center"/>
        <w:ind w:right="-3"/>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5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OF INCREASES OR DECREASES IN NOTE</w:t>
      </w:r>
      <w:r>
        <w:rPr>
          <w:rFonts w:ascii="Times New Roman" w:cs="Times New Roman" w:eastAsia="Times New Roman" w:hAnsi="Times New Roman"/>
          <w:sz w:val="26"/>
          <w:szCs w:val="26"/>
          <w:color w:val="auto"/>
          <w:vertAlign w:val="superscript"/>
        </w:rPr>
        <w:t>*</w:t>
      </w:r>
    </w:p>
    <w:p>
      <w:pPr>
        <w:spacing w:after="0" w:line="13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initial principal amount of this Note is CNY_________. The following increases or decreases in a part of this Note have been made:</w:t>
      </w:r>
    </w:p>
    <w:p>
      <w:pPr>
        <w:spacing w:after="0" w:line="233"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2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7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Amount of decrease in</w:t>
            </w:r>
          </w:p>
        </w:tc>
        <w:tc>
          <w:tcPr>
            <w:tcW w:w="29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2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Principal amount of</w:t>
            </w:r>
          </w:p>
        </w:tc>
        <w:tc>
          <w:tcPr>
            <w:tcW w:w="0" w:type="dxa"/>
            <w:vAlign w:val="bottom"/>
          </w:tcPr>
          <w:p>
            <w:pPr>
              <w:spacing w:after="0"/>
              <w:rPr>
                <w:sz w:val="1"/>
                <w:szCs w:val="1"/>
                <w:color w:val="auto"/>
              </w:rPr>
            </w:pPr>
          </w:p>
        </w:tc>
      </w:tr>
      <w:tr>
        <w:trPr>
          <w:trHeight w:val="148"/>
        </w:trPr>
        <w:tc>
          <w:tcPr>
            <w:tcW w:w="2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740" w:type="dxa"/>
            <w:vAlign w:val="bottom"/>
            <w:gridSpan w:val="2"/>
            <w:vMerge w:val="continue"/>
          </w:tcPr>
          <w:p>
            <w:pPr>
              <w:spacing w:after="0"/>
              <w:rPr>
                <w:sz w:val="12"/>
                <w:szCs w:val="12"/>
                <w:color w:val="auto"/>
              </w:rPr>
            </w:pPr>
          </w:p>
        </w:tc>
        <w:tc>
          <w:tcPr>
            <w:tcW w:w="29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increase in</w:t>
            </w:r>
          </w:p>
        </w:tc>
        <w:tc>
          <w:tcPr>
            <w:tcW w:w="2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this Note following</w:t>
            </w:r>
          </w:p>
        </w:tc>
        <w:tc>
          <w:tcPr>
            <w:tcW w:w="0" w:type="dxa"/>
            <w:vAlign w:val="bottom"/>
          </w:tcPr>
          <w:p>
            <w:pPr>
              <w:spacing w:after="0"/>
              <w:rPr>
                <w:sz w:val="1"/>
                <w:szCs w:val="1"/>
                <w:color w:val="auto"/>
              </w:rPr>
            </w:pPr>
          </w:p>
        </w:tc>
      </w:tr>
      <w:tr>
        <w:trPr>
          <w:trHeight w:val="149"/>
        </w:trPr>
        <w:tc>
          <w:tcPr>
            <w:tcW w:w="2960" w:type="dxa"/>
            <w:vAlign w:val="bottom"/>
            <w:vMerge w:val="restart"/>
          </w:tcPr>
          <w:p>
            <w:pPr>
              <w:ind w:left="1340"/>
              <w:spacing w:after="0"/>
              <w:rPr>
                <w:sz w:val="20"/>
                <w:szCs w:val="20"/>
                <w:color w:val="auto"/>
              </w:rPr>
            </w:pPr>
            <w:r>
              <w:rPr>
                <w:rFonts w:ascii="Times New Roman" w:cs="Times New Roman" w:eastAsia="Times New Roman" w:hAnsi="Times New Roman"/>
                <w:sz w:val="14"/>
                <w:szCs w:val="14"/>
                <w:b w:val="1"/>
                <w:bCs w:val="1"/>
                <w:color w:val="auto"/>
              </w:rPr>
              <w:t>Date</w:t>
            </w:r>
          </w:p>
        </w:tc>
        <w:tc>
          <w:tcPr>
            <w:tcW w:w="80" w:type="dxa"/>
            <w:vAlign w:val="bottom"/>
            <w:vMerge w:val="restart"/>
          </w:tcPr>
          <w:p>
            <w:pPr>
              <w:spacing w:after="0"/>
              <w:rPr>
                <w:sz w:val="12"/>
                <w:szCs w:val="12"/>
                <w:color w:val="auto"/>
              </w:rPr>
            </w:pPr>
          </w:p>
        </w:tc>
        <w:tc>
          <w:tcPr>
            <w:tcW w:w="27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principal amount of this</w:t>
            </w:r>
          </w:p>
        </w:tc>
        <w:tc>
          <w:tcPr>
            <w:tcW w:w="29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principal amount</w:t>
            </w:r>
          </w:p>
        </w:tc>
        <w:tc>
          <w:tcPr>
            <w:tcW w:w="2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such decrease (or</w:t>
            </w:r>
          </w:p>
        </w:tc>
        <w:tc>
          <w:tcPr>
            <w:tcW w:w="0" w:type="dxa"/>
            <w:vAlign w:val="bottom"/>
          </w:tcPr>
          <w:p>
            <w:pPr>
              <w:spacing w:after="0"/>
              <w:rPr>
                <w:sz w:val="1"/>
                <w:szCs w:val="1"/>
                <w:color w:val="auto"/>
              </w:rPr>
            </w:pPr>
          </w:p>
        </w:tc>
      </w:tr>
      <w:tr>
        <w:trPr>
          <w:trHeight w:val="187"/>
        </w:trPr>
        <w:tc>
          <w:tcPr>
            <w:tcW w:w="296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2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Note</w:t>
            </w:r>
          </w:p>
        </w:tc>
        <w:tc>
          <w:tcPr>
            <w:tcW w:w="100" w:type="dxa"/>
            <w:vAlign w:val="bottom"/>
          </w:tcPr>
          <w:p>
            <w:pPr>
              <w:spacing w:after="0"/>
              <w:rPr>
                <w:sz w:val="16"/>
                <w:szCs w:val="16"/>
                <w:color w:val="auto"/>
              </w:rPr>
            </w:pPr>
          </w:p>
        </w:tc>
        <w:tc>
          <w:tcPr>
            <w:tcW w:w="2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 this Note</w:t>
            </w:r>
          </w:p>
        </w:tc>
        <w:tc>
          <w:tcPr>
            <w:tcW w:w="160" w:type="dxa"/>
            <w:vAlign w:val="bottom"/>
          </w:tcPr>
          <w:p>
            <w:pPr>
              <w:spacing w:after="0"/>
              <w:rPr>
                <w:sz w:val="16"/>
                <w:szCs w:val="16"/>
                <w:color w:val="auto"/>
              </w:rPr>
            </w:pPr>
          </w:p>
        </w:tc>
        <w:tc>
          <w:tcPr>
            <w:tcW w:w="2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634365</wp:posOffset>
            </wp:positionV>
            <wp:extent cx="77152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51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24" w:hanging="224"/>
        <w:spacing w:after="0"/>
        <w:tabs>
          <w:tab w:leader="none" w:pos="224" w:val="left"/>
        </w:tabs>
        <w:numPr>
          <w:ilvl w:val="0"/>
          <w:numId w:val="18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Insert in Global Notes.</w:t>
      </w:r>
    </w:p>
    <w:p>
      <w:pPr>
        <w:spacing w:after="0" w:line="13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A-10</w:t>
      </w:r>
    </w:p>
    <w:p>
      <w:pPr>
        <w:sectPr>
          <w:pgSz w:w="11900" w:h="16838" w:orient="portrait"/>
          <w:cols w:equalWidth="0" w:num="1">
            <w:col w:w="11024"/>
          </w:cols>
          <w:pgMar w:left="436" w:top="270" w:right="439" w:bottom="1440" w:gutter="0" w:footer="0" w:header="0"/>
        </w:sectPr>
      </w:pPr>
    </w:p>
    <w:bookmarkStart w:id="326" w:name="page327"/>
    <w:bookmarkEnd w:id="326"/>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5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Certificate of Exchange</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BAIDU,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1.90% Note Due 2029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Baidu,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Baidu Campus, No. 10 Shangdi 10th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Haidian District, Beijing 100085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People’s Republic of China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Treasury Department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Bank of New York Mellon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Bank of New York Mellon, Hong Kong Branch</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(ISIN / Common Code / CMU Instrument No: HK0001186094 / 317015089 / BNYHFN25169)</w:t>
      </w:r>
    </w:p>
    <w:p>
      <w:pPr>
        <w:spacing w:after="0" w:line="221" w:lineRule="exact"/>
        <w:rPr>
          <w:sz w:val="20"/>
          <w:szCs w:val="20"/>
          <w:color w:val="auto"/>
        </w:rPr>
      </w:pPr>
    </w:p>
    <w:p>
      <w:pPr>
        <w:jc w:val="both"/>
        <w:ind w:right="280"/>
        <w:spacing w:after="0" w:line="262" w:lineRule="auto"/>
        <w:rPr>
          <w:sz w:val="20"/>
          <w:szCs w:val="20"/>
          <w:color w:val="auto"/>
        </w:rPr>
      </w:pPr>
      <w:r>
        <w:rPr>
          <w:rFonts w:ascii="Times New Roman" w:cs="Times New Roman" w:eastAsia="Times New Roman" w:hAnsi="Times New Roman"/>
          <w:sz w:val="18"/>
          <w:szCs w:val="18"/>
          <w:color w:val="auto"/>
        </w:rPr>
        <w:t>Reference is hereby made to the Indenture, dated as of November 28, 2012 (the “</w:t>
      </w:r>
      <w:r>
        <w:rPr>
          <w:rFonts w:ascii="Times New Roman" w:cs="Times New Roman" w:eastAsia="Times New Roman" w:hAnsi="Times New Roman"/>
          <w:sz w:val="18"/>
          <w:szCs w:val="18"/>
          <w:b w:val="1"/>
          <w:bCs w:val="1"/>
          <w:color w:val="auto"/>
        </w:rPr>
        <w:t>Base Indenture</w:t>
      </w:r>
      <w:r>
        <w:rPr>
          <w:rFonts w:ascii="Times New Roman" w:cs="Times New Roman" w:eastAsia="Times New Roman" w:hAnsi="Times New Roman"/>
          <w:sz w:val="18"/>
          <w:szCs w:val="18"/>
          <w:color w:val="auto"/>
        </w:rPr>
        <w:t>”), between Baidu, Inc. as issuer (the “</w:t>
      </w:r>
      <w:r>
        <w:rPr>
          <w:rFonts w:ascii="Times New Roman" w:cs="Times New Roman" w:eastAsia="Times New Roman" w:hAnsi="Times New Roman"/>
          <w:sz w:val="18"/>
          <w:szCs w:val="18"/>
          <w:b w:val="1"/>
          <w:bCs w:val="1"/>
          <w:color w:val="auto"/>
        </w:rPr>
        <w:t>Issuer</w:t>
      </w:r>
      <w:r>
        <w:rPr>
          <w:rFonts w:ascii="Times New Roman" w:cs="Times New Roman" w:eastAsia="Times New Roman" w:hAnsi="Times New Roman"/>
          <w:sz w:val="18"/>
          <w:szCs w:val="18"/>
          <w:color w:val="auto"/>
        </w:rPr>
        <w:t>”), and The Bank of New York Mellon, as trustee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as supplemented by the Twelfth Supplemental Indenture, dated as of September 15, 2025 between the Issuer, the Trustee and The Bank of New York Mellon, Hong Kong Branch as the agents thereto (as supplemented from time to time,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Capitalized terms used but not defined herein shall have the meanings given to them in the Indenture.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 (the “</w:t>
      </w:r>
      <w:r>
        <w:rPr>
          <w:rFonts w:ascii="Times New Roman" w:cs="Times New Roman" w:eastAsia="Times New Roman" w:hAnsi="Times New Roman"/>
          <w:sz w:val="18"/>
          <w:szCs w:val="18"/>
          <w:b w:val="1"/>
          <w:bCs w:val="1"/>
          <w:color w:val="auto"/>
        </w:rPr>
        <w:t>Owner</w:t>
      </w:r>
      <w:r>
        <w:rPr>
          <w:rFonts w:ascii="Times New Roman" w:cs="Times New Roman" w:eastAsia="Times New Roman" w:hAnsi="Times New Roman"/>
          <w:sz w:val="18"/>
          <w:szCs w:val="18"/>
          <w:color w:val="auto"/>
        </w:rPr>
        <w:t>”) owns and proposes to exchange the Note[s] or interest in such Note[s] specified herein, in the principal amount of</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CNY________ in such Note[s] or interests (the “</w:t>
      </w:r>
      <w:r>
        <w:rPr>
          <w:rFonts w:ascii="Times New Roman" w:cs="Times New Roman" w:eastAsia="Times New Roman" w:hAnsi="Times New Roman"/>
          <w:sz w:val="18"/>
          <w:szCs w:val="18"/>
          <w:b w:val="1"/>
          <w:bCs w:val="1"/>
          <w:color w:val="auto"/>
        </w:rPr>
        <w:t>Exchange</w:t>
      </w:r>
      <w:r>
        <w:rPr>
          <w:rFonts w:ascii="Times New Roman" w:cs="Times New Roman" w:eastAsia="Times New Roman" w:hAnsi="Times New Roman"/>
          <w:sz w:val="18"/>
          <w:szCs w:val="18"/>
          <w:color w:val="auto"/>
        </w:rPr>
        <w:t>”). In connection with the Exchange, the Owner hereby certifies that: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Exchange of Individual Securities for Beneficial Interests in Global Securities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connection with the Exchange of the Owner’s Individual Securities for a beneficial interest in the Global Securities, the Owner hereby certifies (i) the beneficial interest is being acquired for the Owner’s own account without transfer and (ii) such Exchange has been effected in compliance with the transfer restrictions applicable to the Global Securities and pursuant to and in accordance with the Securities Act, and in compliance with any applicable blue sky securities laws of any state of the United States. Upon consummation of the proposed Exchange in accordance with the terms of the Indenture, the beneficial interest issued will be subject to the restrictions on transfer enumerated in the legend printed on the relevant Global Securities and in the Indenture and the Securities Act.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certificate and the statements contained herein are made for your benefit and the benefit of the Issuer.</w:t>
      </w:r>
    </w:p>
    <w:p>
      <w:pPr>
        <w:spacing w:after="0" w:line="15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C-1</w:t>
      </w:r>
    </w:p>
    <w:p>
      <w:pPr>
        <w:sectPr>
          <w:pgSz w:w="11900" w:h="16838" w:orient="portrait"/>
          <w:cols w:equalWidth="0" w:num="1">
            <w:col w:w="11020"/>
          </w:cols>
          <w:pgMar w:left="440" w:top="266" w:right="439" w:bottom="1440" w:gutter="0" w:footer="0" w:header="0"/>
        </w:sectPr>
      </w:pPr>
    </w:p>
    <w:bookmarkStart w:id="327" w:name="page328"/>
    <w:bookmarkEnd w:id="327"/>
    <w:p>
      <w:pPr>
        <w:ind w:left="6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5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4477385</wp:posOffset>
            </wp:positionH>
            <wp:positionV relativeFrom="page">
              <wp:posOffset>217805</wp:posOffset>
            </wp:positionV>
            <wp:extent cx="279463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514">
                      <a:extLst>
                        <a:ext uri="{28A0092B-C50C-407E-A947-70E740481C1C}"/>
                      </a:extLst>
                    </a:blip>
                    <a:srcRect/>
                    <a:stretch>
                      <a:fillRect/>
                    </a:stretch>
                  </pic:blipFill>
                  <pic:spPr bwMode="auto">
                    <a:xfrm>
                      <a:off x="0" y="0"/>
                      <a:ext cx="2794635" cy="8255"/>
                    </a:xfrm>
                    <a:prstGeom prst="rect">
                      <a:avLst/>
                    </a:prstGeom>
                    <a:noFill/>
                  </pic:spPr>
                </pic:pic>
              </a:graphicData>
            </a:graphic>
          </wp:anchor>
        </w:drawing>
        <w:t>[Insert Name of Transferor]</w:t>
      </w:r>
    </w:p>
    <w:p>
      <w:pPr>
        <w:spacing w:after="0" w:line="25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515">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__________________________</w:t>
      </w:r>
    </w:p>
    <w:p>
      <w:pPr>
        <w:spacing w:after="0" w:line="15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0019"/>
          </w:cols>
          <w:pgMar w:left="440" w:top="378" w:right="1440" w:bottom="1440" w:gutter="0" w:footer="0" w:header="0"/>
        </w:sectPr>
      </w:pPr>
    </w:p>
    <w:bookmarkStart w:id="328" w:name="page329"/>
    <w:bookmarkEnd w:id="328"/>
    <w:p>
      <w:pPr>
        <w:jc w:val="right"/>
        <w:spacing w:after="0"/>
        <w:rPr>
          <w:sz w:val="20"/>
          <w:szCs w:val="20"/>
          <w:color w:val="auto"/>
        </w:rPr>
      </w:pPr>
      <w:r>
        <w:rPr>
          <w:rFonts w:ascii="Times New Roman" w:cs="Times New Roman" w:eastAsia="Times New Roman" w:hAnsi="Times New Roman"/>
          <w:sz w:val="18"/>
          <w:szCs w:val="18"/>
          <w:b w:val="1"/>
          <w:bCs w:val="1"/>
          <w:color w:val="auto"/>
        </w:rPr>
        <w:t>Exhibit 12.1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 Robin Yanhong Li, certify that:</w:t>
      </w:r>
    </w:p>
    <w:p>
      <w:pPr>
        <w:spacing w:after="0" w:line="117" w:lineRule="exact"/>
        <w:rPr>
          <w:sz w:val="20"/>
          <w:szCs w:val="20"/>
          <w:color w:val="auto"/>
        </w:rPr>
      </w:pPr>
    </w:p>
    <w:p>
      <w:pPr>
        <w:ind w:left="620" w:hanging="184"/>
        <w:spacing w:after="0"/>
        <w:tabs>
          <w:tab w:leader="none" w:pos="62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Baidu, Inc.;</w:t>
      </w:r>
    </w:p>
    <w:p>
      <w:pPr>
        <w:spacing w:after="0" w:line="117" w:lineRule="exact"/>
        <w:rPr>
          <w:rFonts w:ascii="Times New Roman" w:cs="Times New Roman" w:eastAsia="Times New Roman" w:hAnsi="Times New Roman"/>
          <w:sz w:val="18"/>
          <w:szCs w:val="18"/>
          <w:color w:val="auto"/>
        </w:rPr>
      </w:pPr>
    </w:p>
    <w:p>
      <w:pPr>
        <w:ind w:right="200" w:firstLine="436"/>
        <w:spacing w:after="0" w:line="266" w:lineRule="auto"/>
        <w:tabs>
          <w:tab w:leader="none" w:pos="62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right="160" w:firstLine="436"/>
        <w:spacing w:after="0" w:line="282" w:lineRule="auto"/>
        <w:tabs>
          <w:tab w:leader="none" w:pos="62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right="140" w:firstLine="436"/>
        <w:spacing w:after="0" w:line="266" w:lineRule="auto"/>
        <w:tabs>
          <w:tab w:leader="none" w:pos="62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68" w:lineRule="exact"/>
        <w:rPr>
          <w:sz w:val="20"/>
          <w:szCs w:val="20"/>
          <w:color w:val="auto"/>
        </w:rPr>
      </w:pPr>
    </w:p>
    <w:p>
      <w:pPr>
        <w:ind w:right="140" w:firstLine="436"/>
        <w:spacing w:after="0" w:line="266" w:lineRule="auto"/>
        <w:tabs>
          <w:tab w:leader="none" w:pos="685"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right="500" w:firstLine="436"/>
        <w:spacing w:after="0" w:line="266" w:lineRule="auto"/>
        <w:tabs>
          <w:tab w:leader="none" w:pos="695"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right="660" w:firstLine="436"/>
        <w:spacing w:after="0" w:line="282" w:lineRule="auto"/>
        <w:tabs>
          <w:tab w:leader="none" w:pos="685"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right="260" w:firstLine="436"/>
        <w:spacing w:after="0" w:line="282" w:lineRule="auto"/>
        <w:tabs>
          <w:tab w:leader="none" w:pos="695"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54" w:lineRule="exact"/>
        <w:rPr>
          <w:sz w:val="20"/>
          <w:szCs w:val="20"/>
          <w:color w:val="auto"/>
        </w:rPr>
      </w:pPr>
    </w:p>
    <w:p>
      <w:pPr>
        <w:ind w:left="620" w:hanging="184"/>
        <w:spacing w:after="0"/>
        <w:tabs>
          <w:tab w:leader="none" w:pos="62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have disclosed, based on our most recent evaluation of internal control over financial reporting,</w:t>
      </w:r>
    </w:p>
    <w:p>
      <w:pPr>
        <w:spacing w:after="0" w:line="11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to the company’s auditors and the audit committee of the company’s board of directors (or persons performing the equivalent functions):</w:t>
      </w:r>
    </w:p>
    <w:p>
      <w:pPr>
        <w:spacing w:after="0" w:line="117" w:lineRule="exact"/>
        <w:rPr>
          <w:sz w:val="20"/>
          <w:szCs w:val="20"/>
          <w:color w:val="auto"/>
        </w:rPr>
      </w:pPr>
    </w:p>
    <w:p>
      <w:pPr>
        <w:ind w:right="20" w:firstLine="436"/>
        <w:spacing w:after="0" w:line="282" w:lineRule="auto"/>
        <w:tabs>
          <w:tab w:leader="none" w:pos="695"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62"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17, 2026</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Robin Yanhong Li</w:t>
            </w:r>
          </w:p>
        </w:tc>
      </w:tr>
      <w:tr>
        <w:trPr>
          <w:trHeight w:val="205"/>
        </w:trPr>
        <w:tc>
          <w:tcPr>
            <w:tcW w:w="6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7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Robin Yanhong Li</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020"/>
          </w:cols>
          <w:pgMar w:left="440" w:top="117" w:right="439" w:bottom="1440" w:gutter="0" w:footer="0" w:header="0"/>
        </w:sectPr>
      </w:pPr>
    </w:p>
    <w:bookmarkStart w:id="329" w:name="page330"/>
    <w:bookmarkEnd w:id="329"/>
    <w:p>
      <w:pPr>
        <w:jc w:val="right"/>
        <w:spacing w:after="0"/>
        <w:rPr>
          <w:sz w:val="20"/>
          <w:szCs w:val="20"/>
          <w:color w:val="auto"/>
        </w:rPr>
      </w:pPr>
      <w:r>
        <w:rPr>
          <w:rFonts w:ascii="Times New Roman" w:cs="Times New Roman" w:eastAsia="Times New Roman" w:hAnsi="Times New Roman"/>
          <w:sz w:val="18"/>
          <w:szCs w:val="18"/>
          <w:b w:val="1"/>
          <w:bCs w:val="1"/>
          <w:color w:val="auto"/>
        </w:rPr>
        <w:t>Exhibit 12.2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Principal Financial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 Haijian He, certify that:</w:t>
      </w:r>
    </w:p>
    <w:p>
      <w:pPr>
        <w:spacing w:after="0" w:line="117" w:lineRule="exact"/>
        <w:rPr>
          <w:sz w:val="20"/>
          <w:szCs w:val="20"/>
          <w:color w:val="auto"/>
        </w:rPr>
      </w:pPr>
    </w:p>
    <w:p>
      <w:pPr>
        <w:ind w:left="620" w:hanging="184"/>
        <w:spacing w:after="0"/>
        <w:tabs>
          <w:tab w:leader="none" w:pos="62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Baidu, Inc.;</w:t>
      </w:r>
    </w:p>
    <w:p>
      <w:pPr>
        <w:spacing w:after="0" w:line="117" w:lineRule="exact"/>
        <w:rPr>
          <w:rFonts w:ascii="Times New Roman" w:cs="Times New Roman" w:eastAsia="Times New Roman" w:hAnsi="Times New Roman"/>
          <w:sz w:val="18"/>
          <w:szCs w:val="18"/>
          <w:color w:val="auto"/>
        </w:rPr>
      </w:pPr>
    </w:p>
    <w:p>
      <w:pPr>
        <w:ind w:right="200" w:firstLine="436"/>
        <w:spacing w:after="0" w:line="266" w:lineRule="auto"/>
        <w:tabs>
          <w:tab w:leader="none" w:pos="62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right="160" w:firstLine="436"/>
        <w:spacing w:after="0" w:line="282" w:lineRule="auto"/>
        <w:tabs>
          <w:tab w:leader="none" w:pos="62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right="140" w:firstLine="436"/>
        <w:spacing w:after="0" w:line="266" w:lineRule="auto"/>
        <w:tabs>
          <w:tab w:leader="none" w:pos="62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 13a-15(f) and 15d-15(f)) for the company and have:</w:t>
      </w:r>
    </w:p>
    <w:p>
      <w:pPr>
        <w:spacing w:after="0" w:line="68" w:lineRule="exact"/>
        <w:rPr>
          <w:sz w:val="20"/>
          <w:szCs w:val="20"/>
          <w:color w:val="auto"/>
        </w:rPr>
      </w:pPr>
    </w:p>
    <w:p>
      <w:pPr>
        <w:ind w:right="140" w:firstLine="436"/>
        <w:spacing w:after="0" w:line="266" w:lineRule="auto"/>
        <w:tabs>
          <w:tab w:leader="none" w:pos="685"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right="500" w:firstLine="436"/>
        <w:spacing w:after="0" w:line="266" w:lineRule="auto"/>
        <w:tabs>
          <w:tab w:leader="none" w:pos="695"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right="660" w:firstLine="436"/>
        <w:spacing w:after="0" w:line="282" w:lineRule="auto"/>
        <w:tabs>
          <w:tab w:leader="none" w:pos="685"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right="260" w:firstLine="436"/>
        <w:spacing w:after="0" w:line="282" w:lineRule="auto"/>
        <w:tabs>
          <w:tab w:leader="none" w:pos="695"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54" w:lineRule="exact"/>
        <w:rPr>
          <w:sz w:val="20"/>
          <w:szCs w:val="20"/>
          <w:color w:val="auto"/>
        </w:rPr>
      </w:pPr>
    </w:p>
    <w:p>
      <w:pPr>
        <w:ind w:right="100" w:firstLine="436"/>
        <w:spacing w:after="0" w:line="282" w:lineRule="auto"/>
        <w:tabs>
          <w:tab w:leader="none" w:pos="62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w:t>
      </w:r>
    </w:p>
    <w:p>
      <w:pPr>
        <w:spacing w:after="0" w:line="54" w:lineRule="exact"/>
        <w:rPr>
          <w:sz w:val="20"/>
          <w:szCs w:val="20"/>
          <w:color w:val="auto"/>
        </w:rPr>
      </w:pPr>
    </w:p>
    <w:p>
      <w:pPr>
        <w:ind w:right="40" w:firstLine="436"/>
        <w:spacing w:after="0" w:line="282" w:lineRule="auto"/>
        <w:tabs>
          <w:tab w:leader="none" w:pos="685"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right="20" w:firstLine="436"/>
        <w:spacing w:after="0" w:line="282" w:lineRule="auto"/>
        <w:tabs>
          <w:tab w:leader="none" w:pos="685"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17, 2026</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Haijian He</w:t>
            </w:r>
          </w:p>
        </w:tc>
      </w:tr>
      <w:tr>
        <w:trPr>
          <w:trHeight w:val="205"/>
        </w:trPr>
        <w:tc>
          <w:tcPr>
            <w:tcW w:w="6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7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Haijian He</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020"/>
          </w:cols>
          <w:pgMar w:left="440" w:top="117" w:right="439" w:bottom="1440" w:gutter="0" w:footer="0" w:header="0"/>
        </w:sectPr>
      </w:pPr>
    </w:p>
    <w:bookmarkStart w:id="330" w:name="page331"/>
    <w:bookmarkEnd w:id="330"/>
    <w:p>
      <w:pPr>
        <w:jc w:val="right"/>
        <w:spacing w:after="0"/>
        <w:rPr>
          <w:sz w:val="20"/>
          <w:szCs w:val="20"/>
          <w:color w:val="auto"/>
        </w:rPr>
      </w:pPr>
      <w:r>
        <w:rPr>
          <w:rFonts w:ascii="Times New Roman" w:cs="Times New Roman" w:eastAsia="Times New Roman" w:hAnsi="Times New Roman"/>
          <w:sz w:val="18"/>
          <w:szCs w:val="18"/>
          <w:b w:val="1"/>
          <w:bCs w:val="1"/>
          <w:color w:val="auto"/>
        </w:rPr>
        <w:t>Exhibit 13.1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Principal Executive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29"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Baidu, Inc. (the “Company”) on Form 20-F for the year ended December 31, 2025 as filed with the Securities and Exchange Commission on the date hereof (the “Report”), I, Robin Yanhong Li, Chief Executive Officer of the Company, certify, pursuant to 18 U.S.C. Section 1350, as adopted pursuant to Section 906 of the Sarbanes-Oxley Act of 2002, that to my knowledge:</w:t>
      </w:r>
    </w:p>
    <w:p>
      <w:pPr>
        <w:spacing w:after="0" w:line="68" w:lineRule="exact"/>
        <w:rPr>
          <w:sz w:val="20"/>
          <w:szCs w:val="20"/>
          <w:color w:val="auto"/>
        </w:rPr>
      </w:pPr>
    </w:p>
    <w:p>
      <w:pPr>
        <w:ind w:left="700" w:hanging="264"/>
        <w:spacing w:after="0"/>
        <w:tabs>
          <w:tab w:leader="none" w:pos="70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right="660" w:firstLine="436"/>
        <w:spacing w:after="0" w:line="282" w:lineRule="auto"/>
        <w:tabs>
          <w:tab w:leader="none" w:pos="695"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17, 2026</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Robin Yanhong Li</w:t>
            </w:r>
          </w:p>
        </w:tc>
      </w:tr>
      <w:tr>
        <w:trPr>
          <w:trHeight w:val="205"/>
        </w:trPr>
        <w:tc>
          <w:tcPr>
            <w:tcW w:w="6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7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Robin Yanhong Li</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020"/>
          </w:cols>
          <w:pgMar w:left="440" w:top="117" w:right="439" w:bottom="1440" w:gutter="0" w:footer="0" w:header="0"/>
        </w:sectPr>
      </w:pPr>
    </w:p>
    <w:bookmarkStart w:id="331" w:name="page332"/>
    <w:bookmarkEnd w:id="331"/>
    <w:p>
      <w:pPr>
        <w:jc w:val="right"/>
        <w:spacing w:after="0"/>
        <w:rPr>
          <w:sz w:val="20"/>
          <w:szCs w:val="20"/>
          <w:color w:val="auto"/>
        </w:rPr>
      </w:pPr>
      <w:r>
        <w:rPr>
          <w:rFonts w:ascii="Times New Roman" w:cs="Times New Roman" w:eastAsia="Times New Roman" w:hAnsi="Times New Roman"/>
          <w:sz w:val="18"/>
          <w:szCs w:val="18"/>
          <w:b w:val="1"/>
          <w:bCs w:val="1"/>
          <w:color w:val="auto"/>
        </w:rPr>
        <w:t>Exhibit 13.2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07" w:lineRule="exact"/>
        <w:rPr>
          <w:sz w:val="20"/>
          <w:szCs w:val="20"/>
          <w:color w:val="auto"/>
        </w:rPr>
      </w:pPr>
    </w:p>
    <w:p>
      <w:pPr>
        <w:ind w:right="24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Baidu, Inc. (the “Company”) on Form 20-F for the year ended December 31, 2025 as filed with the Securities and Exchange Commission on the date hereof (the “Report”), I, Haijian He, Chief Financial Officer of the Company, certify, pursuant to 18 U.S.C. Section 1350, as adopted pursuant to Section 906 of the Sarbanes-Oxley Act of 2002, that to my knowledge:</w:t>
      </w:r>
    </w:p>
    <w:p>
      <w:pPr>
        <w:spacing w:after="0" w:line="68" w:lineRule="exact"/>
        <w:rPr>
          <w:sz w:val="20"/>
          <w:szCs w:val="20"/>
          <w:color w:val="auto"/>
        </w:rPr>
      </w:pPr>
    </w:p>
    <w:p>
      <w:pPr>
        <w:ind w:left="700" w:hanging="264"/>
        <w:spacing w:after="0"/>
        <w:tabs>
          <w:tab w:leader="none" w:pos="70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right="660" w:firstLine="436"/>
        <w:spacing w:after="0" w:line="282" w:lineRule="auto"/>
        <w:tabs>
          <w:tab w:leader="none" w:pos="695"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17, 2026</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Haijian He</w:t>
            </w:r>
          </w:p>
        </w:tc>
      </w:tr>
      <w:tr>
        <w:trPr>
          <w:trHeight w:val="205"/>
        </w:trPr>
        <w:tc>
          <w:tcPr>
            <w:tcW w:w="6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7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Haijian He</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020"/>
          </w:cols>
          <w:pgMar w:left="440" w:top="117" w:right="439" w:bottom="1440" w:gutter="0" w:footer="0" w:header="0"/>
        </w:sectPr>
      </w:pPr>
    </w:p>
    <w:bookmarkStart w:id="332" w:name="page333"/>
    <w:bookmarkEnd w:id="332"/>
    <w:p>
      <w:pPr>
        <w:jc w:val="right"/>
        <w:spacing w:after="0"/>
        <w:rPr>
          <w:sz w:val="20"/>
          <w:szCs w:val="20"/>
          <w:color w:val="auto"/>
        </w:rPr>
      </w:pPr>
      <w:r>
        <w:rPr>
          <w:rFonts w:ascii="Times New Roman" w:cs="Times New Roman" w:eastAsia="Times New Roman" w:hAnsi="Times New Roman"/>
          <w:sz w:val="18"/>
          <w:szCs w:val="18"/>
          <w:b w:val="1"/>
          <w:bCs w:val="1"/>
          <w:color w:val="auto"/>
        </w:rPr>
        <w:t>Exhibit 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831215" cy="78867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516">
                      <a:extLst>
                        <a:ext uri="{28A0092B-C50C-407E-A947-70E740481C1C}"/>
                      </a:extLst>
                    </a:blip>
                    <a:srcRect/>
                    <a:stretch>
                      <a:fillRect/>
                    </a:stretch>
                  </pic:blipFill>
                  <pic:spPr bwMode="auto">
                    <a:xfrm>
                      <a:off x="0" y="0"/>
                      <a:ext cx="831215"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Our ref</w:t>
      </w:r>
      <w:r>
        <w:rPr>
          <w:sz w:val="20"/>
          <w:szCs w:val="20"/>
          <w:color w:val="auto"/>
        </w:rPr>
        <w:tab/>
      </w:r>
      <w:r>
        <w:rPr>
          <w:rFonts w:ascii="Times New Roman" w:cs="Times New Roman" w:eastAsia="Times New Roman" w:hAnsi="Times New Roman"/>
          <w:sz w:val="17"/>
          <w:szCs w:val="17"/>
          <w:color w:val="auto"/>
        </w:rPr>
        <w:t>JVZ/302152-000002/85413651v1</w:t>
      </w:r>
    </w:p>
    <w:p>
      <w:pPr>
        <w:spacing w:after="0" w:line="31"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Email</w:t>
      </w:r>
      <w:r>
        <w:rPr>
          <w:sz w:val="20"/>
          <w:szCs w:val="20"/>
          <w:color w:val="auto"/>
        </w:rPr>
        <w:tab/>
      </w:r>
      <w:r>
        <w:rPr>
          <w:rFonts w:ascii="Times New Roman" w:cs="Times New Roman" w:eastAsia="Times New Roman" w:hAnsi="Times New Roman"/>
          <w:sz w:val="18"/>
          <w:szCs w:val="18"/>
          <w:color w:val="auto"/>
        </w:rPr>
        <w:t>Jessica.zhan@maples.com</w:t>
      </w:r>
    </w:p>
    <w:p>
      <w:pPr>
        <w:spacing w:after="0" w:line="207"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Baidu, Inc. </w:t>
      </w:r>
      <w:r>
        <w:rPr>
          <w:rFonts w:ascii="SimSun" w:cs="SimSun" w:eastAsia="SimSun" w:hAnsi="SimSun"/>
          <w:sz w:val="16"/>
          <w:szCs w:val="16"/>
          <w:color w:val="auto"/>
        </w:rPr>
        <w:t>百度集團股份有限公司</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Baidu Campus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10 Shangdi 10th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Haidian District, Beijing 100085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People’s Republic of China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17,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w:t>
      </w:r>
    </w:p>
    <w:p>
      <w:pPr>
        <w:spacing w:after="0" w:line="221"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Baidu, Inc. </w:t>
      </w:r>
      <w:r>
        <w:rPr>
          <w:rFonts w:ascii="SimSun" w:cs="SimSun" w:eastAsia="SimSun" w:hAnsi="SimSun"/>
          <w:sz w:val="16"/>
          <w:szCs w:val="16"/>
          <w:color w:val="auto"/>
        </w:rPr>
        <w:t>百度集團股份有限公司</w:t>
      </w:r>
    </w:p>
    <w:p>
      <w:pPr>
        <w:spacing w:after="0" w:line="135"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We consent to the reference to our firm under the heading “Item 10.E. Additional Information—Taxation—Cayman Islands Tax Considerations” and “Item 16G. Corporate Governance” in Baidu Inc.’s Annual Report on Form 20-F for the year ended 31 December 2025 (the “Annual Report”), which will be filed with the Securities and Exchange Commission (the “SEC”) in the month of March 2026, and further consent to the incorporation by reference into the Registration Statement (Form S-8 No. 333-158678) pertaining to Baidu, Inc.’s 2008 Share Incentive Plan, Registration Statement (Form S-8 No. 333-232429) pertaining to Baidu Inc.’s 2018 Share Incentive Plan, and Registration Statement (Form S-8 No. 333-280019) pertaining to Baidu, Inc.’s 2023 Share Incentive Plan of the summary of our opinion under the heading “Item 10.E. Additional Information—Taxation—Cayman Islands Tax Considerations” and “Item 16G. Corporate Governance” in the Annual Report. We also consent to the filing with the SEC of this consent letter as an exhibit to the Annual Report. In giving such consent, we do not thereby admit that we come within the category of persons whose consent is required under Section 7 of the Securities Act of 1933, or under the Securities Exchange Act of 1934, in each case, as amended, or the regulations promulgated thereunder.</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Maples and Calder (Hong Kong)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Maples and Calder (Hong Kong) LLP</w:t>
      </w:r>
    </w:p>
    <w:p>
      <w:pPr>
        <w:sectPr>
          <w:pgSz w:w="11900" w:h="16838" w:orient="portrait"/>
          <w:cols w:equalWidth="0" w:num="1">
            <w:col w:w="11020"/>
          </w:cols>
          <w:pgMar w:left="440" w:top="117" w:right="439" w:bottom="1440" w:gutter="0" w:footer="0" w:header="0"/>
        </w:sectPr>
      </w:pPr>
    </w:p>
    <w:bookmarkStart w:id="333" w:name="page334"/>
    <w:bookmarkEnd w:id="333"/>
    <w:p>
      <w:pPr>
        <w:jc w:val="right"/>
        <w:spacing w:after="0"/>
        <w:rPr>
          <w:sz w:val="20"/>
          <w:szCs w:val="20"/>
          <w:color w:val="auto"/>
        </w:rPr>
      </w:pPr>
      <w:r>
        <w:rPr>
          <w:rFonts w:ascii="Times New Roman" w:cs="Times New Roman" w:eastAsia="Times New Roman" w:hAnsi="Times New Roman"/>
          <w:sz w:val="18"/>
          <w:szCs w:val="18"/>
          <w:b w:val="1"/>
          <w:bCs w:val="1"/>
          <w:color w:val="auto"/>
        </w:rPr>
        <w:t>Exhibit 15.2</w:t>
      </w:r>
    </w:p>
    <w:p>
      <w:pPr>
        <w:spacing w:after="0" w:line="256" w:lineRule="exact"/>
        <w:rPr>
          <w:sz w:val="20"/>
          <w:szCs w:val="20"/>
          <w:color w:val="auto"/>
        </w:rPr>
      </w:pPr>
    </w:p>
    <w:p>
      <w:pPr>
        <w:ind w:right="5180"/>
        <w:spacing w:after="0" w:line="261" w:lineRule="auto"/>
        <w:rPr>
          <w:sz w:val="20"/>
          <w:szCs w:val="20"/>
          <w:color w:val="auto"/>
        </w:rPr>
      </w:pPr>
      <w:r>
        <w:rPr>
          <w:rFonts w:ascii="Times New Roman" w:cs="Times New Roman" w:eastAsia="Times New Roman" w:hAnsi="Times New Roman"/>
          <w:sz w:val="18"/>
          <w:szCs w:val="18"/>
          <w:color w:val="auto"/>
        </w:rPr>
        <w:t>9/F, Office Tower C1, Oriental Plaza, 1 East Chang An Ave., Dongcheng District Beijing 100738, PRC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5998210</wp:posOffset>
            </wp:positionH>
            <wp:positionV relativeFrom="paragraph">
              <wp:posOffset>-273685</wp:posOffset>
            </wp:positionV>
            <wp:extent cx="994410" cy="41148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517">
                      <a:extLst>
                        <a:ext uri="{28A0092B-C50C-407E-A947-70E740481C1C}"/>
                      </a:extLst>
                    </a:blip>
                    <a:srcRect/>
                    <a:stretch>
                      <a:fillRect/>
                    </a:stretch>
                  </pic:blipFill>
                  <pic:spPr bwMode="auto">
                    <a:xfrm>
                      <a:off x="0" y="0"/>
                      <a:ext cx="994410" cy="41148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Tel: +86 10 8525 5500   Fax: +86 10 8525 5511 / 8525 5522</w:t>
      </w:r>
    </w:p>
    <w:p>
      <w:pPr>
        <w:spacing w:after="0" w:line="9" w:lineRule="exact"/>
        <w:rPr>
          <w:sz w:val="20"/>
          <w:szCs w:val="20"/>
          <w:color w:val="auto"/>
        </w:rPr>
      </w:pPr>
    </w:p>
    <w:p>
      <w:pPr>
        <w:ind w:right="4820"/>
        <w:spacing w:after="0" w:line="260" w:lineRule="auto"/>
        <w:rPr>
          <w:sz w:val="20"/>
          <w:szCs w:val="20"/>
          <w:color w:val="auto"/>
        </w:rPr>
      </w:pPr>
      <w:r>
        <w:rPr>
          <w:rFonts w:ascii="Times New Roman" w:cs="Times New Roman" w:eastAsia="Times New Roman" w:hAnsi="Times New Roman"/>
          <w:sz w:val="18"/>
          <w:szCs w:val="18"/>
          <w:color w:val="auto"/>
        </w:rPr>
        <w:t xml:space="preserve">Beijing · Shanghai · Shenzhen · Hong Kong · Haikou · Wuhan · Singapore · New York </w:t>
      </w:r>
      <w:r>
        <w:rPr>
          <w:rFonts w:ascii="Times New Roman" w:cs="Times New Roman" w:eastAsia="Times New Roman" w:hAnsi="Times New Roman"/>
          <w:sz w:val="18"/>
          <w:szCs w:val="18"/>
          <w:u w:val="single" w:color="auto"/>
          <w:color w:val="auto"/>
        </w:rPr>
        <w:t>www.hankunlaw.com</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17,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Baidu,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Baidu Campus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10 Shangdi 10th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Haidian District, Beijing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People’s Republic of China 100085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Sir/Madam:</w:t>
      </w:r>
    </w:p>
    <w:p>
      <w:pPr>
        <w:spacing w:after="0" w:line="22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hereby consent to the reference of our name under the heading “Item 4.B. Information on the Company—Business Overview—Regulations” in Baidu, Inc.’s Annual Report on Form 20-F for the year ended December 31, 2025 (the “</w:t>
      </w:r>
      <w:r>
        <w:rPr>
          <w:rFonts w:ascii="Times New Roman" w:cs="Times New Roman" w:eastAsia="Times New Roman" w:hAnsi="Times New Roman"/>
          <w:sz w:val="18"/>
          <w:szCs w:val="18"/>
          <w:b w:val="1"/>
          <w:bCs w:val="1"/>
          <w:color w:val="auto"/>
        </w:rPr>
        <w:t>Annual Report</w:t>
      </w:r>
      <w:r>
        <w:rPr>
          <w:rFonts w:ascii="Times New Roman" w:cs="Times New Roman" w:eastAsia="Times New Roman" w:hAnsi="Times New Roman"/>
          <w:sz w:val="18"/>
          <w:szCs w:val="18"/>
          <w:color w:val="auto"/>
        </w:rPr>
        <w:t>”), which will be filed with the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in the month of March 2026, and further consent to the incorporation by reference into the Registration Statement (Form S-8 No. 333-158678) pertaining to Baidu, Inc.’s 2008 Share Incentive Plan, Registration Statement (Form S-8 No. 333-232429) pertaining to Baidu Inc.’s 2018 Share Incentive Plan, and Registration Statement (Form S-8 No. 333-280019) pertaining to Baidu, Inc.’s 2023 Share Incentive Plan of the summary of our opinion under the heading “Item 4.B. Information on the Company—Business Overview—Regulations” in the Annual Report. We also consent to the filing of this consent letter with the SEC as an exhibit to the Annual Report.</w:t>
      </w:r>
    </w:p>
    <w:p>
      <w:pPr>
        <w:spacing w:after="0" w:line="18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 giving such consent, we do not thereby admit that we come within the category of persons whose consent is required under Section 7 of the Securities Act of 1933, or under the Securities Exchange Act of 1934, in each case, as amended, or the regulations promulgated thereunder.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Han Kun Law Offices 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194627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518">
                      <a:extLst>
                        <a:ext uri="{28A0092B-C50C-407E-A947-70E740481C1C}"/>
                      </a:extLst>
                    </a:blip>
                    <a:srcRect/>
                    <a:stretch>
                      <a:fillRect/>
                    </a:stretch>
                  </pic:blipFill>
                  <pic:spPr bwMode="auto">
                    <a:xfrm>
                      <a:off x="0" y="0"/>
                      <a:ext cx="194627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Han Kun Law Offices</w:t>
      </w:r>
    </w:p>
    <w:p>
      <w:pPr>
        <w:sectPr>
          <w:pgSz w:w="11900" w:h="16838" w:orient="portrait"/>
          <w:cols w:equalWidth="0" w:num="1">
            <w:col w:w="11020"/>
          </w:cols>
          <w:pgMar w:left="440" w:top="117" w:right="439" w:bottom="1440" w:gutter="0" w:footer="0" w:header="0"/>
        </w:sectPr>
      </w:pPr>
    </w:p>
    <w:bookmarkStart w:id="334" w:name="page335"/>
    <w:bookmarkEnd w:id="334"/>
    <w:p>
      <w:pPr>
        <w:jc w:val="right"/>
        <w:spacing w:after="0"/>
        <w:rPr>
          <w:sz w:val="20"/>
          <w:szCs w:val="20"/>
          <w:color w:val="auto"/>
        </w:rPr>
      </w:pPr>
      <w:r>
        <w:rPr>
          <w:rFonts w:ascii="Times New Roman" w:cs="Times New Roman" w:eastAsia="Times New Roman" w:hAnsi="Times New Roman"/>
          <w:sz w:val="18"/>
          <w:szCs w:val="18"/>
          <w:b w:val="1"/>
          <w:bCs w:val="1"/>
          <w:color w:val="auto"/>
        </w:rPr>
        <w:t>EXHIBIT 15.3</w:t>
      </w:r>
    </w:p>
    <w:p>
      <w:pPr>
        <w:spacing w:after="0" w:line="225"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131" w:lineRule="exact"/>
        <w:rPr>
          <w:sz w:val="20"/>
          <w:szCs w:val="20"/>
          <w:color w:val="auto"/>
        </w:rPr>
      </w:pPr>
    </w:p>
    <w:p>
      <w:pPr>
        <w:ind w:left="960" w:hanging="532"/>
        <w:spacing w:after="0"/>
        <w:tabs>
          <w:tab w:leader="none" w:pos="96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333-158678) pertaining to the 2008 Share Incentive Plan of Baidu, Inc.,</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333-232429) pertaining to the 2018 Share Incentive Plan of Baidu, Inc., and</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333-280019) pertaining to Baidu, Inc.’s 2023 Share Incentive Plan</w:t>
      </w:r>
    </w:p>
    <w:p>
      <w:pPr>
        <w:spacing w:after="0" w:line="22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of our reports dated March 17, 2026, with respect to the consolidated financial statements of Baidu, Inc. and the effectiveness of internal control over financial reporting of Baidu, Inc. included in this Annual Report (Form 20-F) of Baidu, Inc. for the year ended December 31, 2025.</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Hua Ming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51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Beijing, The People’s Republic of China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17, 2026</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SimSun">
    <w:panose1 w:val="02010600030101010101"/>
    <w:charset w:val="86"/>
    <w:family w:val="auto"/>
    <w:pitch w:val="variable"/>
    <w:sig w:usb0="00000003" w:usb1="288F0000" w:usb2="00000006" w:usb3="00000000" w:csb0="00040001" w:csb1="00000000"/>
  </w:font>
</w:fonts>
</file>

<file path=word/numbering.xml><?xml version="1.0" encoding="utf-8"?>
<w:numbering xmlns:w="http://schemas.openxmlformats.org/wordprocessingml/2006/main">
  <w:abstractNum w:abstractNumId="0">
    <w:nsid w:val="6AA78F7F"/>
    <w:multiLevelType w:val="hybridMultilevel"/>
    <w:lvl w:ilvl="0">
      <w:lvlJc w:val="left"/>
      <w:lvlText w:val="☐"/>
      <w:numFmt w:val="bullet"/>
      <w:start w:val="1"/>
    </w:lvl>
  </w:abstractNum>
  <w:abstractNum w:abstractNumId="1">
    <w:nsid w:val="7672BD23"/>
    <w:multiLevelType w:val="hybridMultilevel"/>
    <w:lvl w:ilvl="0">
      <w:lvlJc w:val="left"/>
      <w:lvlText w:val="☐"/>
      <w:numFmt w:val="bullet"/>
      <w:start w:val="1"/>
    </w:lvl>
  </w:abstractNum>
  <w:abstractNum w:abstractNumId="2">
    <w:nsid w:val="6FC75AF8"/>
    <w:multiLevelType w:val="hybridMultilevel"/>
    <w:lvl w:ilvl="0">
      <w:lvlJc w:val="left"/>
      <w:lvlText w:val="*"/>
      <w:numFmt w:val="bullet"/>
      <w:start w:val="1"/>
    </w:lvl>
  </w:abstractNum>
  <w:abstractNum w:abstractNumId="3">
    <w:nsid w:val="6A5F7029"/>
    <w:multiLevelType w:val="hybridMultilevel"/>
    <w:lvl w:ilvl="0">
      <w:lvlJc w:val="left"/>
      <w:lvlText w:val="•"/>
      <w:numFmt w:val="bullet"/>
      <w:start w:val="1"/>
    </w:lvl>
  </w:abstractNum>
  <w:abstractNum w:abstractNumId="4">
    <w:nsid w:val="7D5E18F8"/>
    <w:multiLevelType w:val="hybridMultilevel"/>
    <w:lvl w:ilvl="0">
      <w:lvlJc w:val="left"/>
      <w:lvlText w:val="•"/>
      <w:numFmt w:val="bullet"/>
      <w:start w:val="1"/>
    </w:lvl>
  </w:abstractNum>
  <w:abstractNum w:abstractNumId="5">
    <w:nsid w:val="5F3534A4"/>
    <w:multiLevelType w:val="hybridMultilevel"/>
    <w:lvl w:ilvl="0">
      <w:lvlJc w:val="left"/>
      <w:lvlText w:val="•"/>
      <w:numFmt w:val="bullet"/>
      <w:start w:val="1"/>
    </w:lvl>
  </w:abstractNum>
  <w:abstractNum w:abstractNumId="6">
    <w:nsid w:val="73A1821B"/>
    <w:multiLevelType w:val="hybridMultilevel"/>
    <w:lvl w:ilvl="0">
      <w:lvlJc w:val="left"/>
      <w:lvlText w:val="•"/>
      <w:numFmt w:val="bullet"/>
      <w:start w:val="1"/>
    </w:lvl>
  </w:abstractNum>
  <w:abstractNum w:abstractNumId="7">
    <w:nsid w:val="7DE67713"/>
    <w:multiLevelType w:val="hybridMultilevel"/>
    <w:lvl w:ilvl="0">
      <w:lvlJc w:val="left"/>
      <w:lvlText w:val="%1."/>
      <w:numFmt w:val="upperLetter"/>
      <w:start w:val="1"/>
    </w:lvl>
  </w:abstractNum>
  <w:abstractNum w:abstractNumId="8">
    <w:nsid w:val="555C55B5"/>
    <w:multiLevelType w:val="hybridMultilevel"/>
    <w:lvl w:ilvl="0">
      <w:lvlJc w:val="left"/>
      <w:lvlText w:val="(%1)"/>
      <w:numFmt w:val="decimal"/>
      <w:start w:val="1"/>
    </w:lvl>
  </w:abstractNum>
  <w:abstractNum w:abstractNumId="9">
    <w:nsid w:val="3FA62ACA"/>
    <w:multiLevelType w:val="hybridMultilevel"/>
    <w:lvl w:ilvl="0">
      <w:lvlJc w:val="left"/>
      <w:lvlText w:val="•"/>
      <w:numFmt w:val="bullet"/>
      <w:start w:val="1"/>
    </w:lvl>
  </w:abstractNum>
  <w:abstractNum w:abstractNumId="10">
    <w:nsid w:val="14FCE74E"/>
    <w:multiLevelType w:val="hybridMultilevel"/>
    <w:lvl w:ilvl="0">
      <w:lvlJc w:val="left"/>
      <w:lvlText w:val="(%1)"/>
      <w:numFmt w:val="decimal"/>
      <w:start w:val="1"/>
    </w:lvl>
  </w:abstractNum>
  <w:abstractNum w:abstractNumId="11">
    <w:nsid w:val="6A3DD3E8"/>
    <w:multiLevelType w:val="hybridMultilevel"/>
    <w:lvl w:ilvl="0">
      <w:lvlJc w:val="left"/>
      <w:lvlText w:val="(%1)"/>
      <w:numFmt w:val="decimal"/>
      <w:start w:val="1"/>
    </w:lvl>
  </w:abstractNum>
  <w:abstractNum w:abstractNumId="12">
    <w:nsid w:val="71C91298"/>
    <w:multiLevelType w:val="hybridMultilevel"/>
    <w:lvl w:ilvl="0">
      <w:lvlJc w:val="left"/>
      <w:lvlText w:val="%1."/>
      <w:numFmt w:val="upperLetter"/>
      <w:start w:val="2"/>
    </w:lvl>
  </w:abstractNum>
  <w:abstractNum w:abstractNumId="13">
    <w:nsid w:val="9DAF632"/>
    <w:multiLevelType w:val="hybridMultilevel"/>
    <w:lvl w:ilvl="0">
      <w:lvlJc w:val="left"/>
      <w:lvlText w:val="%1."/>
      <w:numFmt w:val="upperLetter"/>
      <w:start w:val="4"/>
    </w:lvl>
  </w:abstractNum>
  <w:abstractNum w:abstractNumId="14">
    <w:nsid w:val="53299938"/>
    <w:multiLevelType w:val="hybridMultilevel"/>
    <w:lvl w:ilvl="0">
      <w:lvlJc w:val="left"/>
      <w:lvlText w:val="•"/>
      <w:numFmt w:val="bullet"/>
      <w:start w:val="1"/>
    </w:lvl>
  </w:abstractNum>
  <w:abstractNum w:abstractNumId="15">
    <w:nsid w:val="1FBFE8E0"/>
    <w:multiLevelType w:val="hybridMultilevel"/>
    <w:lvl w:ilvl="0">
      <w:lvlJc w:val="left"/>
      <w:lvlText w:val="•"/>
      <w:numFmt w:val="bullet"/>
      <w:start w:val="1"/>
    </w:lvl>
  </w:abstractNum>
  <w:abstractNum w:abstractNumId="16">
    <w:nsid w:val="5092CA79"/>
    <w:multiLevelType w:val="hybridMultilevel"/>
    <w:lvl w:ilvl="0">
      <w:lvlJc w:val="left"/>
      <w:lvlText w:val="•"/>
      <w:numFmt w:val="bullet"/>
      <w:start w:val="1"/>
    </w:lvl>
  </w:abstractNum>
  <w:abstractNum w:abstractNumId="17">
    <w:nsid w:val="1D545C4D"/>
    <w:multiLevelType w:val="hybridMultilevel"/>
    <w:lvl w:ilvl="0">
      <w:lvlJc w:val="left"/>
      <w:lvlText w:val="•"/>
      <w:numFmt w:val="bullet"/>
      <w:start w:val="1"/>
    </w:lvl>
  </w:abstractNum>
  <w:abstractNum w:abstractNumId="18">
    <w:nsid w:val="59ADEA3D"/>
    <w:multiLevelType w:val="hybridMultilevel"/>
    <w:lvl w:ilvl="0">
      <w:lvlJc w:val="left"/>
      <w:lvlText w:val="•"/>
      <w:numFmt w:val="bullet"/>
      <w:start w:val="1"/>
    </w:lvl>
  </w:abstractNum>
  <w:abstractNum w:abstractNumId="19">
    <w:nsid w:val="288F1A34"/>
    <w:multiLevelType w:val="hybridMultilevel"/>
    <w:lvl w:ilvl="0">
      <w:lvlJc w:val="left"/>
      <w:lvlText w:val="•"/>
      <w:numFmt w:val="bullet"/>
      <w:start w:val="1"/>
    </w:lvl>
  </w:abstractNum>
  <w:abstractNum w:abstractNumId="20">
    <w:nsid w:val="2A155DBC"/>
    <w:multiLevelType w:val="hybridMultilevel"/>
    <w:lvl w:ilvl="0">
      <w:lvlJc w:val="left"/>
      <w:lvlText w:val="•"/>
      <w:numFmt w:val="bullet"/>
      <w:start w:val="1"/>
    </w:lvl>
  </w:abstractNum>
  <w:abstractNum w:abstractNumId="21">
    <w:nsid w:val="1D9F6E5F"/>
    <w:multiLevelType w:val="hybridMultilevel"/>
    <w:lvl w:ilvl="0">
      <w:lvlJc w:val="left"/>
      <w:lvlText w:val="•"/>
      <w:numFmt w:val="bullet"/>
      <w:start w:val="1"/>
    </w:lvl>
  </w:abstractNum>
  <w:abstractNum w:abstractNumId="22">
    <w:nsid w:val="97E1B4E"/>
    <w:multiLevelType w:val="hybridMultilevel"/>
    <w:lvl w:ilvl="0">
      <w:lvlJc w:val="left"/>
      <w:lvlText w:val="•"/>
      <w:numFmt w:val="bullet"/>
      <w:start w:val="1"/>
    </w:lvl>
  </w:abstractNum>
  <w:abstractNum w:abstractNumId="23">
    <w:nsid w:val="51088277"/>
    <w:multiLevelType w:val="hybridMultilevel"/>
    <w:lvl w:ilvl="0">
      <w:lvlJc w:val="left"/>
      <w:lvlText w:val="•"/>
      <w:numFmt w:val="bullet"/>
      <w:start w:val="1"/>
    </w:lvl>
  </w:abstractNum>
  <w:abstractNum w:abstractNumId="24">
    <w:nsid w:val="1CA0C5FA"/>
    <w:multiLevelType w:val="hybridMultilevel"/>
    <w:lvl w:ilvl="0">
      <w:lvlJc w:val="left"/>
      <w:lvlText w:val="•"/>
      <w:numFmt w:val="bullet"/>
      <w:start w:val="1"/>
    </w:lvl>
  </w:abstractNum>
  <w:abstractNum w:abstractNumId="25">
    <w:nsid w:val="53584BCB"/>
    <w:multiLevelType w:val="hybridMultilevel"/>
    <w:lvl w:ilvl="0">
      <w:lvlJc w:val="left"/>
      <w:lvlText w:val="•"/>
      <w:numFmt w:val="bullet"/>
      <w:start w:val="1"/>
    </w:lvl>
  </w:abstractNum>
  <w:abstractNum w:abstractNumId="26">
    <w:nsid w:val="415E286C"/>
    <w:multiLevelType w:val="hybridMultilevel"/>
    <w:lvl w:ilvl="0">
      <w:lvlJc w:val="left"/>
      <w:lvlText w:val="•"/>
      <w:numFmt w:val="bullet"/>
      <w:start w:val="1"/>
    </w:lvl>
  </w:abstractNum>
  <w:abstractNum w:abstractNumId="27">
    <w:nsid w:val="7C58FD05"/>
    <w:multiLevelType w:val="hybridMultilevel"/>
    <w:lvl w:ilvl="0">
      <w:lvlJc w:val="left"/>
      <w:lvlText w:val="•"/>
      <w:numFmt w:val="bullet"/>
      <w:start w:val="1"/>
    </w:lvl>
  </w:abstractNum>
  <w:abstractNum w:abstractNumId="28">
    <w:nsid w:val="23D86AAC"/>
    <w:multiLevelType w:val="hybridMultilevel"/>
    <w:lvl w:ilvl="0">
      <w:lvlJc w:val="left"/>
      <w:lvlText w:val="(%1)"/>
      <w:numFmt w:val="lowerRoman"/>
      <w:start w:val="3"/>
    </w:lvl>
  </w:abstractNum>
  <w:abstractNum w:abstractNumId="29">
    <w:nsid w:val="45E6D486"/>
    <w:multiLevelType w:val="hybridMultilevel"/>
    <w:lvl w:ilvl="0">
      <w:lvlJc w:val="left"/>
      <w:lvlText w:val="•"/>
      <w:numFmt w:val="bullet"/>
      <w:start w:val="1"/>
    </w:lvl>
  </w:abstractNum>
  <w:abstractNum w:abstractNumId="30">
    <w:nsid w:val="5C10FE21"/>
    <w:multiLevelType w:val="hybridMultilevel"/>
    <w:lvl w:ilvl="0">
      <w:lvlJc w:val="left"/>
      <w:lvlText w:val="•"/>
      <w:numFmt w:val="bullet"/>
      <w:start w:val="1"/>
    </w:lvl>
  </w:abstractNum>
  <w:abstractNum w:abstractNumId="31">
    <w:nsid w:val="E7FFA2B"/>
    <w:multiLevelType w:val="hybridMultilevel"/>
    <w:lvl w:ilvl="0">
      <w:lvlJc w:val="left"/>
      <w:lvlText w:val="•"/>
      <w:numFmt w:val="bullet"/>
      <w:start w:val="1"/>
    </w:lvl>
  </w:abstractNum>
  <w:abstractNum w:abstractNumId="32">
    <w:nsid w:val="3C5991AA"/>
    <w:multiLevelType w:val="hybridMultilevel"/>
    <w:lvl w:ilvl="0">
      <w:lvlJc w:val="left"/>
      <w:lvlText w:val="•"/>
      <w:numFmt w:val="bullet"/>
      <w:start w:val="1"/>
    </w:lvl>
  </w:abstractNum>
  <w:abstractNum w:abstractNumId="33">
    <w:nsid w:val="4BD8591A"/>
    <w:multiLevelType w:val="hybridMultilevel"/>
    <w:lvl w:ilvl="0">
      <w:lvlJc w:val="left"/>
      <w:lvlText w:val="•"/>
      <w:numFmt w:val="bullet"/>
      <w:start w:val="1"/>
    </w:lvl>
  </w:abstractNum>
  <w:abstractNum w:abstractNumId="34">
    <w:nsid w:val="78DF6A55"/>
    <w:multiLevelType w:val="hybridMultilevel"/>
    <w:lvl w:ilvl="0">
      <w:lvlJc w:val="left"/>
      <w:lvlText w:val="•"/>
      <w:numFmt w:val="bullet"/>
      <w:start w:val="1"/>
    </w:lvl>
  </w:abstractNum>
  <w:abstractNum w:abstractNumId="35">
    <w:nsid w:val="39B7AAA2"/>
    <w:multiLevelType w:val="hybridMultilevel"/>
    <w:lvl w:ilvl="0">
      <w:lvlJc w:val="left"/>
      <w:lvlText w:val="(%1)"/>
      <w:numFmt w:val="lowerRoman"/>
      <w:start w:val="4"/>
    </w:lvl>
  </w:abstractNum>
  <w:abstractNum w:abstractNumId="36">
    <w:nsid w:val="2B0D8DBE"/>
    <w:multiLevelType w:val="hybridMultilevel"/>
    <w:lvl w:ilvl="0">
      <w:lvlJc w:val="left"/>
      <w:lvlText w:val="•"/>
      <w:numFmt w:val="bullet"/>
      <w:start w:val="1"/>
    </w:lvl>
  </w:abstractNum>
  <w:abstractNum w:abstractNumId="37">
    <w:nsid w:val="6C80EC70"/>
    <w:multiLevelType w:val="hybridMultilevel"/>
    <w:lvl w:ilvl="0">
      <w:lvlJc w:val="left"/>
      <w:lvlText w:val="•"/>
      <w:numFmt w:val="bullet"/>
      <w:start w:val="1"/>
    </w:lvl>
  </w:abstractNum>
  <w:abstractNum w:abstractNumId="38">
    <w:nsid w:val="379E21B5"/>
    <w:multiLevelType w:val="hybridMultilevel"/>
    <w:lvl w:ilvl="0">
      <w:lvlJc w:val="left"/>
      <w:lvlText w:val="%1."/>
      <w:numFmt w:val="upperLetter"/>
      <w:start w:val="1"/>
    </w:lvl>
  </w:abstractNum>
  <w:abstractNum w:abstractNumId="39">
    <w:nsid w:val="69E373"/>
    <w:multiLevelType w:val="hybridMultilevel"/>
    <w:lvl w:ilvl="0">
      <w:lvlJc w:val="left"/>
      <w:lvlText w:val="%1."/>
      <w:numFmt w:val="upperLetter"/>
      <w:start w:val="2"/>
    </w:lvl>
  </w:abstractNum>
  <w:abstractNum w:abstractNumId="40">
    <w:nsid w:val="2C27173B"/>
    <w:multiLevelType w:val="hybridMultilevel"/>
    <w:lvl w:ilvl="0">
      <w:lvlJc w:val="left"/>
      <w:lvlText w:val="•"/>
      <w:numFmt w:val="bullet"/>
      <w:start w:val="1"/>
    </w:lvl>
  </w:abstractNum>
  <w:abstractNum w:abstractNumId="41">
    <w:nsid w:val="4C9B0904"/>
    <w:multiLevelType w:val="hybridMultilevel"/>
    <w:lvl w:ilvl="0">
      <w:lvlJc w:val="left"/>
      <w:lvlText w:val="•"/>
      <w:numFmt w:val="bullet"/>
      <w:start w:val="1"/>
    </w:lvl>
  </w:abstractNum>
  <w:abstractNum w:abstractNumId="42">
    <w:nsid w:val="6AA7B75C"/>
    <w:multiLevelType w:val="hybridMultilevel"/>
    <w:lvl w:ilvl="0">
      <w:lvlJc w:val="left"/>
      <w:lvlText w:val="•"/>
      <w:numFmt w:val="bullet"/>
      <w:start w:val="1"/>
    </w:lvl>
  </w:abstractNum>
  <w:abstractNum w:abstractNumId="43">
    <w:nsid w:val="1DF029D3"/>
    <w:multiLevelType w:val="hybridMultilevel"/>
    <w:lvl w:ilvl="0">
      <w:lvlJc w:val="left"/>
      <w:lvlText w:val="•"/>
      <w:numFmt w:val="bullet"/>
      <w:start w:val="1"/>
    </w:lvl>
  </w:abstractNum>
  <w:abstractNum w:abstractNumId="44">
    <w:nsid w:val="5675FF36"/>
    <w:multiLevelType w:val="hybridMultilevel"/>
    <w:lvl w:ilvl="0">
      <w:lvlJc w:val="left"/>
      <w:lvlText w:val="•"/>
      <w:numFmt w:val="bullet"/>
      <w:start w:val="1"/>
    </w:lvl>
  </w:abstractNum>
  <w:abstractNum w:abstractNumId="45">
    <w:nsid w:val="3DD15094"/>
    <w:multiLevelType w:val="hybridMultilevel"/>
    <w:lvl w:ilvl="0">
      <w:lvlJc w:val="left"/>
      <w:lvlText w:val="•"/>
      <w:numFmt w:val="bullet"/>
      <w:start w:val="1"/>
    </w:lvl>
  </w:abstractNum>
  <w:abstractNum w:abstractNumId="46">
    <w:nsid w:val="3DB012B3"/>
    <w:multiLevelType w:val="hybridMultilevel"/>
    <w:lvl w:ilvl="0">
      <w:lvlJc w:val="left"/>
      <w:lvlText w:val="•"/>
      <w:numFmt w:val="bullet"/>
      <w:start w:val="1"/>
    </w:lvl>
  </w:abstractNum>
  <w:abstractNum w:abstractNumId="47">
    <w:nsid w:val="2708C9AF"/>
    <w:multiLevelType w:val="hybridMultilevel"/>
    <w:lvl w:ilvl="0">
      <w:lvlJc w:val="left"/>
      <w:lvlText w:val="(%1)"/>
      <w:numFmt w:val="lowerRoman"/>
      <w:start w:val="2"/>
    </w:lvl>
  </w:abstractNum>
  <w:abstractNum w:abstractNumId="48">
    <w:nsid w:val="5B25ACE2"/>
    <w:multiLevelType w:val="hybridMultilevel"/>
    <w:lvl w:ilvl="0">
      <w:lvlJc w:val="left"/>
      <w:lvlText w:val="•"/>
      <w:numFmt w:val="bullet"/>
      <w:start w:val="1"/>
    </w:lvl>
  </w:abstractNum>
  <w:abstractNum w:abstractNumId="49">
    <w:nsid w:val="175DFCF0"/>
    <w:multiLevelType w:val="hybridMultilevel"/>
    <w:lvl w:ilvl="0">
      <w:lvlJc w:val="left"/>
      <w:lvlText w:val="(%1)"/>
      <w:numFmt w:val="lowerRoman"/>
      <w:start w:val="3"/>
    </w:lvl>
  </w:abstractNum>
  <w:abstractNum w:abstractNumId="50">
    <w:nsid w:val="4F97E3E4"/>
    <w:multiLevelType w:val="hybridMultilevel"/>
    <w:lvl w:ilvl="0">
      <w:lvlJc w:val="left"/>
      <w:lvlText w:val="(%1)"/>
      <w:numFmt w:val="lowerRoman"/>
      <w:start w:val="4"/>
    </w:lvl>
  </w:abstractNum>
  <w:abstractNum w:abstractNumId="51">
    <w:nsid w:val="53B0A9E"/>
    <w:multiLevelType w:val="hybridMultilevel"/>
    <w:lvl w:ilvl="0">
      <w:lvlJc w:val="left"/>
      <w:lvlText w:val="(%1)"/>
      <w:numFmt w:val="lowerRoman"/>
      <w:start w:val="2"/>
    </w:lvl>
  </w:abstractNum>
  <w:abstractNum w:abstractNumId="52">
    <w:nsid w:val="34FD6B4F"/>
    <w:multiLevelType w:val="hybridMultilevel"/>
    <w:lvl w:ilvl="0">
      <w:lvlJc w:val="left"/>
      <w:lvlText w:val="(%1)"/>
      <w:numFmt w:val="lowerRoman"/>
      <w:start w:val="2"/>
    </w:lvl>
  </w:abstractNum>
  <w:abstractNum w:abstractNumId="53">
    <w:nsid w:val="5915FF32"/>
    <w:multiLevelType w:val="hybridMultilevel"/>
    <w:lvl w:ilvl="0">
      <w:lvlJc w:val="left"/>
      <w:lvlText w:val="(%1)"/>
      <w:numFmt w:val="lowerRoman"/>
      <w:start w:val="1"/>
    </w:lvl>
  </w:abstractNum>
  <w:abstractNum w:abstractNumId="54">
    <w:nsid w:val="56438D15"/>
    <w:multiLevelType w:val="hybridMultilevel"/>
    <w:lvl w:ilvl="0">
      <w:lvlJc w:val="left"/>
      <w:lvlText w:val="(%1)"/>
      <w:numFmt w:val="lowerRoman"/>
      <w:start w:val="4"/>
    </w:lvl>
  </w:abstractNum>
  <w:abstractNum w:abstractNumId="55">
    <w:nsid w:val="519E3149"/>
    <w:multiLevelType w:val="hybridMultilevel"/>
    <w:lvl w:ilvl="0">
      <w:lvlJc w:val="left"/>
      <w:lvlText w:val="%1."/>
      <w:numFmt w:val="upperLetter"/>
      <w:start w:val="3"/>
    </w:lvl>
  </w:abstractNum>
  <w:abstractNum w:abstractNumId="56">
    <w:nsid w:val="2C6E4AFD"/>
    <w:multiLevelType w:val="hybridMultilevel"/>
    <w:lvl w:ilvl="0">
      <w:lvlJc w:val="left"/>
      <w:lvlText w:val="(%1)"/>
      <w:numFmt w:val="decimal"/>
      <w:start w:val="1"/>
    </w:lvl>
  </w:abstractNum>
  <w:abstractNum w:abstractNumId="57">
    <w:nsid w:val="17A1B582"/>
    <w:multiLevelType w:val="hybridMultilevel"/>
    <w:lvl w:ilvl="0">
      <w:lvlJc w:val="left"/>
      <w:lvlText w:val="•"/>
      <w:numFmt w:val="bullet"/>
      <w:start w:val="1"/>
    </w:lvl>
  </w:abstractNum>
  <w:abstractNum w:abstractNumId="58">
    <w:nsid w:val="4DF72E4E"/>
    <w:multiLevelType w:val="hybridMultilevel"/>
    <w:lvl w:ilvl="0">
      <w:lvlJc w:val="left"/>
      <w:lvlText w:val="%1."/>
      <w:numFmt w:val="upperLetter"/>
      <w:start w:val="4"/>
    </w:lvl>
  </w:abstractNum>
  <w:abstractNum w:abstractNumId="59">
    <w:nsid w:val="5046B5A9"/>
    <w:multiLevelType w:val="hybridMultilevel"/>
    <w:lvl w:ilvl="0">
      <w:lvlJc w:val="left"/>
      <w:lvlText w:val="%1."/>
      <w:numFmt w:val="upperLetter"/>
      <w:start w:val="1"/>
    </w:lvl>
  </w:abstractNum>
  <w:abstractNum w:abstractNumId="60">
    <w:nsid w:val="5D888A08"/>
    <w:multiLevelType w:val="hybridMultilevel"/>
    <w:lvl w:ilvl="0">
      <w:lvlJc w:val="left"/>
      <w:lvlText w:val="(%1)"/>
      <w:numFmt w:val="decimal"/>
      <w:start w:val="1"/>
    </w:lvl>
  </w:abstractNum>
  <w:abstractNum w:abstractNumId="61">
    <w:nsid w:val="2A082C70"/>
    <w:multiLevelType w:val="hybridMultilevel"/>
    <w:lvl w:ilvl="0">
      <w:lvlJc w:val="left"/>
      <w:lvlText w:val="(%1)"/>
      <w:numFmt w:val="decimal"/>
      <w:start w:val="2"/>
    </w:lvl>
  </w:abstractNum>
  <w:abstractNum w:abstractNumId="62">
    <w:nsid w:val="5EC6AFD4"/>
    <w:multiLevelType w:val="hybridMultilevel"/>
    <w:lvl w:ilvl="0">
      <w:lvlJc w:val="left"/>
      <w:lvlText w:val="(%1)"/>
      <w:numFmt w:val="lowerRoman"/>
      <w:start w:val="2"/>
    </w:lvl>
  </w:abstractNum>
  <w:abstractNum w:abstractNumId="63">
    <w:nsid w:val="19E21BB2"/>
    <w:multiLevelType w:val="hybridMultilevel"/>
    <w:lvl w:ilvl="0">
      <w:lvlJc w:val="left"/>
      <w:lvlText w:val="%1."/>
      <w:numFmt w:val="upperLetter"/>
      <w:start w:val="2"/>
    </w:lvl>
  </w:abstractNum>
  <w:abstractNum w:abstractNumId="64">
    <w:nsid w:val="75E0858A"/>
    <w:multiLevelType w:val="hybridMultilevel"/>
    <w:lvl w:ilvl="0">
      <w:lvlJc w:val="left"/>
      <w:lvlText w:val="•"/>
      <w:numFmt w:val="bullet"/>
      <w:start w:val="1"/>
    </w:lvl>
  </w:abstractNum>
  <w:abstractNum w:abstractNumId="65">
    <w:nsid w:val="57A61A29"/>
    <w:multiLevelType w:val="hybridMultilevel"/>
    <w:lvl w:ilvl="0">
      <w:lvlJc w:val="left"/>
      <w:lvlText w:val="•"/>
      <w:numFmt w:val="bullet"/>
      <w:start w:val="1"/>
    </w:lvl>
  </w:abstractNum>
  <w:abstractNum w:abstractNumId="66">
    <w:nsid w:val="5399C654"/>
    <w:multiLevelType w:val="hybridMultilevel"/>
    <w:lvl w:ilvl="0">
      <w:lvlJc w:val="left"/>
      <w:lvlText w:val="•"/>
      <w:numFmt w:val="bullet"/>
      <w:start w:val="1"/>
    </w:lvl>
  </w:abstractNum>
  <w:abstractNum w:abstractNumId="67">
    <w:nsid w:val="20EE1348"/>
    <w:multiLevelType w:val="hybridMultilevel"/>
    <w:lvl w:ilvl="0">
      <w:lvlJc w:val="left"/>
      <w:lvlText w:val="•"/>
      <w:numFmt w:val="bullet"/>
      <w:start w:val="1"/>
    </w:lvl>
  </w:abstractNum>
  <w:abstractNum w:abstractNumId="68">
    <w:nsid w:val="4427069A"/>
    <w:multiLevelType w:val="hybridMultilevel"/>
    <w:lvl w:ilvl="0">
      <w:lvlJc w:val="left"/>
      <w:lvlText w:val="•"/>
      <w:numFmt w:val="bullet"/>
      <w:start w:val="1"/>
    </w:lvl>
  </w:abstractNum>
  <w:abstractNum w:abstractNumId="69">
    <w:nsid w:val="B37E80A"/>
    <w:multiLevelType w:val="hybridMultilevel"/>
    <w:lvl w:ilvl="0">
      <w:lvlJc w:val="left"/>
      <w:lvlText w:val="•"/>
      <w:numFmt w:val="bullet"/>
      <w:start w:val="1"/>
    </w:lvl>
  </w:abstractNum>
  <w:abstractNum w:abstractNumId="70">
    <w:nsid w:val="2157F6BC"/>
    <w:multiLevelType w:val="hybridMultilevel"/>
    <w:lvl w:ilvl="0">
      <w:lvlJc w:val="left"/>
      <w:lvlText w:val="•"/>
      <w:numFmt w:val="bullet"/>
      <w:start w:val="1"/>
    </w:lvl>
  </w:abstractNum>
  <w:abstractNum w:abstractNumId="71">
    <w:nsid w:val="704E1DD5"/>
    <w:multiLevelType w:val="hybridMultilevel"/>
    <w:lvl w:ilvl="0">
      <w:lvlJc w:val="left"/>
      <w:lvlText w:val="%1"/>
      <w:numFmt w:val="upperLetter"/>
      <w:start w:val="51"/>
    </w:lvl>
  </w:abstractNum>
  <w:abstractNum w:abstractNumId="72">
    <w:nsid w:val="57D2F10E"/>
    <w:multiLevelType w:val="hybridMultilevel"/>
    <w:lvl w:ilvl="0">
      <w:lvlJc w:val="left"/>
      <w:lvlText w:val="%1."/>
      <w:numFmt w:val="upperLetter"/>
      <w:start w:val="3"/>
    </w:lvl>
  </w:abstractNum>
  <w:abstractNum w:abstractNumId="73">
    <w:nsid w:val="BFFAE18"/>
    <w:multiLevelType w:val="hybridMultilevel"/>
    <w:lvl w:ilvl="0">
      <w:lvlJc w:val="left"/>
      <w:lvlText w:val="%1."/>
      <w:numFmt w:val="upperLetter"/>
      <w:start w:val="4"/>
    </w:lvl>
  </w:abstractNum>
  <w:abstractNum w:abstractNumId="74">
    <w:nsid w:val="E3E47A8"/>
    <w:multiLevelType w:val="hybridMultilevel"/>
    <w:lvl w:ilvl="0">
      <w:lvlJc w:val="left"/>
      <w:lvlText w:val="%1."/>
      <w:numFmt w:val="upperLetter"/>
      <w:start w:val="5"/>
    </w:lvl>
  </w:abstractNum>
  <w:abstractNum w:abstractNumId="75">
    <w:nsid w:val="2E48F044"/>
    <w:multiLevelType w:val="hybridMultilevel"/>
    <w:lvl w:ilvl="0">
      <w:lvlJc w:val="left"/>
      <w:lvlText w:val="%1."/>
      <w:numFmt w:val="upperLetter"/>
      <w:start w:val="1"/>
    </w:lvl>
  </w:abstractNum>
  <w:abstractNum w:abstractNumId="76">
    <w:nsid w:val="49D0FEAC"/>
    <w:multiLevelType w:val="hybridMultilevel"/>
    <w:lvl w:ilvl="0">
      <w:lvlJc w:val="left"/>
      <w:lvlText w:val="%1."/>
      <w:numFmt w:val="upperLetter"/>
      <w:start w:val="2"/>
    </w:lvl>
  </w:abstractNum>
  <w:abstractNum w:abstractNumId="77">
    <w:nsid w:val="4BEE5A5B"/>
    <w:multiLevelType w:val="hybridMultilevel"/>
    <w:lvl w:ilvl="0">
      <w:lvlJc w:val="left"/>
      <w:lvlText w:val="*"/>
      <w:numFmt w:val="bullet"/>
      <w:start w:val="1"/>
    </w:lvl>
  </w:abstractNum>
  <w:abstractNum w:abstractNumId="78">
    <w:nsid w:val="5551B9F3"/>
    <w:multiLevelType w:val="hybridMultilevel"/>
    <w:lvl w:ilvl="0">
      <w:lvlJc w:val="left"/>
      <w:lvlText w:val="(%1)"/>
      <w:numFmt w:val="decimal"/>
      <w:start w:val="1"/>
    </w:lvl>
  </w:abstractNum>
  <w:abstractNum w:abstractNumId="79">
    <w:nsid w:val="24F6AB8E"/>
    <w:multiLevelType w:val="hybridMultilevel"/>
    <w:lvl w:ilvl="0">
      <w:lvlJc w:val="left"/>
      <w:lvlText w:val="•"/>
      <w:numFmt w:val="bullet"/>
      <w:start w:val="1"/>
    </w:lvl>
  </w:abstractNum>
  <w:abstractNum w:abstractNumId="80">
    <w:nsid w:val="634C574C"/>
    <w:multiLevelType w:val="hybridMultilevel"/>
    <w:lvl w:ilvl="0">
      <w:lvlJc w:val="left"/>
      <w:lvlText w:val="•"/>
      <w:numFmt w:val="bullet"/>
      <w:start w:val="1"/>
    </w:lvl>
  </w:abstractNum>
  <w:abstractNum w:abstractNumId="81">
    <w:nsid w:val="24E99DD7"/>
    <w:multiLevelType w:val="hybridMultilevel"/>
    <w:lvl w:ilvl="0">
      <w:lvlJc w:val="left"/>
      <w:lvlText w:val="•"/>
      <w:numFmt w:val="bullet"/>
      <w:start w:val="1"/>
    </w:lvl>
  </w:abstractNum>
  <w:abstractNum w:abstractNumId="82">
    <w:nsid w:val="2A31B62D"/>
    <w:multiLevelType w:val="hybridMultilevel"/>
    <w:lvl w:ilvl="0">
      <w:lvlJc w:val="left"/>
      <w:lvlText w:val="%1."/>
      <w:numFmt w:val="upperLetter"/>
      <w:start w:val="3"/>
    </w:lvl>
  </w:abstractNum>
  <w:abstractNum w:abstractNumId="83">
    <w:nsid w:val="1849C29B"/>
    <w:multiLevelType w:val="hybridMultilevel"/>
    <w:lvl w:ilvl="0">
      <w:lvlJc w:val="left"/>
      <w:lvlText w:val="•"/>
      <w:numFmt w:val="bullet"/>
      <w:start w:val="1"/>
    </w:lvl>
  </w:abstractNum>
  <w:abstractNum w:abstractNumId="84">
    <w:nsid w:val="7DFF9D09"/>
    <w:multiLevelType w:val="hybridMultilevel"/>
    <w:lvl w:ilvl="0">
      <w:lvlJc w:val="left"/>
      <w:lvlText w:val="•"/>
      <w:numFmt w:val="bullet"/>
      <w:start w:val="1"/>
    </w:lvl>
  </w:abstractNum>
  <w:abstractNum w:abstractNumId="85">
    <w:nsid w:val="754342"/>
    <w:multiLevelType w:val="hybridMultilevel"/>
    <w:lvl w:ilvl="0">
      <w:lvlJc w:val="left"/>
      <w:lvlText w:val="•"/>
      <w:numFmt w:val="bullet"/>
      <w:start w:val="1"/>
    </w:lvl>
  </w:abstractNum>
  <w:abstractNum w:abstractNumId="86">
    <w:nsid w:val="69E7F3E5"/>
    <w:multiLevelType w:val="hybridMultilevel"/>
    <w:lvl w:ilvl="0">
      <w:lvlJc w:val="left"/>
      <w:lvlText w:val="%1."/>
      <w:numFmt w:val="upperLetter"/>
      <w:start w:val="4"/>
    </w:lvl>
  </w:abstractNum>
  <w:abstractNum w:abstractNumId="87">
    <w:nsid w:val="2A6DE806"/>
    <w:multiLevelType w:val="hybridMultilevel"/>
    <w:lvl w:ilvl="0">
      <w:lvlJc w:val="left"/>
      <w:lvlText w:val="%1."/>
      <w:numFmt w:val="upperLetter"/>
      <w:start w:val="5"/>
    </w:lvl>
    <w:lvl w:ilvl="1">
      <w:lvlJc w:val="left"/>
      <w:lvlText w:val="•"/>
      <w:numFmt w:val="bullet"/>
      <w:start w:val="1"/>
    </w:lvl>
  </w:abstractNum>
  <w:abstractNum w:abstractNumId="88">
    <w:nsid w:val="1816F8C4"/>
    <w:multiLevelType w:val="hybridMultilevel"/>
    <w:lvl w:ilvl="0">
      <w:lvlJc w:val="left"/>
      <w:lvlText w:val="†"/>
      <w:numFmt w:val="bullet"/>
      <w:start w:val="1"/>
    </w:lvl>
  </w:abstractNum>
  <w:abstractNum w:abstractNumId="89">
    <w:nsid w:val="37DF2233"/>
    <w:multiLevelType w:val="hybridMultilevel"/>
    <w:lvl w:ilvl="0">
      <w:lvlJc w:val="left"/>
      <w:lvlText w:val="*"/>
      <w:numFmt w:val="bullet"/>
      <w:start w:val="1"/>
    </w:lvl>
  </w:abstractNum>
  <w:abstractNum w:abstractNumId="90">
    <w:nsid w:val="7AB49DAF"/>
    <w:multiLevelType w:val="hybridMultilevel"/>
    <w:lvl w:ilvl="0">
      <w:lvlJc w:val="left"/>
      <w:lvlText w:val="**"/>
      <w:numFmt w:val="bullet"/>
      <w:start w:val="1"/>
    </w:lvl>
  </w:abstractNum>
  <w:abstractNum w:abstractNumId="91">
    <w:nsid w:val="759F82CD"/>
    <w:multiLevelType w:val="hybridMultilevel"/>
    <w:lvl w:ilvl="0">
      <w:lvlJc w:val="left"/>
      <w:lvlText w:val="(%1)"/>
      <w:numFmt w:val="decimal"/>
      <w:start w:val="1"/>
    </w:lvl>
  </w:abstractNum>
  <w:abstractNum w:abstractNumId="92">
    <w:nsid w:val="61E74EA3"/>
    <w:multiLevelType w:val="hybridMultilevel"/>
    <w:lvl w:ilvl="0">
      <w:lvlJc w:val="left"/>
      <w:lvlText w:val="(%1)"/>
      <w:numFmt w:val="decimal"/>
      <w:start w:val="1"/>
    </w:lvl>
  </w:abstractNum>
  <w:abstractNum w:abstractNumId="93">
    <w:nsid w:val="597B4D84"/>
    <w:multiLevelType w:val="hybridMultilevel"/>
    <w:lvl w:ilvl="0">
      <w:lvlJc w:val="left"/>
      <w:lvlText w:val="(%1)"/>
      <w:numFmt w:val="decimal"/>
      <w:start w:val="1"/>
    </w:lvl>
  </w:abstractNum>
  <w:abstractNum w:abstractNumId="94">
    <w:nsid w:val="F819E7F"/>
    <w:multiLevelType w:val="hybridMultilevel"/>
    <w:lvl w:ilvl="0">
      <w:lvlJc w:val="left"/>
      <w:lvlText w:val="%1."/>
      <w:numFmt w:val="upperLetter"/>
      <w:start w:val="6"/>
    </w:lvl>
  </w:abstractNum>
  <w:abstractNum w:abstractNumId="95">
    <w:nsid w:val="57C7D42D"/>
    <w:multiLevelType w:val="hybridMultilevel"/>
    <w:lvl w:ilvl="0">
      <w:lvlJc w:val="left"/>
      <w:lvlText w:val="%1."/>
      <w:numFmt w:val="upperLetter"/>
      <w:start w:val="1"/>
    </w:lvl>
  </w:abstractNum>
  <w:abstractNum w:abstractNumId="96">
    <w:nsid w:val="312167AD"/>
    <w:multiLevelType w:val="hybridMultilevel"/>
    <w:lvl w:ilvl="0">
      <w:lvlJc w:val="left"/>
      <w:lvlText w:val="%1."/>
      <w:numFmt w:val="upperLetter"/>
      <w:start w:val="3"/>
    </w:lvl>
  </w:abstractNum>
  <w:abstractNum w:abstractNumId="97">
    <w:nsid w:val="631B64D4"/>
    <w:multiLevelType w:val="hybridMultilevel"/>
    <w:lvl w:ilvl="0">
      <w:lvlJc w:val="left"/>
      <w:lvlText w:val="%1."/>
      <w:numFmt w:val="upperLetter"/>
      <w:start w:val="1"/>
    </w:lvl>
  </w:abstractNum>
  <w:abstractNum w:abstractNumId="98">
    <w:nsid w:val="78B5E776"/>
    <w:multiLevelType w:val="hybridMultilevel"/>
    <w:lvl w:ilvl="0">
      <w:lvlJc w:val="left"/>
      <w:lvlText w:val="%1."/>
      <w:numFmt w:val="upperLetter"/>
      <w:start w:val="2"/>
    </w:lvl>
  </w:abstractNum>
  <w:abstractNum w:abstractNumId="99">
    <w:nsid w:val="75486E47"/>
    <w:multiLevelType w:val="hybridMultilevel"/>
    <w:lvl w:ilvl="0">
      <w:lvlJc w:val="left"/>
      <w:lvlText w:val="%1."/>
      <w:numFmt w:val="upperLetter"/>
      <w:start w:val="1"/>
    </w:lvl>
  </w:abstractNum>
  <w:abstractNum w:abstractNumId="100">
    <w:nsid w:val="6E534CDE"/>
    <w:multiLevelType w:val="hybridMultilevel"/>
    <w:lvl w:ilvl="0">
      <w:lvlJc w:val="left"/>
      <w:lvlText w:val="%1."/>
      <w:numFmt w:val="upperLetter"/>
      <w:start w:val="2"/>
    </w:lvl>
  </w:abstractNum>
  <w:abstractNum w:abstractNumId="101">
    <w:nsid w:val="1A0DDE32"/>
    <w:multiLevelType w:val="hybridMultilevel"/>
    <w:lvl w:ilvl="0">
      <w:lvlJc w:val="left"/>
      <w:lvlText w:val="%1."/>
      <w:numFmt w:val="upperLetter"/>
      <w:start w:val="4"/>
    </w:lvl>
  </w:abstractNum>
  <w:abstractNum w:abstractNumId="102">
    <w:nsid w:val="65968C1C"/>
    <w:multiLevelType w:val="hybridMultilevel"/>
    <w:lvl w:ilvl="0">
      <w:lvlJc w:val="left"/>
      <w:lvlText w:val="%1."/>
      <w:numFmt w:val="upperLetter"/>
      <w:start w:val="1"/>
    </w:lvl>
  </w:abstractNum>
  <w:abstractNum w:abstractNumId="103">
    <w:nsid w:val="46263DEC"/>
    <w:multiLevelType w:val="hybridMultilevel"/>
    <w:lvl w:ilvl="0">
      <w:lvlJc w:val="left"/>
      <w:lvlText w:val="•"/>
      <w:numFmt w:val="bullet"/>
      <w:start w:val="1"/>
    </w:lvl>
  </w:abstractNum>
  <w:abstractNum w:abstractNumId="104">
    <w:nsid w:val="260D8C4A"/>
    <w:multiLevelType w:val="hybridMultilevel"/>
    <w:lvl w:ilvl="0">
      <w:lvlJc w:val="left"/>
      <w:lvlText w:val="•"/>
      <w:numFmt w:val="bullet"/>
      <w:start w:val="1"/>
    </w:lvl>
  </w:abstractNum>
  <w:abstractNum w:abstractNumId="105">
    <w:nsid w:val="73D4D3C4"/>
    <w:multiLevelType w:val="hybridMultilevel"/>
    <w:lvl w:ilvl="0">
      <w:lvlJc w:val="left"/>
      <w:lvlText w:val="•"/>
      <w:numFmt w:val="bullet"/>
      <w:start w:val="1"/>
    </w:lvl>
  </w:abstractNum>
  <w:abstractNum w:abstractNumId="106">
    <w:nsid w:val="746F2E30"/>
    <w:multiLevelType w:val="hybridMultilevel"/>
    <w:lvl w:ilvl="0">
      <w:lvlJc w:val="left"/>
      <w:lvlText w:val="(%1)"/>
      <w:numFmt w:val="lowerLetter"/>
      <w:start w:val="1"/>
    </w:lvl>
  </w:abstractNum>
  <w:abstractNum w:abstractNumId="107">
    <w:nsid w:val="6FDE8AF6"/>
    <w:multiLevelType w:val="hybridMultilevel"/>
    <w:lvl w:ilvl="0">
      <w:lvlJc w:val="left"/>
      <w:lvlText w:val="%1."/>
      <w:numFmt w:val="upperLetter"/>
      <w:start w:val="3"/>
    </w:lvl>
  </w:abstractNum>
  <w:abstractNum w:abstractNumId="108">
    <w:nsid w:val="3FC32E20"/>
    <w:multiLevelType w:val="hybridMultilevel"/>
    <w:lvl w:ilvl="0">
      <w:lvlJc w:val="left"/>
      <w:lvlText w:val="%1."/>
      <w:numFmt w:val="upperLetter"/>
      <w:start w:val="4"/>
    </w:lvl>
  </w:abstractNum>
  <w:abstractNum w:abstractNumId="109">
    <w:nsid w:val="49C0E823"/>
    <w:multiLevelType w:val="hybridMultilevel"/>
    <w:lvl w:ilvl="0">
      <w:lvlJc w:val="left"/>
      <w:lvlText w:val="•"/>
      <w:numFmt w:val="bullet"/>
      <w:start w:val="1"/>
    </w:lvl>
  </w:abstractNum>
  <w:abstractNum w:abstractNumId="110">
    <w:nsid w:val="14D53685"/>
    <w:multiLevelType w:val="hybridMultilevel"/>
    <w:lvl w:ilvl="0">
      <w:lvlJc w:val="left"/>
      <w:lvlText w:val="•"/>
      <w:numFmt w:val="bullet"/>
      <w:start w:val="1"/>
    </w:lvl>
  </w:abstractNum>
  <w:abstractNum w:abstractNumId="111">
    <w:nsid w:val="230F856C"/>
    <w:multiLevelType w:val="hybridMultilevel"/>
    <w:lvl w:ilvl="0">
      <w:lvlJc w:val="left"/>
      <w:lvlText w:val="•"/>
      <w:numFmt w:val="bullet"/>
      <w:start w:val="1"/>
    </w:lvl>
  </w:abstractNum>
  <w:abstractNum w:abstractNumId="112">
    <w:nsid w:val="6EAA85FB"/>
    <w:multiLevelType w:val="hybridMultilevel"/>
    <w:lvl w:ilvl="0">
      <w:lvlJc w:val="left"/>
      <w:lvlText w:val="(%1)"/>
      <w:numFmt w:val="lowerRoman"/>
      <w:start w:val="4"/>
    </w:lvl>
  </w:abstractNum>
  <w:abstractNum w:abstractNumId="113">
    <w:nsid w:val="3F06ECB2"/>
    <w:multiLevelType w:val="hybridMultilevel"/>
    <w:lvl w:ilvl="0">
      <w:lvlJc w:val="left"/>
      <w:lvlText w:val="(%1)"/>
      <w:numFmt w:val="lowerRoman"/>
      <w:start w:val="2"/>
    </w:lvl>
  </w:abstractNum>
  <w:abstractNum w:abstractNumId="114">
    <w:nsid w:val="3B594807"/>
    <w:multiLevelType w:val="hybridMultilevel"/>
    <w:lvl w:ilvl="0">
      <w:lvlJc w:val="left"/>
      <w:lvlText w:val="•"/>
      <w:numFmt w:val="bullet"/>
      <w:start w:val="1"/>
    </w:lvl>
  </w:abstractNum>
  <w:abstractNum w:abstractNumId="115">
    <w:nsid w:val="6CAA2304"/>
    <w:multiLevelType w:val="hybridMultilevel"/>
    <w:lvl w:ilvl="0">
      <w:lvlJc w:val="left"/>
      <w:lvlText w:val="%1."/>
      <w:numFmt w:val="upperLetter"/>
      <w:start w:val="6"/>
    </w:lvl>
  </w:abstractNum>
  <w:abstractNum w:abstractNumId="116">
    <w:nsid w:val="3F7C2FF4"/>
    <w:multiLevelType w:val="hybridMultilevel"/>
    <w:lvl w:ilvl="0">
      <w:lvlJc w:val="left"/>
      <w:lvlText w:val="%1."/>
      <w:numFmt w:val="upperLetter"/>
      <w:start w:val="9"/>
    </w:lvl>
  </w:abstractNum>
  <w:abstractNum w:abstractNumId="117">
    <w:nsid w:val="25413BEC"/>
    <w:multiLevelType w:val="hybridMultilevel"/>
    <w:lvl w:ilvl="0">
      <w:lvlJc w:val="left"/>
      <w:lvlText w:val="%1."/>
      <w:numFmt w:val="upperLetter"/>
      <w:start w:val="1"/>
    </w:lvl>
  </w:abstractNum>
  <w:abstractNum w:abstractNumId="118">
    <w:nsid w:val="17180B0B"/>
    <w:multiLevelType w:val="hybridMultilevel"/>
    <w:lvl w:ilvl="0">
      <w:lvlJc w:val="left"/>
      <w:lvlText w:val="•"/>
      <w:numFmt w:val="bullet"/>
      <w:start w:val="1"/>
    </w:lvl>
  </w:abstractNum>
  <w:abstractNum w:abstractNumId="119">
    <w:nsid w:val="579328B9"/>
    <w:multiLevelType w:val="hybridMultilevel"/>
    <w:lvl w:ilvl="0">
      <w:lvlJc w:val="left"/>
      <w:lvlText w:val="•"/>
      <w:numFmt w:val="bullet"/>
      <w:start w:val="1"/>
    </w:lvl>
  </w:abstractNum>
  <w:abstractNum w:abstractNumId="120">
    <w:nsid w:val="5D205E20"/>
    <w:multiLevelType w:val="hybridMultilevel"/>
    <w:lvl w:ilvl="0">
      <w:lvlJc w:val="left"/>
      <w:lvlText w:val="•"/>
      <w:numFmt w:val="bullet"/>
      <w:start w:val="1"/>
    </w:lvl>
  </w:abstractNum>
  <w:abstractNum w:abstractNumId="121">
    <w:nsid w:val="11CCA8BA"/>
    <w:multiLevelType w:val="hybridMultilevel"/>
    <w:lvl w:ilvl="0">
      <w:lvlJc w:val="left"/>
      <w:lvlText w:val="•"/>
      <w:numFmt w:val="bullet"/>
      <w:start w:val="1"/>
    </w:lvl>
  </w:abstractNum>
  <w:abstractNum w:abstractNumId="122">
    <w:nsid w:val="4D32AB86"/>
    <w:multiLevelType w:val="hybridMultilevel"/>
    <w:lvl w:ilvl="0">
      <w:lvlJc w:val="left"/>
      <w:lvlText w:val="(%1)"/>
      <w:numFmt w:val="decimal"/>
      <w:start w:val="1"/>
    </w:lvl>
  </w:abstractNum>
  <w:abstractNum w:abstractNumId="123">
    <w:nsid w:val="3F07ACC3"/>
    <w:multiLevelType w:val="hybridMultilevel"/>
    <w:lvl w:ilvl="0">
      <w:lvlJc w:val="left"/>
      <w:lvlText w:val="*"/>
      <w:numFmt w:val="bullet"/>
      <w:start w:val="1"/>
    </w:lvl>
  </w:abstractNum>
  <w:abstractNum w:abstractNumId="124">
    <w:nsid w:val="6B47F63E"/>
    <w:multiLevelType w:val="hybridMultilevel"/>
    <w:lvl w:ilvl="0">
      <w:lvlJc w:val="left"/>
      <w:lvlText w:val="*"/>
      <w:numFmt w:val="bullet"/>
      <w:start w:val="1"/>
    </w:lvl>
  </w:abstractNum>
  <w:abstractNum w:abstractNumId="125">
    <w:nsid w:val="5CB44A05"/>
    <w:multiLevelType w:val="hybridMultilevel"/>
    <w:lvl w:ilvl="0">
      <w:lvlJc w:val="left"/>
      <w:lvlText w:val="**"/>
      <w:numFmt w:val="bullet"/>
      <w:start w:val="1"/>
    </w:lvl>
  </w:abstractNum>
  <w:abstractNum w:abstractNumId="126">
    <w:nsid w:val="16CF80F1"/>
    <w:multiLevelType w:val="hybridMultilevel"/>
    <w:lvl w:ilvl="0">
      <w:lvlJc w:val="left"/>
      <w:lvlText w:val="(%1)"/>
      <w:numFmt w:val="lowerRoman"/>
      <w:start w:val="1"/>
    </w:lvl>
  </w:abstractNum>
  <w:abstractNum w:abstractNumId="127">
    <w:nsid w:val="1C695DEC"/>
    <w:multiLevelType w:val="hybridMultilevel"/>
    <w:lvl w:ilvl="0">
      <w:lvlJc w:val="left"/>
      <w:lvlText w:val="%1."/>
      <w:numFmt w:val="decimal"/>
      <w:start w:val="1"/>
    </w:lvl>
  </w:abstractNum>
  <w:abstractNum w:abstractNumId="128">
    <w:nsid w:val="3FCFAED9"/>
    <w:multiLevelType w:val="hybridMultilevel"/>
    <w:lvl w:ilvl="0">
      <w:lvlJc w:val="left"/>
      <w:lvlText w:val="•"/>
      <w:numFmt w:val="bullet"/>
      <w:start w:val="1"/>
    </w:lvl>
  </w:abstractNum>
  <w:abstractNum w:abstractNumId="129">
    <w:nsid w:val="F856867"/>
    <w:multiLevelType w:val="hybridMultilevel"/>
    <w:lvl w:ilvl="0">
      <w:lvlJc w:val="left"/>
      <w:lvlText w:val="(%1)"/>
      <w:numFmt w:val="lowerRoman"/>
      <w:start w:val="1"/>
    </w:lvl>
  </w:abstractNum>
  <w:abstractNum w:abstractNumId="130">
    <w:nsid w:val="11B1CC33"/>
    <w:multiLevelType w:val="hybridMultilevel"/>
    <w:lvl w:ilvl="0">
      <w:lvlJc w:val="left"/>
      <w:lvlText w:val="%1."/>
      <w:numFmt w:val="decimal"/>
      <w:start w:val="2"/>
    </w:lvl>
  </w:abstractNum>
  <w:abstractNum w:abstractNumId="131">
    <w:nsid w:val="2E22FBB7"/>
    <w:multiLevelType w:val="hybridMultilevel"/>
    <w:lvl w:ilvl="0">
      <w:lvlJc w:val="left"/>
      <w:lvlText w:val="%1."/>
      <w:numFmt w:val="decimal"/>
      <w:start w:val="3"/>
    </w:lvl>
  </w:abstractNum>
  <w:abstractNum w:abstractNumId="132">
    <w:nsid w:val="29934699"/>
    <w:multiLevelType w:val="hybridMultilevel"/>
    <w:lvl w:ilvl="0">
      <w:lvlJc w:val="left"/>
      <w:lvlText w:val="%1."/>
      <w:numFmt w:val="decimal"/>
      <w:start w:val="4"/>
    </w:lvl>
  </w:abstractNum>
  <w:abstractNum w:abstractNumId="133">
    <w:nsid w:val="77485850"/>
    <w:multiLevelType w:val="hybridMultilevel"/>
    <w:lvl w:ilvl="0">
      <w:lvlJc w:val="left"/>
      <w:lvlText w:val="(%1)"/>
      <w:numFmt w:val="lowerRoman"/>
      <w:start w:val="1"/>
    </w:lvl>
  </w:abstractNum>
  <w:abstractNum w:abstractNumId="134">
    <w:nsid w:val="744939A3"/>
    <w:multiLevelType w:val="hybridMultilevel"/>
    <w:lvl w:ilvl="0">
      <w:lvlJc w:val="left"/>
      <w:lvlText w:val="(%1)"/>
      <w:numFmt w:val="lowerRoman"/>
      <w:start w:val="1"/>
    </w:lvl>
  </w:abstractNum>
  <w:abstractNum w:abstractNumId="135">
    <w:nsid w:val="4FA0D2E3"/>
    <w:multiLevelType w:val="hybridMultilevel"/>
    <w:lvl w:ilvl="0">
      <w:lvlJc w:val="left"/>
      <w:lvlText w:val="%1."/>
      <w:numFmt w:val="decimal"/>
      <w:start w:val="5"/>
    </w:lvl>
  </w:abstractNum>
  <w:abstractNum w:abstractNumId="136">
    <w:nsid w:val="6B1D2C14"/>
    <w:multiLevelType w:val="hybridMultilevel"/>
    <w:lvl w:ilvl="0">
      <w:lvlJc w:val="left"/>
      <w:lvlText w:val="%1."/>
      <w:numFmt w:val="decimal"/>
      <w:start w:val="6"/>
    </w:lvl>
  </w:abstractNum>
  <w:abstractNum w:abstractNumId="137">
    <w:nsid w:val="68B867D3"/>
    <w:multiLevelType w:val="hybridMultilevel"/>
    <w:lvl w:ilvl="0">
      <w:lvlJc w:val="left"/>
      <w:lvlText w:val="(%1)"/>
      <w:numFmt w:val="lowerRoman"/>
      <w:start w:val="1"/>
    </w:lvl>
  </w:abstractNum>
  <w:abstractNum w:abstractNumId="138">
    <w:nsid w:val="3F7F5DD9"/>
    <w:multiLevelType w:val="hybridMultilevel"/>
    <w:lvl w:ilvl="0">
      <w:lvlJc w:val="left"/>
      <w:lvlText w:val="%1."/>
      <w:numFmt w:val="decimal"/>
      <w:start w:val="11"/>
    </w:lvl>
  </w:abstractNum>
  <w:abstractNum w:abstractNumId="139">
    <w:nsid w:val="2AE05A34"/>
    <w:multiLevelType w:val="hybridMultilevel"/>
    <w:lvl w:ilvl="0">
      <w:lvlJc w:val="left"/>
      <w:lvlText w:val="%1."/>
      <w:numFmt w:val="decimal"/>
      <w:start w:val="12"/>
    </w:lvl>
  </w:abstractNum>
  <w:abstractNum w:abstractNumId="140">
    <w:nsid w:val="32794FF7"/>
    <w:multiLevelType w:val="hybridMultilevel"/>
    <w:lvl w:ilvl="0">
      <w:lvlJc w:val="left"/>
      <w:lvlText w:val="%1."/>
      <w:numFmt w:val="decimal"/>
      <w:start w:val="14"/>
    </w:lvl>
  </w:abstractNum>
  <w:abstractNum w:abstractNumId="141">
    <w:nsid w:val="5454945E"/>
    <w:multiLevelType w:val="hybridMultilevel"/>
    <w:lvl w:ilvl="0">
      <w:lvlJc w:val="left"/>
      <w:lvlText w:val="*"/>
      <w:numFmt w:val="bullet"/>
      <w:start w:val="1"/>
    </w:lvl>
  </w:abstractNum>
  <w:abstractNum w:abstractNumId="142">
    <w:nsid w:val="4DEFDFA0"/>
    <w:multiLevelType w:val="hybridMultilevel"/>
    <w:lvl w:ilvl="0">
      <w:lvlJc w:val="left"/>
      <w:lvlText w:val="%1."/>
      <w:numFmt w:val="decimal"/>
      <w:start w:val="15"/>
    </w:lvl>
  </w:abstractNum>
  <w:abstractNum w:abstractNumId="143">
    <w:nsid w:val="2123D5F2"/>
    <w:multiLevelType w:val="hybridMultilevel"/>
    <w:lvl w:ilvl="0">
      <w:lvlJc w:val="left"/>
      <w:lvlText w:val="%1."/>
      <w:numFmt w:val="decimal"/>
      <w:start w:val="16"/>
    </w:lvl>
  </w:abstractNum>
  <w:abstractNum w:abstractNumId="144">
    <w:nsid w:val="135B8110"/>
    <w:multiLevelType w:val="hybridMultilevel"/>
    <w:lvl w:ilvl="0">
      <w:lvlJc w:val="left"/>
      <w:lvlText w:val="%1."/>
      <w:numFmt w:val="decimal"/>
      <w:start w:val="17"/>
    </w:lvl>
  </w:abstractNum>
  <w:abstractNum w:abstractNumId="145">
    <w:nsid w:val="94927A8"/>
    <w:multiLevelType w:val="hybridMultilevel"/>
    <w:lvl w:ilvl="0">
      <w:lvlJc w:val="left"/>
      <w:lvlText w:val="%1."/>
      <w:numFmt w:val="decimal"/>
      <w:start w:val="18"/>
    </w:lvl>
  </w:abstractNum>
  <w:abstractNum w:abstractNumId="146">
    <w:nsid w:val="DCDF8F6"/>
    <w:multiLevelType w:val="hybridMultilevel"/>
    <w:lvl w:ilvl="0">
      <w:lvlJc w:val="left"/>
      <w:lvlText w:val="%1."/>
      <w:numFmt w:val="decimal"/>
      <w:start w:val="19"/>
    </w:lvl>
  </w:abstractNum>
  <w:abstractNum w:abstractNumId="147">
    <w:nsid w:val="52D7B105"/>
    <w:multiLevelType w:val="hybridMultilevel"/>
    <w:lvl w:ilvl="0">
      <w:lvlJc w:val="left"/>
      <w:lvlText w:val="%1."/>
      <w:numFmt w:val="decimal"/>
      <w:start w:val="20"/>
    </w:lvl>
  </w:abstractNum>
  <w:abstractNum w:abstractNumId="148">
    <w:nsid w:val="2E8A6394"/>
    <w:multiLevelType w:val="hybridMultilevel"/>
    <w:lvl w:ilvl="0">
      <w:lvlJc w:val="left"/>
      <w:lvlText w:val="%1."/>
      <w:numFmt w:val="decimal"/>
      <w:start w:val="21"/>
    </w:lvl>
  </w:abstractNum>
  <w:abstractNum w:abstractNumId="149">
    <w:nsid w:val="24E60401"/>
    <w:multiLevelType w:val="hybridMultilevel"/>
    <w:lvl w:ilvl="0">
      <w:lvlJc w:val="left"/>
      <w:lvlText w:val="%1."/>
      <w:numFmt w:val="decimal"/>
      <w:start w:val="22"/>
    </w:lvl>
  </w:abstractNum>
  <w:abstractNum w:abstractNumId="150">
    <w:nsid w:val="2A6AD9BE"/>
    <w:multiLevelType w:val="hybridMultilevel"/>
    <w:lvl w:ilvl="0">
      <w:lvlJc w:val="left"/>
      <w:lvlText w:val="%1."/>
      <w:numFmt w:val="decimal"/>
      <w:start w:val="23"/>
    </w:lvl>
  </w:abstractNum>
  <w:abstractNum w:abstractNumId="151">
    <w:nsid w:val="BAAC1B4"/>
    <w:multiLevelType w:val="hybridMultilevel"/>
    <w:lvl w:ilvl="0">
      <w:lvlJc w:val="left"/>
      <w:lvlText w:val="*"/>
      <w:numFmt w:val="bullet"/>
      <w:start w:val="1"/>
    </w:lvl>
  </w:abstractNum>
  <w:abstractNum w:abstractNumId="152">
    <w:nsid w:val="36B2ACBC"/>
    <w:multiLevelType w:val="hybridMultilevel"/>
    <w:lvl w:ilvl="0">
      <w:lvlJc w:val="left"/>
      <w:lvlText w:val="(%1)"/>
      <w:numFmt w:val="lowerRoman"/>
      <w:start w:val="1"/>
    </w:lvl>
  </w:abstractNum>
  <w:abstractNum w:abstractNumId="153">
    <w:nsid w:val="779D8544"/>
    <w:multiLevelType w:val="hybridMultilevel"/>
    <w:lvl w:ilvl="0">
      <w:lvlJc w:val="left"/>
      <w:lvlText w:val="%1."/>
      <w:numFmt w:val="decimal"/>
      <w:start w:val="25"/>
    </w:lvl>
  </w:abstractNum>
  <w:abstractNum w:abstractNumId="154">
    <w:nsid w:val="4AB26E78"/>
    <w:multiLevelType w:val="hybridMultilevel"/>
    <w:lvl w:ilvl="0">
      <w:lvlJc w:val="left"/>
      <w:lvlText w:val="(%1)"/>
      <w:numFmt w:val="lowerRoman"/>
      <w:start w:val="1"/>
    </w:lvl>
  </w:abstractNum>
  <w:abstractNum w:abstractNumId="155">
    <w:nsid w:val="21FAA2FA"/>
    <w:multiLevelType w:val="hybridMultilevel"/>
    <w:lvl w:ilvl="0">
      <w:lvlJc w:val="left"/>
      <w:lvlText w:val="%1."/>
      <w:numFmt w:val="decimal"/>
      <w:start w:val="26"/>
    </w:lvl>
  </w:abstractNum>
  <w:abstractNum w:abstractNumId="156">
    <w:nsid w:val="5451CF49"/>
    <w:multiLevelType w:val="hybridMultilevel"/>
    <w:lvl w:ilvl="0">
      <w:lvlJc w:val="left"/>
      <w:lvlText w:val="(%1)"/>
      <w:numFmt w:val="lowerRoman"/>
      <w:start w:val="1"/>
    </w:lvl>
  </w:abstractNum>
  <w:abstractNum w:abstractNumId="157">
    <w:nsid w:val="6181EF69"/>
    <w:multiLevelType w:val="hybridMultilevel"/>
    <w:lvl w:ilvl="0">
      <w:lvlJc w:val="left"/>
      <w:lvlText w:val="(%1)"/>
      <w:numFmt w:val="lowerRoman"/>
      <w:start w:val="1"/>
    </w:lvl>
  </w:abstractNum>
  <w:abstractNum w:abstractNumId="158">
    <w:nsid w:val="3E6400E6"/>
    <w:multiLevelType w:val="hybridMultilevel"/>
    <w:lvl w:ilvl="0">
      <w:lvlJc w:val="left"/>
      <w:lvlText w:val="(%1)"/>
      <w:numFmt w:val="lowerLetter"/>
      <w:start w:val="1"/>
    </w:lvl>
  </w:abstractNum>
  <w:abstractNum w:abstractNumId="159">
    <w:nsid w:val="14217E23"/>
    <w:multiLevelType w:val="hybridMultilevel"/>
    <w:lvl w:ilvl="0">
      <w:lvlJc w:val="left"/>
      <w:lvlText w:val="(%1)"/>
      <w:numFmt w:val="decimal"/>
      <w:start w:val="2"/>
    </w:lvl>
  </w:abstractNum>
  <w:abstractNum w:abstractNumId="160">
    <w:nsid w:val="710757D0"/>
    <w:multiLevelType w:val="hybridMultilevel"/>
    <w:lvl w:ilvl="0">
      <w:lvlJc w:val="left"/>
      <w:lvlText w:val="(%1)"/>
      <w:numFmt w:val="lowerLetter"/>
      <w:start w:val="1"/>
    </w:lvl>
  </w:abstractNum>
  <w:abstractNum w:abstractNumId="161">
    <w:nsid w:val="5015CD1A"/>
    <w:multiLevelType w:val="hybridMultilevel"/>
    <w:lvl w:ilvl="0">
      <w:lvlJc w:val="left"/>
      <w:lvlText w:val="(%1)"/>
      <w:numFmt w:val="lowerLetter"/>
      <w:start w:val="1"/>
    </w:lvl>
  </w:abstractNum>
  <w:abstractNum w:abstractNumId="162">
    <w:nsid w:val="424479DA"/>
    <w:multiLevelType w:val="hybridMultilevel"/>
    <w:lvl w:ilvl="0">
      <w:lvlJc w:val="left"/>
      <w:lvlText w:val="(%1)"/>
      <w:numFmt w:val="lowerLetter"/>
      <w:start w:val="6"/>
    </w:lvl>
  </w:abstractNum>
  <w:abstractNum w:abstractNumId="163">
    <w:nsid w:val="1A9A9E69"/>
    <w:multiLevelType w:val="hybridMultilevel"/>
    <w:lvl w:ilvl="0">
      <w:lvlJc w:val="left"/>
      <w:lvlText w:val="(%1)"/>
      <w:numFmt w:val="lowerLetter"/>
      <w:start w:val="2"/>
    </w:lvl>
  </w:abstractNum>
  <w:abstractNum w:abstractNumId="164">
    <w:nsid w:val="475E256A"/>
    <w:multiLevelType w:val="hybridMultilevel"/>
    <w:lvl w:ilvl="0">
      <w:lvlJc w:val="left"/>
      <w:lvlText w:val="%1"/>
      <w:numFmt w:val="lowerLetter"/>
      <w:start w:val="1"/>
    </w:lvl>
    <w:lvl w:ilvl="1">
      <w:lvlJc w:val="left"/>
      <w:lvlText w:val="(%2)"/>
      <w:numFmt w:val="lowerLetter"/>
      <w:start w:val="3"/>
    </w:lvl>
  </w:abstractNum>
  <w:abstractNum w:abstractNumId="165">
    <w:nsid w:val="368DB37E"/>
    <w:multiLevelType w:val="hybridMultilevel"/>
    <w:lvl w:ilvl="0">
      <w:lvlJc w:val="left"/>
      <w:lvlText w:val="(%1)"/>
      <w:numFmt w:val="lowerLetter"/>
      <w:start w:val="35"/>
    </w:lvl>
    <w:lvl w:ilvl="1">
      <w:lvlJc w:val="left"/>
      <w:lvlText w:val="(%2)"/>
      <w:numFmt w:val="lowerLetter"/>
      <w:start w:val="4"/>
    </w:lvl>
  </w:abstractNum>
  <w:abstractNum w:abstractNumId="166">
    <w:nsid w:val="6A3B714C"/>
    <w:multiLevelType w:val="hybridMultilevel"/>
    <w:lvl w:ilvl="0">
      <w:lvlJc w:val="left"/>
      <w:lvlText w:val="(%1)"/>
      <w:numFmt w:val="lowerLetter"/>
      <w:start w:val="1"/>
    </w:lvl>
  </w:abstractNum>
  <w:abstractNum w:abstractNumId="167">
    <w:nsid w:val="327B517E"/>
    <w:multiLevelType w:val="hybridMultilevel"/>
    <w:lvl w:ilvl="0">
      <w:lvlJc w:val="left"/>
      <w:lvlText w:val="(%1)"/>
      <w:numFmt w:val="lowerLetter"/>
      <w:start w:val="2"/>
    </w:lvl>
    <w:lvl w:ilvl="1">
      <w:lvlJc w:val="left"/>
      <w:lvlText w:val="(%2)"/>
      <w:numFmt w:val="lowerRoman"/>
      <w:start w:val="1"/>
    </w:lvl>
  </w:abstractNum>
  <w:abstractNum w:abstractNumId="168">
    <w:nsid w:val="1F461B51"/>
    <w:multiLevelType w:val="hybridMultilevel"/>
    <w:lvl w:ilvl="0">
      <w:lvlJc w:val="left"/>
      <w:lvlText w:val="(%1)"/>
      <w:numFmt w:val="lowerLetter"/>
      <w:start w:val="1"/>
    </w:lvl>
    <w:lvl w:ilvl="1">
      <w:lvlJc w:val="left"/>
      <w:lvlText w:val="(%2)"/>
      <w:numFmt w:val="lowerRoman"/>
      <w:start w:val="1"/>
    </w:lvl>
  </w:abstractNum>
  <w:abstractNum w:abstractNumId="169">
    <w:nsid w:val="29BACF25"/>
    <w:multiLevelType w:val="hybridMultilevel"/>
    <w:lvl w:ilvl="0">
      <w:lvlJc w:val="left"/>
      <w:lvlText w:val="(%1)"/>
      <w:numFmt w:val="lowerRoman"/>
      <w:start w:val="3"/>
    </w:lvl>
  </w:abstractNum>
  <w:abstractNum w:abstractNumId="170">
    <w:nsid w:val="5D5BABB3"/>
    <w:multiLevelType w:val="hybridMultilevel"/>
    <w:lvl w:ilvl="0">
      <w:lvlJc w:val="left"/>
      <w:lvlText w:val="(%1)"/>
      <w:numFmt w:val="lowerLetter"/>
      <w:start w:val="2"/>
    </w:lvl>
    <w:lvl w:ilvl="1">
      <w:lvlJc w:val="left"/>
      <w:lvlText w:val="(%2)"/>
      <w:numFmt w:val="lowerRoman"/>
      <w:start w:val="1"/>
    </w:lvl>
  </w:abstractNum>
  <w:abstractNum w:abstractNumId="171">
    <w:nsid w:val="51BF6B48"/>
    <w:multiLevelType w:val="hybridMultilevel"/>
    <w:lvl w:ilvl="0">
      <w:lvlJc w:val="left"/>
      <w:lvlText w:val="(%1)"/>
      <w:numFmt w:val="lowerLetter"/>
      <w:start w:val="7"/>
    </w:lvl>
  </w:abstractNum>
  <w:abstractNum w:abstractNumId="172">
    <w:nsid w:val="7E0F6384"/>
    <w:multiLevelType w:val="hybridMultilevel"/>
    <w:lvl w:ilvl="0">
      <w:lvlJc w:val="left"/>
      <w:lvlText w:val="(%1)"/>
      <w:numFmt w:val="lowerLetter"/>
      <w:start w:val="2"/>
    </w:lvl>
  </w:abstractNum>
  <w:abstractNum w:abstractNumId="173">
    <w:nsid w:val="2B4B8B53"/>
    <w:multiLevelType w:val="hybridMultilevel"/>
    <w:lvl w:ilvl="0">
      <w:lvlJc w:val="left"/>
      <w:lvlText w:val="(%1)"/>
      <w:numFmt w:val="upperLetter"/>
      <w:start w:val="1"/>
    </w:lvl>
  </w:abstractNum>
  <w:abstractNum w:abstractNumId="174">
    <w:nsid w:val="72E3413A"/>
    <w:multiLevelType w:val="hybridMultilevel"/>
    <w:lvl w:ilvl="0">
      <w:lvlJc w:val="left"/>
      <w:lvlText w:val="(%1)"/>
      <w:numFmt w:val="decimal"/>
      <w:start w:val="1"/>
    </w:lvl>
  </w:abstractNum>
  <w:abstractNum w:abstractNumId="175">
    <w:nsid w:val="116AE494"/>
    <w:multiLevelType w:val="hybridMultilevel"/>
    <w:lvl w:ilvl="0">
      <w:lvlJc w:val="left"/>
      <w:lvlText w:val="(%1)"/>
      <w:numFmt w:val="lowerRoman"/>
      <w:start w:val="2"/>
    </w:lvl>
  </w:abstractNum>
  <w:abstractNum w:abstractNumId="176">
    <w:nsid w:val="3494B2FB"/>
    <w:multiLevelType w:val="hybridMultilevel"/>
    <w:lvl w:ilvl="0">
      <w:lvlJc w:val="left"/>
      <w:lvlText w:val="(%1)"/>
      <w:numFmt w:val="lowerRoman"/>
      <w:start w:val="1"/>
    </w:lvl>
  </w:abstractNum>
  <w:abstractNum w:abstractNumId="177">
    <w:nsid w:val="B13A31"/>
    <w:multiLevelType w:val="hybridMultilevel"/>
    <w:lvl w:ilvl="0">
      <w:lvlJc w:val="left"/>
      <w:lvlText w:val="(%1)"/>
      <w:numFmt w:val="lowerRoman"/>
      <w:start w:val="3"/>
    </w:lvl>
  </w:abstractNum>
  <w:abstractNum w:abstractNumId="178">
    <w:nsid w:val="64429599"/>
    <w:multiLevelType w:val="hybridMultilevel"/>
    <w:lvl w:ilvl="0">
      <w:lvlJc w:val="left"/>
      <w:lvlText w:val="(%1)"/>
      <w:numFmt w:val="lowerLetter"/>
      <w:start w:val="14"/>
    </w:lvl>
  </w:abstractNum>
  <w:abstractNum w:abstractNumId="179">
    <w:nsid w:val="631F1690"/>
    <w:multiLevelType w:val="hybridMultilevel"/>
    <w:lvl w:ilvl="0">
      <w:lvlJc w:val="left"/>
      <w:lvlText w:val="(%1)"/>
      <w:numFmt w:val="lowerLetter"/>
      <w:start w:val="16"/>
    </w:lvl>
  </w:abstractNum>
  <w:abstractNum w:abstractNumId="180">
    <w:nsid w:val="25973E32"/>
    <w:multiLevelType w:val="hybridMultilevel"/>
    <w:lvl w:ilvl="0">
      <w:lvlJc w:val="left"/>
      <w:lvlText w:val="%1."/>
      <w:numFmt w:val="decimal"/>
      <w:start w:val="1"/>
    </w:lvl>
  </w:abstractNum>
  <w:abstractNum w:abstractNumId="181">
    <w:nsid w:val="EAD6F57"/>
    <w:multiLevelType w:val="hybridMultilevel"/>
    <w:lvl w:ilvl="0">
      <w:lvlJc w:val="left"/>
      <w:lvlText w:val="%1."/>
      <w:numFmt w:val="decimal"/>
      <w:start w:val="4"/>
    </w:lvl>
  </w:abstractNum>
  <w:abstractNum w:abstractNumId="182">
    <w:nsid w:val="6EC9D844"/>
    <w:multiLevelType w:val="hybridMultilevel"/>
    <w:lvl w:ilvl="0">
      <w:lvlJc w:val="left"/>
      <w:lvlText w:val="%1."/>
      <w:numFmt w:val="decimal"/>
      <w:start w:val="11"/>
    </w:lvl>
  </w:abstractNum>
  <w:abstractNum w:abstractNumId="183">
    <w:nsid w:val="5C49EAEE"/>
    <w:multiLevelType w:val="hybridMultilevel"/>
    <w:lvl w:ilvl="0">
      <w:lvlJc w:val="left"/>
      <w:lvlText w:val="☐"/>
      <w:numFmt w:val="bullet"/>
      <w:start w:val="1"/>
    </w:lvl>
  </w:abstractNum>
  <w:abstractNum w:abstractNumId="184">
    <w:nsid w:val="64AF49B"/>
    <w:multiLevelType w:val="hybridMultilevel"/>
    <w:lvl w:ilvl="0">
      <w:lvlJc w:val="left"/>
      <w:lvlText w:val="*"/>
      <w:numFmt w:val="bullet"/>
      <w:start w:val="1"/>
    </w:lvl>
  </w:abstractNum>
  <w:abstractNum w:abstractNumId="185">
    <w:nsid w:val="397C46BC"/>
    <w:multiLevelType w:val="hybridMultilevel"/>
    <w:lvl w:ilvl="0">
      <w:lvlJc w:val="left"/>
      <w:lvlText w:val="%1."/>
      <w:numFmt w:val="decimal"/>
      <w:start w:val="1"/>
    </w:lvl>
  </w:abstractNum>
  <w:abstractNum w:abstractNumId="186">
    <w:nsid w:val="7E448DE9"/>
    <w:multiLevelType w:val="hybridMultilevel"/>
    <w:lvl w:ilvl="0">
      <w:lvlJc w:val="left"/>
      <w:lvlText w:val="(%1)"/>
      <w:numFmt w:val="lowerLetter"/>
      <w:start w:val="1"/>
    </w:lvl>
  </w:abstractNum>
  <w:abstractNum w:abstractNumId="187">
    <w:nsid w:val="5A9CC3E5"/>
    <w:multiLevelType w:val="hybridMultilevel"/>
    <w:lvl w:ilvl="0">
      <w:lvlJc w:val="left"/>
      <w:lvlText w:val="%1."/>
      <w:numFmt w:val="decimal"/>
      <w:start w:val="5"/>
    </w:lvl>
  </w:abstractNum>
  <w:abstractNum w:abstractNumId="188">
    <w:nsid w:val="1AFE3625"/>
    <w:multiLevelType w:val="hybridMultilevel"/>
    <w:lvl w:ilvl="0">
      <w:lvlJc w:val="left"/>
      <w:lvlText w:val="(%1)"/>
      <w:numFmt w:val="lowerLetter"/>
      <w:start w:val="2"/>
    </w:lvl>
  </w:abstractNum>
  <w:abstractNum w:abstractNumId="189">
    <w:nsid w:val="3CA88ECF"/>
    <w:multiLevelType w:val="hybridMultilevel"/>
    <w:lvl w:ilvl="0">
      <w:lvlJc w:val="left"/>
      <w:lvlText w:val="%1."/>
      <w:numFmt w:val="decimal"/>
      <w:start w:val="1"/>
    </w:lvl>
  </w:abstractNum>
  <w:abstractNum w:abstractNumId="190">
    <w:nsid w:val="6EBE4208"/>
    <w:multiLevelType w:val="hybridMultilevel"/>
    <w:lvl w:ilvl="0">
      <w:lvlJc w:val="left"/>
      <w:lvlText w:val="(%1)"/>
      <w:numFmt w:val="lowerLetter"/>
      <w:start w:val="1"/>
    </w:lvl>
  </w:abstractNum>
  <w:abstractNum w:abstractNumId="191">
    <w:nsid w:val="C058DF5"/>
    <w:multiLevelType w:val="hybridMultilevel"/>
    <w:lvl w:ilvl="0">
      <w:lvlJc w:val="left"/>
      <w:lvlText w:val="%1."/>
      <w:numFmt w:val="decimal"/>
      <w:start w:val="5"/>
    </w:lvl>
  </w:abstractNum>
  <w:abstractNum w:abstractNumId="192">
    <w:nsid w:val="CBE5BE9"/>
    <w:multiLevelType w:val="hybridMultilevel"/>
    <w:lvl w:ilvl="0">
      <w:lvlJc w:val="left"/>
      <w:lvlText w:val="(%1)"/>
      <w:numFmt w:val="lowerLetter"/>
      <w:start w:val="1"/>
    </w:lvl>
  </w:abstractNum>
  <w:abstractNum w:abstractNumId="193">
    <w:nsid w:val="3102BBE2"/>
    <w:multiLevelType w:val="hybridMultilevel"/>
    <w:lvl w:ilvl="0">
      <w:lvlJc w:val="left"/>
      <w:lvlText w:val="(%1)"/>
      <w:numFmt w:val="decimal"/>
      <w:start w:val="1"/>
    </w:lvl>
  </w:abstractNum>
  <w:abstractNum w:abstractNumId="194">
    <w:nsid w:val="26A02C5E"/>
    <w:multiLevelType w:val="hybridMultilevel"/>
    <w:lvl w:ilvl="0">
      <w:lvlJc w:val="left"/>
      <w:lvlText w:val="(%1)"/>
      <w:numFmt w:val="decimal"/>
      <w:start w:val="1"/>
    </w:lvl>
  </w:abstractNum>
  <w:abstractNum w:abstractNumId="195">
    <w:nsid w:val="541C815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53" Type="http://schemas.openxmlformats.org/officeDocument/2006/relationships/image" Target="media/image235.png"/><Relationship Id="rId264" Type="http://schemas.openxmlformats.org/officeDocument/2006/relationships/image" Target="media/image236.png"/><Relationship Id="rId273" Type="http://schemas.openxmlformats.org/officeDocument/2006/relationships/image" Target="media/image237.png"/><Relationship Id="rId285" Type="http://schemas.openxmlformats.org/officeDocument/2006/relationships/image" Target="media/image238.png"/><Relationship Id="rId296" Type="http://schemas.openxmlformats.org/officeDocument/2006/relationships/image" Target="media/image239.png"/><Relationship Id="rId309" Type="http://schemas.openxmlformats.org/officeDocument/2006/relationships/image" Target="media/image240.png"/><Relationship Id="rId322" Type="http://schemas.openxmlformats.org/officeDocument/2006/relationships/image" Target="media/image241.png"/><Relationship Id="rId335" Type="http://schemas.openxmlformats.org/officeDocument/2006/relationships/image" Target="media/image242.png"/><Relationship Id="rId348" Type="http://schemas.openxmlformats.org/officeDocument/2006/relationships/image" Target="media/image243.png"/><Relationship Id="rId360" Type="http://schemas.openxmlformats.org/officeDocument/2006/relationships/image" Target="media/image244.png"/><Relationship Id="rId373" Type="http://schemas.openxmlformats.org/officeDocument/2006/relationships/image" Target="media/image245.png"/><Relationship Id="rId385" Type="http://schemas.openxmlformats.org/officeDocument/2006/relationships/image" Target="media/image246.png"/><Relationship Id="rId394" Type="http://schemas.openxmlformats.org/officeDocument/2006/relationships/image" Target="media/image247.png"/><Relationship Id="rId395" Type="http://schemas.openxmlformats.org/officeDocument/2006/relationships/image" Target="media/image248.png"/><Relationship Id="rId396" Type="http://schemas.openxmlformats.org/officeDocument/2006/relationships/image" Target="media/image249.png"/><Relationship Id="rId397" Type="http://schemas.openxmlformats.org/officeDocument/2006/relationships/image" Target="media/image250.png"/><Relationship Id="rId398" Type="http://schemas.openxmlformats.org/officeDocument/2006/relationships/image" Target="media/image251.png"/><Relationship Id="rId399" Type="http://schemas.openxmlformats.org/officeDocument/2006/relationships/image" Target="media/image252.png"/><Relationship Id="rId400" Type="http://schemas.openxmlformats.org/officeDocument/2006/relationships/image" Target="media/image253.png"/><Relationship Id="rId401" Type="http://schemas.openxmlformats.org/officeDocument/2006/relationships/image" Target="media/image254.png"/><Relationship Id="rId402" Type="http://schemas.openxmlformats.org/officeDocument/2006/relationships/image" Target="media/image255.png"/><Relationship Id="rId403" Type="http://schemas.openxmlformats.org/officeDocument/2006/relationships/image" Target="media/image256.png"/><Relationship Id="rId404" Type="http://schemas.openxmlformats.org/officeDocument/2006/relationships/image" Target="media/image257.png"/><Relationship Id="rId405" Type="http://schemas.openxmlformats.org/officeDocument/2006/relationships/image" Target="media/image258.png"/><Relationship Id="rId406" Type="http://schemas.openxmlformats.org/officeDocument/2006/relationships/image" Target="media/image259.png"/><Relationship Id="rId407" Type="http://schemas.openxmlformats.org/officeDocument/2006/relationships/image" Target="media/image260.png"/><Relationship Id="rId408" Type="http://schemas.openxmlformats.org/officeDocument/2006/relationships/image" Target="media/image261.png"/><Relationship Id="rId409" Type="http://schemas.openxmlformats.org/officeDocument/2006/relationships/image" Target="media/image262.png"/><Relationship Id="rId410" Type="http://schemas.openxmlformats.org/officeDocument/2006/relationships/image" Target="media/image263.png"/><Relationship Id="rId411" Type="http://schemas.openxmlformats.org/officeDocument/2006/relationships/image" Target="media/image264.png"/><Relationship Id="rId412" Type="http://schemas.openxmlformats.org/officeDocument/2006/relationships/image" Target="media/image265.png"/><Relationship Id="rId413" Type="http://schemas.openxmlformats.org/officeDocument/2006/relationships/image" Target="media/image266.png"/><Relationship Id="rId414" Type="http://schemas.openxmlformats.org/officeDocument/2006/relationships/image" Target="media/image267.png"/><Relationship Id="rId415" Type="http://schemas.openxmlformats.org/officeDocument/2006/relationships/image" Target="media/image268.png"/><Relationship Id="rId416" Type="http://schemas.openxmlformats.org/officeDocument/2006/relationships/image" Target="media/image269.png"/><Relationship Id="rId417" Type="http://schemas.openxmlformats.org/officeDocument/2006/relationships/image" Target="media/image270.png"/><Relationship Id="rId418" Type="http://schemas.openxmlformats.org/officeDocument/2006/relationships/image" Target="media/image271.png"/><Relationship Id="rId419" Type="http://schemas.openxmlformats.org/officeDocument/2006/relationships/image" Target="media/image272.png"/><Relationship Id="rId420" Type="http://schemas.openxmlformats.org/officeDocument/2006/relationships/image" Target="media/image273.png"/><Relationship Id="rId421" Type="http://schemas.openxmlformats.org/officeDocument/2006/relationships/image" Target="media/image274.png"/><Relationship Id="rId422" Type="http://schemas.openxmlformats.org/officeDocument/2006/relationships/image" Target="media/image275.png"/><Relationship Id="rId423" Type="http://schemas.openxmlformats.org/officeDocument/2006/relationships/image" Target="media/image276.png"/><Relationship Id="rId424" Type="http://schemas.openxmlformats.org/officeDocument/2006/relationships/image" Target="media/image277.png"/><Relationship Id="rId425" Type="http://schemas.openxmlformats.org/officeDocument/2006/relationships/image" Target="media/image278.png"/><Relationship Id="rId426" Type="http://schemas.openxmlformats.org/officeDocument/2006/relationships/image" Target="media/image279.png"/><Relationship Id="rId427" Type="http://schemas.openxmlformats.org/officeDocument/2006/relationships/image" Target="media/image280.png"/><Relationship Id="rId428" Type="http://schemas.openxmlformats.org/officeDocument/2006/relationships/image" Target="media/image281.png"/><Relationship Id="rId429" Type="http://schemas.openxmlformats.org/officeDocument/2006/relationships/image" Target="media/image282.png"/><Relationship Id="rId430" Type="http://schemas.openxmlformats.org/officeDocument/2006/relationships/image" Target="media/image283.png"/><Relationship Id="rId431" Type="http://schemas.openxmlformats.org/officeDocument/2006/relationships/image" Target="media/image284.png"/><Relationship Id="rId432" Type="http://schemas.openxmlformats.org/officeDocument/2006/relationships/image" Target="media/image285.png"/><Relationship Id="rId433" Type="http://schemas.openxmlformats.org/officeDocument/2006/relationships/image" Target="media/image286.png"/><Relationship Id="rId434" Type="http://schemas.openxmlformats.org/officeDocument/2006/relationships/image" Target="media/image287.png"/><Relationship Id="rId435" Type="http://schemas.openxmlformats.org/officeDocument/2006/relationships/image" Target="media/image288.png"/><Relationship Id="rId436" Type="http://schemas.openxmlformats.org/officeDocument/2006/relationships/image" Target="media/image289.png"/><Relationship Id="rId437" Type="http://schemas.openxmlformats.org/officeDocument/2006/relationships/image" Target="media/image290.png"/><Relationship Id="rId438" Type="http://schemas.openxmlformats.org/officeDocument/2006/relationships/image" Target="media/image291.png"/><Relationship Id="rId439" Type="http://schemas.openxmlformats.org/officeDocument/2006/relationships/image" Target="media/image292.png"/><Relationship Id="rId440" Type="http://schemas.openxmlformats.org/officeDocument/2006/relationships/image" Target="media/image293.png"/><Relationship Id="rId441" Type="http://schemas.openxmlformats.org/officeDocument/2006/relationships/image" Target="media/image294.png"/><Relationship Id="rId442" Type="http://schemas.openxmlformats.org/officeDocument/2006/relationships/image" Target="media/image295.png"/><Relationship Id="rId443" Type="http://schemas.openxmlformats.org/officeDocument/2006/relationships/image" Target="media/image296.png"/><Relationship Id="rId444" Type="http://schemas.openxmlformats.org/officeDocument/2006/relationships/image" Target="media/image297.png"/><Relationship Id="rId445" Type="http://schemas.openxmlformats.org/officeDocument/2006/relationships/image" Target="media/image298.png"/><Relationship Id="rId446" Type="http://schemas.openxmlformats.org/officeDocument/2006/relationships/image" Target="media/image299.png"/><Relationship Id="rId447" Type="http://schemas.openxmlformats.org/officeDocument/2006/relationships/image" Target="media/image300.png"/><Relationship Id="rId448" Type="http://schemas.openxmlformats.org/officeDocument/2006/relationships/image" Target="media/image301.png"/><Relationship Id="rId449" Type="http://schemas.openxmlformats.org/officeDocument/2006/relationships/image" Target="media/image302.png"/><Relationship Id="rId450" Type="http://schemas.openxmlformats.org/officeDocument/2006/relationships/image" Target="media/image303.png"/><Relationship Id="rId451" Type="http://schemas.openxmlformats.org/officeDocument/2006/relationships/image" Target="media/image304.png"/><Relationship Id="rId452" Type="http://schemas.openxmlformats.org/officeDocument/2006/relationships/image" Target="media/image305.png"/><Relationship Id="rId453" Type="http://schemas.openxmlformats.org/officeDocument/2006/relationships/image" Target="media/image306.png"/><Relationship Id="rId454" Type="http://schemas.openxmlformats.org/officeDocument/2006/relationships/image" Target="media/image307.png"/><Relationship Id="rId455" Type="http://schemas.openxmlformats.org/officeDocument/2006/relationships/image" Target="media/image308.png"/><Relationship Id="rId456" Type="http://schemas.openxmlformats.org/officeDocument/2006/relationships/image" Target="media/image309.png"/><Relationship Id="rId457" Type="http://schemas.openxmlformats.org/officeDocument/2006/relationships/image" Target="media/image310.png"/><Relationship Id="rId458" Type="http://schemas.openxmlformats.org/officeDocument/2006/relationships/image" Target="media/image311.png"/><Relationship Id="rId459" Type="http://schemas.openxmlformats.org/officeDocument/2006/relationships/image" Target="media/image312.png"/><Relationship Id="rId460" Type="http://schemas.openxmlformats.org/officeDocument/2006/relationships/image" Target="media/image313.png"/><Relationship Id="rId461" Type="http://schemas.openxmlformats.org/officeDocument/2006/relationships/image" Target="media/image314.png"/><Relationship Id="rId462" Type="http://schemas.openxmlformats.org/officeDocument/2006/relationships/image" Target="media/image315.png"/><Relationship Id="rId463" Type="http://schemas.openxmlformats.org/officeDocument/2006/relationships/image" Target="media/image316.png"/><Relationship Id="rId464" Type="http://schemas.openxmlformats.org/officeDocument/2006/relationships/image" Target="media/image317.png"/><Relationship Id="rId465" Type="http://schemas.openxmlformats.org/officeDocument/2006/relationships/image" Target="media/image318.png"/><Relationship Id="rId466" Type="http://schemas.openxmlformats.org/officeDocument/2006/relationships/image" Target="media/image319.png"/><Relationship Id="rId467" Type="http://schemas.openxmlformats.org/officeDocument/2006/relationships/image" Target="media/image320.png"/><Relationship Id="rId468" Type="http://schemas.openxmlformats.org/officeDocument/2006/relationships/image" Target="media/image321.png"/><Relationship Id="rId469" Type="http://schemas.openxmlformats.org/officeDocument/2006/relationships/image" Target="media/image322.png"/><Relationship Id="rId470" Type="http://schemas.openxmlformats.org/officeDocument/2006/relationships/image" Target="media/image323.png"/><Relationship Id="rId471" Type="http://schemas.openxmlformats.org/officeDocument/2006/relationships/image" Target="media/image324.png"/><Relationship Id="rId472" Type="http://schemas.openxmlformats.org/officeDocument/2006/relationships/image" Target="media/image325.png"/><Relationship Id="rId473" Type="http://schemas.openxmlformats.org/officeDocument/2006/relationships/image" Target="media/image326.png"/><Relationship Id="rId474" Type="http://schemas.openxmlformats.org/officeDocument/2006/relationships/image" Target="media/image327.png"/><Relationship Id="rId475" Type="http://schemas.openxmlformats.org/officeDocument/2006/relationships/image" Target="media/image328.png"/><Relationship Id="rId476" Type="http://schemas.openxmlformats.org/officeDocument/2006/relationships/image" Target="media/image329.png"/><Relationship Id="rId477" Type="http://schemas.openxmlformats.org/officeDocument/2006/relationships/image" Target="media/image330.png"/><Relationship Id="rId478" Type="http://schemas.openxmlformats.org/officeDocument/2006/relationships/image" Target="media/image331.png"/><Relationship Id="rId479" Type="http://schemas.openxmlformats.org/officeDocument/2006/relationships/image" Target="media/image332.png"/><Relationship Id="rId480" Type="http://schemas.openxmlformats.org/officeDocument/2006/relationships/image" Target="media/image333.png"/><Relationship Id="rId481" Type="http://schemas.openxmlformats.org/officeDocument/2006/relationships/image" Target="media/image334.png"/><Relationship Id="rId482" Type="http://schemas.openxmlformats.org/officeDocument/2006/relationships/image" Target="media/image335.png"/><Relationship Id="rId483" Type="http://schemas.openxmlformats.org/officeDocument/2006/relationships/image" Target="media/image336.png"/><Relationship Id="rId484" Type="http://schemas.openxmlformats.org/officeDocument/2006/relationships/image" Target="media/image337.png"/><Relationship Id="rId485" Type="http://schemas.openxmlformats.org/officeDocument/2006/relationships/image" Target="media/image338.png"/><Relationship Id="rId486" Type="http://schemas.openxmlformats.org/officeDocument/2006/relationships/image" Target="media/image339.png"/><Relationship Id="rId487" Type="http://schemas.openxmlformats.org/officeDocument/2006/relationships/image" Target="media/image340.png"/><Relationship Id="rId488" Type="http://schemas.openxmlformats.org/officeDocument/2006/relationships/image" Target="media/image341.png"/><Relationship Id="rId489" Type="http://schemas.openxmlformats.org/officeDocument/2006/relationships/image" Target="media/image342.png"/><Relationship Id="rId490" Type="http://schemas.openxmlformats.org/officeDocument/2006/relationships/image" Target="media/image343.png"/><Relationship Id="rId491" Type="http://schemas.openxmlformats.org/officeDocument/2006/relationships/image" Target="media/image344.png"/><Relationship Id="rId492" Type="http://schemas.openxmlformats.org/officeDocument/2006/relationships/image" Target="media/image345.png"/><Relationship Id="rId493" Type="http://schemas.openxmlformats.org/officeDocument/2006/relationships/image" Target="media/image346.png"/><Relationship Id="rId494" Type="http://schemas.openxmlformats.org/officeDocument/2006/relationships/image" Target="media/image347.png"/><Relationship Id="rId495" Type="http://schemas.openxmlformats.org/officeDocument/2006/relationships/image" Target="media/image348.png"/><Relationship Id="rId496" Type="http://schemas.openxmlformats.org/officeDocument/2006/relationships/image" Target="media/image349.png"/><Relationship Id="rId497" Type="http://schemas.openxmlformats.org/officeDocument/2006/relationships/image" Target="media/image350.png"/><Relationship Id="rId498" Type="http://schemas.openxmlformats.org/officeDocument/2006/relationships/image" Target="media/image351.png"/><Relationship Id="rId499" Type="http://schemas.openxmlformats.org/officeDocument/2006/relationships/image" Target="media/image352.png"/><Relationship Id="rId500" Type="http://schemas.openxmlformats.org/officeDocument/2006/relationships/image" Target="media/image353.png"/><Relationship Id="rId501" Type="http://schemas.openxmlformats.org/officeDocument/2006/relationships/image" Target="media/image354.png"/><Relationship Id="rId502" Type="http://schemas.openxmlformats.org/officeDocument/2006/relationships/image" Target="media/image355.png"/><Relationship Id="rId503" Type="http://schemas.openxmlformats.org/officeDocument/2006/relationships/image" Target="media/image356.png"/><Relationship Id="rId504" Type="http://schemas.openxmlformats.org/officeDocument/2006/relationships/image" Target="media/image357.png"/><Relationship Id="rId505" Type="http://schemas.openxmlformats.org/officeDocument/2006/relationships/image" Target="media/image358.png"/><Relationship Id="rId506" Type="http://schemas.openxmlformats.org/officeDocument/2006/relationships/image" Target="media/image359.png"/><Relationship Id="rId507" Type="http://schemas.openxmlformats.org/officeDocument/2006/relationships/image" Target="media/image360.png"/><Relationship Id="rId508" Type="http://schemas.openxmlformats.org/officeDocument/2006/relationships/image" Target="media/image361.png"/><Relationship Id="rId509" Type="http://schemas.openxmlformats.org/officeDocument/2006/relationships/image" Target="media/image362.png"/><Relationship Id="rId510" Type="http://schemas.openxmlformats.org/officeDocument/2006/relationships/image" Target="media/image363.png"/><Relationship Id="rId511" Type="http://schemas.openxmlformats.org/officeDocument/2006/relationships/image" Target="media/image364.png"/><Relationship Id="rId512" Type="http://schemas.openxmlformats.org/officeDocument/2006/relationships/image" Target="media/image365.png"/><Relationship Id="rId513" Type="http://schemas.openxmlformats.org/officeDocument/2006/relationships/image" Target="media/image366.png"/><Relationship Id="rId514" Type="http://schemas.openxmlformats.org/officeDocument/2006/relationships/image" Target="media/image367.png"/><Relationship Id="rId515" Type="http://schemas.openxmlformats.org/officeDocument/2006/relationships/image" Target="media/image368.png"/><Relationship Id="rId516" Type="http://schemas.openxmlformats.org/officeDocument/2006/relationships/image" Target="media/image369.jpeg"/><Relationship Id="rId517" Type="http://schemas.openxmlformats.org/officeDocument/2006/relationships/image" Target="media/image370.jpeg"/><Relationship Id="rId518" Type="http://schemas.openxmlformats.org/officeDocument/2006/relationships/image" Target="media/image371.png"/><Relationship Id="rId519" Type="http://schemas.openxmlformats.org/officeDocument/2006/relationships/image" Target="media/image372.png"/><Relationship Id="rId242" Type="http://schemas.openxmlformats.org/officeDocument/2006/relationships/hyperlink" Target="http://www.sec.gov/Archives/edgar/data/1329099/000119312523175545/d483603dex31.htm" TargetMode="External"/><Relationship Id="rId243" Type="http://schemas.openxmlformats.org/officeDocument/2006/relationships/hyperlink" Target="http://www.sec.gov/Archives/edgar/data/1329099/000120193509000004/exhibitabaidu.txt" TargetMode="External"/><Relationship Id="rId244" Type="http://schemas.openxmlformats.org/officeDocument/2006/relationships/hyperlink" Target="http://www.sec.gov/Archives/edgar/data/1329099/000119312505155128/dex42.htm" TargetMode="External"/><Relationship Id="rId245" Type="http://schemas.openxmlformats.org/officeDocument/2006/relationships/hyperlink" Target="http://www.sec.gov/Archives/edgar/data/1329099/000119312505140785/dex43.htm" TargetMode="External"/><Relationship Id="rId246" Type="http://schemas.openxmlformats.org/officeDocument/2006/relationships/hyperlink" Target="http://www.sec.gov/Archives/edgar/data/1329099/000119312512483790/d445376dex41.htm" TargetMode="External"/><Relationship Id="rId247" Type="http://schemas.openxmlformats.org/officeDocument/2006/relationships/hyperlink" Target="http://www.sec.gov/Archives/edgar/data/1329099/000119312512483790/d445376dex42.htm" TargetMode="External"/><Relationship Id="rId248" Type="http://schemas.openxmlformats.org/officeDocument/2006/relationships/hyperlink" Target="http://www.sec.gov/Archives/edgar/data/1329099/000119312513320951/d579240dex45.htm" TargetMode="External"/><Relationship Id="rId249" Type="http://schemas.openxmlformats.org/officeDocument/2006/relationships/hyperlink" Target="http://www.sec.gov/Archives/edgar/data/1329099/000119312514230355/d738748dex45.htm" TargetMode="External"/><Relationship Id="rId250" Type="http://schemas.openxmlformats.org/officeDocument/2006/relationships/hyperlink" Target="http://www.sec.gov/Archives/edgar/data/1329099/000119312515243536/d17306dex41.htm" TargetMode="External"/><Relationship Id="rId251" Type="http://schemas.openxmlformats.org/officeDocument/2006/relationships/hyperlink" Target="http://www.sec.gov/Archives/edgar/data/1329099/000119312517223541/d422599dex41.htm" TargetMode="External"/><Relationship Id="rId252" Type="http://schemas.openxmlformats.org/officeDocument/2006/relationships/hyperlink" Target="http://www.sec.gov/Archives/edgar/data/1329099/000119312518327168/d624653dex45.htm" TargetMode="External"/><Relationship Id="rId254" Type="http://schemas.openxmlformats.org/officeDocument/2006/relationships/hyperlink" Target="http://www.sec.gov/Archives/edgar/data/1329099/000119312518327168/d624653dex48.htm" TargetMode="External"/><Relationship Id="rId255" Type="http://schemas.openxmlformats.org/officeDocument/2006/relationships/hyperlink" Target="http://www.sec.gov/Archives/edgar/data/1329099/000119312520100448/d895582dex411.htm" TargetMode="External"/><Relationship Id="rId256" Type="http://schemas.openxmlformats.org/officeDocument/2006/relationships/hyperlink" Target="http://www.sec.gov/Archives/edgar/data/1329099/000119312520267194/d97560dex43.htm" TargetMode="External"/><Relationship Id="rId257" Type="http://schemas.openxmlformats.org/officeDocument/2006/relationships/hyperlink" Target="http://www.sec.gov/Archives/edgar/data/1329099/000119312522086036/d272011dex226.htm" TargetMode="External"/><Relationship Id="rId258" Type="http://schemas.openxmlformats.org/officeDocument/2006/relationships/hyperlink" Target="http://www.sec.gov/Archives/edgar/data/1329099/000119312522086036/d272011dex227.htm" TargetMode="External"/><Relationship Id="rId259" Type="http://schemas.openxmlformats.org/officeDocument/2006/relationships/hyperlink" Target="http://www.sec.gov/Archives/edgar/data/1329099/000119312522086036/d272011dex228.htm" TargetMode="External"/><Relationship Id="rId260" Type="http://schemas.openxmlformats.org/officeDocument/2006/relationships/hyperlink" Target="http://www.sec.gov/Archives/edgar/data/1722608/000156459020010259/iq-ex461_305.htm" TargetMode="External"/><Relationship Id="rId261" Type="http://schemas.openxmlformats.org/officeDocument/2006/relationships/hyperlink" Target="http://www.sec.gov/Archives/edgar/data/1329099/000119312522086036/d272011dex231.htm" TargetMode="External"/><Relationship Id="rId262" Type="http://schemas.openxmlformats.org/officeDocument/2006/relationships/hyperlink" Target="http://www.sec.gov/Archives/edgar/data/1329099/000119312512451829/d432231df3asr.htm#toc432231_8" TargetMode="External"/><Relationship Id="rId263" Type="http://schemas.openxmlformats.org/officeDocument/2006/relationships/hyperlink" Target="http://www.sec.gov/Archives/edgar/data/1329099/000119312515230526/d937958d424b5.htm#supprom937958_11" TargetMode="External"/><Relationship Id="rId265" Type="http://schemas.openxmlformats.org/officeDocument/2006/relationships/hyperlink" Target="http://www.sec.gov/Archives/edgar/data/1329099/000119312517213287/d377819df3asr.htm#toc377819_8" TargetMode="External"/><Relationship Id="rId266" Type="http://schemas.openxmlformats.org/officeDocument/2006/relationships/hyperlink" Target="http://www.sec.gov/Archives/edgar/data/1329099/000119312517217345/d377819d424b2.htm#supprom377819_11" TargetMode="External"/><Relationship Id="rId267" Type="http://schemas.openxmlformats.org/officeDocument/2006/relationships/hyperlink" Target="http://www.sec.gov/Archives/edgar/data/1329099/000119312518094208/d434211d424b2.htm#supprom434211_12" TargetMode="External"/><Relationship Id="rId268" Type="http://schemas.openxmlformats.org/officeDocument/2006/relationships/hyperlink" Target="http://www.sec.gov/Archives/edgar/data/1329099/000119312518323048/d619975d424b2.htm#supprom619975_12" TargetMode="External"/><Relationship Id="rId269" Type="http://schemas.openxmlformats.org/officeDocument/2006/relationships/hyperlink" Target="http://www.sec.gov/Archives/edgar/data/1329099/000119312520263929/d25392df3asr.htm#rom25392_6" TargetMode="External"/><Relationship Id="rId270" Type="http://schemas.openxmlformats.org/officeDocument/2006/relationships/hyperlink" Target="http://www.sec.gov/Archives/edgar/data/1329099/000119312521251494/d133757d424b2.htm#supprom133757_12" TargetMode="External"/><Relationship Id="rId271" Type="http://schemas.openxmlformats.org/officeDocument/2006/relationships/hyperlink" Target="http://www.sec.gov/Archives/edgar/data/1329099/000119312525055604/d942864dex101.htm" TargetMode="External"/><Relationship Id="rId272" Type="http://schemas.openxmlformats.org/officeDocument/2006/relationships/hyperlink" Target="http://www.sec.gov/Archives/edgar/data/1329099/000119312525055604/d942864dex102.htm" TargetMode="External"/><Relationship Id="rId274" Type="http://schemas.openxmlformats.org/officeDocument/2006/relationships/hyperlink" Target="http://www.sec.gov/Archives/edgar/data/1329099/000114554908002077/h02671exv99w3.htm" TargetMode="External"/><Relationship Id="rId275" Type="http://schemas.openxmlformats.org/officeDocument/2006/relationships/hyperlink" Target="http://www.sec.gov/Archives/edgar/data/1329099/000114554908002077/h02671exv99w4.htm" TargetMode="External"/><Relationship Id="rId276" Type="http://schemas.openxmlformats.org/officeDocument/2006/relationships/hyperlink" Target="http://www.sec.gov/Archives/edgar/data/1329099/000119312505140785/dex103.htm" TargetMode="External"/><Relationship Id="rId277" Type="http://schemas.openxmlformats.org/officeDocument/2006/relationships/hyperlink" Target="http://www.sec.gov/Archives/edgar/data/1329099/000119312505140785/dex104.htm" TargetMode="External"/><Relationship Id="rId278" Type="http://schemas.openxmlformats.org/officeDocument/2006/relationships/hyperlink" Target="http://www.sec.gov/Archives/edgar/data/1329099/000119312512139789/d243699dex46.htm" TargetMode="External"/><Relationship Id="rId279" Type="http://schemas.openxmlformats.org/officeDocument/2006/relationships/hyperlink" Target="http://www.sec.gov/Archives/edgar/data/1329099/000119312505140785/dex994.htm" TargetMode="External"/><Relationship Id="rId280" Type="http://schemas.openxmlformats.org/officeDocument/2006/relationships/hyperlink" Target="http://www.sec.gov/Archives/edgar/data/1329099/000119312505140785/dex995.htm" TargetMode="External"/><Relationship Id="rId281" Type="http://schemas.openxmlformats.org/officeDocument/2006/relationships/hyperlink" Target="http://www.sec.gov/Archives/edgar/data/1329099/000119312505140785/dex998.htm" TargetMode="External"/><Relationship Id="rId282" Type="http://schemas.openxmlformats.org/officeDocument/2006/relationships/hyperlink" Target="http://www.sec.gov/Archives/edgar/data/1329099/000119312505140785/dex999.htm" TargetMode="External"/><Relationship Id="rId283" Type="http://schemas.openxmlformats.org/officeDocument/2006/relationships/hyperlink" Target="http://www.sec.gov/Archives/edgar/data/1329099/000119312522086036/d272011dex410.htm" TargetMode="External"/><Relationship Id="rId284" Type="http://schemas.openxmlformats.org/officeDocument/2006/relationships/hyperlink" Target="http://www.sec.gov/Archives/edgar/data/1329099/000119312522086036/d272011dex411.htm" TargetMode="External"/><Relationship Id="rId286" Type="http://schemas.openxmlformats.org/officeDocument/2006/relationships/hyperlink" Target="http://www.sec.gov/Archives/edgar/data/1329099/000119312519076779/d657854dex412.htm" TargetMode="External"/><Relationship Id="rId287" Type="http://schemas.openxmlformats.org/officeDocument/2006/relationships/hyperlink" Target="http://www.sec.gov/Archives/edgar/data/1329099/000119312522086036/d272011dex413.htm" TargetMode="External"/><Relationship Id="rId288" Type="http://schemas.openxmlformats.org/officeDocument/2006/relationships/hyperlink" Target="http://www.sec.gov/Archives/edgar/data/1329099/000119312522086036/d272011dex414.htm" TargetMode="External"/><Relationship Id="rId289" Type="http://schemas.openxmlformats.org/officeDocument/2006/relationships/hyperlink" Target="http://www.sec.gov/Archives/edgar/data/1329099/000119312522086036/d272011dex415.htm" TargetMode="External"/><Relationship Id="rId290" Type="http://schemas.openxmlformats.org/officeDocument/2006/relationships/hyperlink" Target="http://www.sec.gov/Archives/edgar/data/1329099/000119312522086036/d272011dex416.htm" TargetMode="External"/><Relationship Id="rId291" Type="http://schemas.openxmlformats.org/officeDocument/2006/relationships/hyperlink" Target="http://www.sec.gov/Archives/edgar/data/1329099/000119312512139789/d243699dex425.htm" TargetMode="External"/><Relationship Id="rId292" Type="http://schemas.openxmlformats.org/officeDocument/2006/relationships/hyperlink" Target="http://www.sec.gov/Archives/edgar/data/1329099/000095012311030187/h04360dexv4w27.htm" TargetMode="External"/><Relationship Id="rId293" Type="http://schemas.openxmlformats.org/officeDocument/2006/relationships/hyperlink" Target="http://www.sec.gov/Archives/edgar/data/1329099/000095012311030187/h04360dexv4w48.htm" TargetMode="External"/><Relationship Id="rId294" Type="http://schemas.openxmlformats.org/officeDocument/2006/relationships/hyperlink" Target="http://www.sec.gov/Archives/edgar/data/1329099/000095012311030187/h04360dexv4w50.htm" TargetMode="External"/><Relationship Id="rId295" Type="http://schemas.openxmlformats.org/officeDocument/2006/relationships/hyperlink" Target="http://www.sec.gov/Archives/edgar/data/1329099/000095012311030187/h04360dexv4w51.htm" TargetMode="External"/><Relationship Id="rId297" Type="http://schemas.openxmlformats.org/officeDocument/2006/relationships/hyperlink" Target="http://www.sec.gov/Archives/edgar/data/1329099/000119312512139789/d243699dex465.htm" TargetMode="External"/><Relationship Id="rId298" Type="http://schemas.openxmlformats.org/officeDocument/2006/relationships/hyperlink" Target="http://www.sec.gov/Archives/edgar/data/1329099/000119312512139789/d243699dex468.htm" TargetMode="External"/><Relationship Id="rId299" Type="http://schemas.openxmlformats.org/officeDocument/2006/relationships/hyperlink" Target="http://www.sec.gov/Archives/edgar/data/1329099/000119312512139789/d243699dex469.htm" TargetMode="External"/><Relationship Id="rId300" Type="http://schemas.openxmlformats.org/officeDocument/2006/relationships/hyperlink" Target="http://www.sec.gov/Archives/edgar/data/1329099/000119312514120068/d641077dex464.htm" TargetMode="External"/><Relationship Id="rId301" Type="http://schemas.openxmlformats.org/officeDocument/2006/relationships/hyperlink" Target="http://www.sec.gov/Archives/edgar/data/1329099/000119312514120068/d641077dex465.htm" TargetMode="External"/><Relationship Id="rId302" Type="http://schemas.openxmlformats.org/officeDocument/2006/relationships/hyperlink" Target="http://www.sec.gov/Archives/edgar/data/1329099/000119312514120068/d641077dex466.htm" TargetMode="External"/><Relationship Id="rId303" Type="http://schemas.openxmlformats.org/officeDocument/2006/relationships/hyperlink" Target="http://www.sec.gov/Archives/edgar/data/1329099/000119312517105041/d277810dex434.htm" TargetMode="External"/><Relationship Id="rId304" Type="http://schemas.openxmlformats.org/officeDocument/2006/relationships/hyperlink" Target="http://www.sec.gov/Archives/edgar/data/1329099/000119312517105041/d277810dex435.htm" TargetMode="External"/><Relationship Id="rId305" Type="http://schemas.openxmlformats.org/officeDocument/2006/relationships/hyperlink" Target="http://www.sec.gov/Archives/edgar/data/1329099/000119312517105041/d277810dex436.htm" TargetMode="External"/><Relationship Id="rId306" Type="http://schemas.openxmlformats.org/officeDocument/2006/relationships/hyperlink" Target="http://www.sec.gov/Archives/edgar/data/1329099/000119312517105041/d277810dex437.htm" TargetMode="External"/><Relationship Id="rId307" Type="http://schemas.openxmlformats.org/officeDocument/2006/relationships/hyperlink" Target="http://www.sec.gov/Archives/edgar/data/1329099/000119312517105041/d277810dex438.htm" TargetMode="External"/><Relationship Id="rId308" Type="http://schemas.openxmlformats.org/officeDocument/2006/relationships/hyperlink" Target="http://www.sec.gov/Archives/edgar/data/1329099/000119312517105041/d277810dex439.htm" TargetMode="External"/><Relationship Id="rId310" Type="http://schemas.openxmlformats.org/officeDocument/2006/relationships/hyperlink" Target="http://www.sec.gov/Archives/edgar/data/1329099/000119312517105041/d277810dex440.htm" TargetMode="External"/><Relationship Id="rId311" Type="http://schemas.openxmlformats.org/officeDocument/2006/relationships/hyperlink" Target="http://www.sec.gov/Archives/edgar/data/1329099/000119312517105041/d277810dex441.htm" TargetMode="External"/><Relationship Id="rId312" Type="http://schemas.openxmlformats.org/officeDocument/2006/relationships/hyperlink" Target="http://www.sec.gov/Archives/edgar/data/1329099/000119312517105041/d277810dex442.htm" TargetMode="External"/><Relationship Id="rId313" Type="http://schemas.openxmlformats.org/officeDocument/2006/relationships/hyperlink" Target="http://www.sec.gov/Archives/edgar/data/1329099/000119312517105041/d277810dex443.htm" TargetMode="External"/><Relationship Id="rId314" Type="http://schemas.openxmlformats.org/officeDocument/2006/relationships/hyperlink" Target="http://www.sec.gov/Archives/edgar/data/1329099/000119312517105041/d277810dex444.htm" TargetMode="External"/><Relationship Id="rId315" Type="http://schemas.openxmlformats.org/officeDocument/2006/relationships/hyperlink" Target="http://www.sec.gov/Archives/edgar/data/1329099/000119312517105041/d277810dex445.htm" TargetMode="External"/><Relationship Id="rId316" Type="http://schemas.openxmlformats.org/officeDocument/2006/relationships/hyperlink" Target="http://www.sec.gov/Archives/edgar/data/1329099/000119312517105041/d277810dex446.htm" TargetMode="External"/><Relationship Id="rId317" Type="http://schemas.openxmlformats.org/officeDocument/2006/relationships/hyperlink" Target="http://www.sec.gov/Archives/edgar/data/1329099/000119312517105041/d277810dex447.htm" TargetMode="External"/><Relationship Id="rId318" Type="http://schemas.openxmlformats.org/officeDocument/2006/relationships/hyperlink" Target="http://www.sec.gov/Archives/edgar/data/1329099/000119312517105041/d277810dex448.htm" TargetMode="External"/><Relationship Id="rId319" Type="http://schemas.openxmlformats.org/officeDocument/2006/relationships/hyperlink" Target="http://www.sec.gov/Archives/edgar/data/1329099/000119312517105041/d277810dex449.htm" TargetMode="External"/><Relationship Id="rId320" Type="http://schemas.openxmlformats.org/officeDocument/2006/relationships/hyperlink" Target="http://www.sec.gov/Archives/edgar/data/1329099/000119312517105041/d277810dex450.htm" TargetMode="External"/><Relationship Id="rId321" Type="http://schemas.openxmlformats.org/officeDocument/2006/relationships/hyperlink" Target="http://www.sec.gov/Archives/edgar/data/1329099/000119312517105041/d277810dex451.htm" TargetMode="External"/><Relationship Id="rId323" Type="http://schemas.openxmlformats.org/officeDocument/2006/relationships/hyperlink" Target="http://www.sec.gov/Archives/edgar/data/1329099/000119312517105041/d277810dex452.htm" TargetMode="External"/><Relationship Id="rId324" Type="http://schemas.openxmlformats.org/officeDocument/2006/relationships/hyperlink" Target="http://www.sec.gov/Archives/edgar/data/1329099/000119312517105041/d277810dex453.htm" TargetMode="External"/><Relationship Id="rId325" Type="http://schemas.openxmlformats.org/officeDocument/2006/relationships/hyperlink" Target="http://www.sec.gov/Archives/edgar/data/1329099/000119312517105041/d277810dex454.htm" TargetMode="External"/><Relationship Id="rId326" Type="http://schemas.openxmlformats.org/officeDocument/2006/relationships/hyperlink" Target="http://www.sec.gov/Archives/edgar/data/1269238/000095014215002324/eh1501305_13d-ctrip.htm#EXHIBIT3" TargetMode="External"/><Relationship Id="rId327" Type="http://schemas.openxmlformats.org/officeDocument/2006/relationships/hyperlink" Target="http://www.sec.gov/Archives/edgar/data/1269238/000095014215002324/eh1501305_13d-ctrip.htm#EXHIBIT4" TargetMode="External"/><Relationship Id="rId328" Type="http://schemas.openxmlformats.org/officeDocument/2006/relationships/hyperlink" Target="http://www.sec.gov/Archives/edgar/data/1329099/000119312517105041/d277810dex468.htm" TargetMode="External"/><Relationship Id="rId329" Type="http://schemas.openxmlformats.org/officeDocument/2006/relationships/hyperlink" Target="http://www.sec.gov/Archives/edgar/data/1329099/000119312519076779/d657854dex454.htm" TargetMode="External"/><Relationship Id="rId330" Type="http://schemas.openxmlformats.org/officeDocument/2006/relationships/hyperlink" Target="http://www.sec.gov/Archives/edgar/data/1329099/000119312519076779/d657854dex455.htm" TargetMode="External"/><Relationship Id="rId331" Type="http://schemas.openxmlformats.org/officeDocument/2006/relationships/hyperlink" Target="http://www.sec.gov/Archives/edgar/data/1329099/000119312519076779/d657854dex456.htm" TargetMode="External"/><Relationship Id="rId332" Type="http://schemas.openxmlformats.org/officeDocument/2006/relationships/hyperlink" Target="http://www.sec.gov/Archives/edgar/data/1329099/000119312519076779/d657854dex458.htm" TargetMode="External"/><Relationship Id="rId333" Type="http://schemas.openxmlformats.org/officeDocument/2006/relationships/hyperlink" Target="http://www.sec.gov/Archives/edgar/data/1329099/000119312519076779/d657854dex459.htm" TargetMode="External"/><Relationship Id="rId334" Type="http://schemas.openxmlformats.org/officeDocument/2006/relationships/hyperlink" Target="http://www.sec.gov/Archives/edgar/data/1329099/000119312519076779/d657854dex460.htm" TargetMode="External"/><Relationship Id="rId336" Type="http://schemas.openxmlformats.org/officeDocument/2006/relationships/hyperlink" Target="http://www.sec.gov/Archives/edgar/data/1329099/000119312519076779/d657854dex461.htm" TargetMode="External"/><Relationship Id="rId337" Type="http://schemas.openxmlformats.org/officeDocument/2006/relationships/hyperlink" Target="http://www.sec.gov/Archives/edgar/data/1329099/000119312519076779/d657854dex462.htm" TargetMode="External"/><Relationship Id="rId338" Type="http://schemas.openxmlformats.org/officeDocument/2006/relationships/hyperlink" Target="http://www.sec.gov/Archives/edgar/data/1329099/000119312519076779/d657854dex463.htm" TargetMode="External"/><Relationship Id="rId339" Type="http://schemas.openxmlformats.org/officeDocument/2006/relationships/hyperlink" Target="http://www.sec.gov/Archives/edgar/data/1329099/000119312519076779/d657854dex464.htm" TargetMode="External"/><Relationship Id="rId340" Type="http://schemas.openxmlformats.org/officeDocument/2006/relationships/hyperlink" Target="http://www.sec.gov/Archives/edgar/data/1329099/000119312519076779/d657854dex465.htm" TargetMode="External"/><Relationship Id="rId341" Type="http://schemas.openxmlformats.org/officeDocument/2006/relationships/hyperlink" Target="http://www.sec.gov/Archives/edgar/data/1329099/000119312519076779/d657854dex466.htm" TargetMode="External"/><Relationship Id="rId342" Type="http://schemas.openxmlformats.org/officeDocument/2006/relationships/hyperlink" Target="http://www.sec.gov/Archives/edgar/data/1329099/000119312519076779/d657854dex467.htm" TargetMode="External"/><Relationship Id="rId343" Type="http://schemas.openxmlformats.org/officeDocument/2006/relationships/hyperlink" Target="http://www.sec.gov/Archives/edgar/data/1329099/000119312519076779/d657854dex469.htm" TargetMode="External"/><Relationship Id="rId344" Type="http://schemas.openxmlformats.org/officeDocument/2006/relationships/hyperlink" Target="http://www.sec.gov/Archives/edgar/data/1329099/000119312519076779/d657854dex470.htm" TargetMode="External"/><Relationship Id="rId345" Type="http://schemas.openxmlformats.org/officeDocument/2006/relationships/hyperlink" Target="http://www.sec.gov/Archives/edgar/data/1329099/000119312519076779/d657854dex471.htm" TargetMode="External"/><Relationship Id="rId346" Type="http://schemas.openxmlformats.org/officeDocument/2006/relationships/hyperlink" Target="http://www.sec.gov/Archives/edgar/data/1329099/000119312519076779/d657854dex472.htm" TargetMode="External"/><Relationship Id="rId347" Type="http://schemas.openxmlformats.org/officeDocument/2006/relationships/hyperlink" Target="http://www.sec.gov/Archives/edgar/data/1329099/000119312519076779/d657854dex473.htm" TargetMode="External"/><Relationship Id="rId349" Type="http://schemas.openxmlformats.org/officeDocument/2006/relationships/hyperlink" Target="http://www.sec.gov/Archives/edgar/data/1329099/000119312519076779/d657854dex474.htm" TargetMode="External"/><Relationship Id="rId350" Type="http://schemas.openxmlformats.org/officeDocument/2006/relationships/hyperlink" Target="http://www.sec.gov/Archives/edgar/data/1329099/000119312519076779/d657854dex475.htm" TargetMode="External"/><Relationship Id="rId351" Type="http://schemas.openxmlformats.org/officeDocument/2006/relationships/hyperlink" Target="http://www.sec.gov/Archives/edgar/data/1329099/000119312520073092/d833212dex483.htm" TargetMode="External"/><Relationship Id="rId352" Type="http://schemas.openxmlformats.org/officeDocument/2006/relationships/hyperlink" Target="http://www.sec.gov/Archives/edgar/data/1329099/000119312520073092/d833212dex484.htm" TargetMode="External"/><Relationship Id="rId353" Type="http://schemas.openxmlformats.org/officeDocument/2006/relationships/hyperlink" Target="http://www.sec.gov/Archives/edgar/data/1329099/000119312520073092/d833212dex485.htm" TargetMode="External"/><Relationship Id="rId354" Type="http://schemas.openxmlformats.org/officeDocument/2006/relationships/hyperlink" Target="http://www.sec.gov/Archives/edgar/data/1329099/000119312520073092/d833212dex486.htm" TargetMode="External"/><Relationship Id="rId355" Type="http://schemas.openxmlformats.org/officeDocument/2006/relationships/hyperlink" Target="http://www.sec.gov/Archives/edgar/data/1329099/000119312520073092/d833212dex487.htm" TargetMode="External"/><Relationship Id="rId356" Type="http://schemas.openxmlformats.org/officeDocument/2006/relationships/hyperlink" Target="http://www.sec.gov/Archives/edgar/data/1329099/000119312520073092/d833212dex488.htm" TargetMode="External"/><Relationship Id="rId357" Type="http://schemas.openxmlformats.org/officeDocument/2006/relationships/hyperlink" Target="http://www.sec.gov/Archives/edgar/data/1329099/000119312520073092/d833212dex489.htm" TargetMode="External"/><Relationship Id="rId358" Type="http://schemas.openxmlformats.org/officeDocument/2006/relationships/hyperlink" Target="http://www.sec.gov/Archives/edgar/data/1329099/000119312520073092/d833212dex490.htm" TargetMode="External"/><Relationship Id="rId359" Type="http://schemas.openxmlformats.org/officeDocument/2006/relationships/hyperlink" Target="http://www.sec.gov/Archives/edgar/data/1329099/000119312520073092/d833212dex491.htm" TargetMode="External"/><Relationship Id="rId361" Type="http://schemas.openxmlformats.org/officeDocument/2006/relationships/hyperlink" Target="http://www.sec.gov/Archives/edgar/data/1329099/000119312521074038/d46900dex486.htm" TargetMode="External"/><Relationship Id="rId362" Type="http://schemas.openxmlformats.org/officeDocument/2006/relationships/hyperlink" Target="http://www.sec.gov/Archives/edgar/data/1329099/000119312521074038/d46900dex487.htm" TargetMode="External"/><Relationship Id="rId363" Type="http://schemas.openxmlformats.org/officeDocument/2006/relationships/hyperlink" Target="http://www.sec.gov/Archives/edgar/data/1329099/000119312521074038/d46900dex488.htm" TargetMode="External"/><Relationship Id="rId364" Type="http://schemas.openxmlformats.org/officeDocument/2006/relationships/hyperlink" Target="http://www.sec.gov/Archives/edgar/data/1329099/000119312521074038/d46900dex489.htm" TargetMode="External"/><Relationship Id="rId365" Type="http://schemas.openxmlformats.org/officeDocument/2006/relationships/hyperlink" Target="http://www.sec.gov/Archives/edgar/data/1329099/000119312521074038/d46900dex490.htm" TargetMode="External"/><Relationship Id="rId366" Type="http://schemas.openxmlformats.org/officeDocument/2006/relationships/hyperlink" Target="http://www.sec.gov/Archives/edgar/data/1329099/000119312521074038/d46900dex491.htm" TargetMode="External"/><Relationship Id="rId367" Type="http://schemas.openxmlformats.org/officeDocument/2006/relationships/hyperlink" Target="http://www.sec.gov/Archives/edgar/data/1329099/000119312521074038/d46900dex492.htm" TargetMode="External"/><Relationship Id="rId368" Type="http://schemas.openxmlformats.org/officeDocument/2006/relationships/hyperlink" Target="http://www.sec.gov/Archives/edgar/data/1329099/000119312521074038/d46900dex493.htm" TargetMode="External"/><Relationship Id="rId369" Type="http://schemas.openxmlformats.org/officeDocument/2006/relationships/hyperlink" Target="http://www.sec.gov/Archives/edgar/data/1722608/000119312518060890/d487167dex1049.htm" TargetMode="External"/><Relationship Id="rId370" Type="http://schemas.openxmlformats.org/officeDocument/2006/relationships/hyperlink" Target="http://www.sec.gov/Archives/edgar/data/1722608/000119312518060890/d487167dex1050.htm" TargetMode="External"/><Relationship Id="rId371" Type="http://schemas.openxmlformats.org/officeDocument/2006/relationships/hyperlink" Target="http://www.sec.gov/Archives/edgar/data/1722608/000119312518060890/d487167dex1051.htm" TargetMode="External"/><Relationship Id="rId372" Type="http://schemas.openxmlformats.org/officeDocument/2006/relationships/hyperlink" Target="http://www.sec.gov/Archives/edgar/data/1722608/000119312518060890/d487167dex1052.htm" TargetMode="External"/><Relationship Id="rId374" Type="http://schemas.openxmlformats.org/officeDocument/2006/relationships/hyperlink" Target="http://www.sec.gov/Archives/edgar/data/1722608/000119312518060890/d487167dex107.htm" TargetMode="External"/><Relationship Id="rId375" Type="http://schemas.openxmlformats.org/officeDocument/2006/relationships/hyperlink" Target="http://www.sec.gov/Archives/edgar/data/1722608/000119312518060890/d487167dex108.htm" TargetMode="External"/><Relationship Id="rId376" Type="http://schemas.openxmlformats.org/officeDocument/2006/relationships/hyperlink" Target="http://www.sec.gov/Archives/edgar/data/1722608/000119312518060890/d487167dex109.htm" TargetMode="External"/><Relationship Id="rId377" Type="http://schemas.openxmlformats.org/officeDocument/2006/relationships/hyperlink" Target="http://www.sec.gov/Archives/edgar/data/1722608/000119312518060890/d487167dex1010.htm" TargetMode="External"/><Relationship Id="rId378" Type="http://schemas.openxmlformats.org/officeDocument/2006/relationships/hyperlink" Target="http://www.sec.gov/Archives/edgar/data/1722608/000119312518060890/d487167dex1011.htm" TargetMode="External"/><Relationship Id="rId379" Type="http://schemas.openxmlformats.org/officeDocument/2006/relationships/hyperlink" Target="http://www.sec.gov/Archives/edgar/data/1722608/000119312518060890/d487167dex1012.htm" TargetMode="External"/><Relationship Id="rId380" Type="http://schemas.openxmlformats.org/officeDocument/2006/relationships/hyperlink" Target="http://www.sec.gov/Archives/edgar/data/1722608/000119312518060890/d487167dex1013.htm" TargetMode="External"/><Relationship Id="rId381" Type="http://schemas.openxmlformats.org/officeDocument/2006/relationships/hyperlink" Target="http://www.sec.gov/Archives/edgar/data/1722608/000119312518085955/d487167dex1014.htm" TargetMode="External"/><Relationship Id="rId382" Type="http://schemas.openxmlformats.org/officeDocument/2006/relationships/hyperlink" Target="http://www.sec.gov/Archives/edgar/data/1329099/000119312521249798/d191224dex4106.htm" TargetMode="External"/><Relationship Id="rId383" Type="http://schemas.openxmlformats.org/officeDocument/2006/relationships/hyperlink" Target="http://www.sec.gov/Archives/edgar/data/1329099/000119312523076192/d362351dex4107.htm" TargetMode="External"/><Relationship Id="rId384" Type="http://schemas.openxmlformats.org/officeDocument/2006/relationships/hyperlink" Target="http://www.sec.gov/Archives/edgar/data/1329099/000119312523076192/d362351dex4108.htm" TargetMode="External"/><Relationship Id="rId386" Type="http://schemas.openxmlformats.org/officeDocument/2006/relationships/hyperlink" Target="http://www.sec.gov/Archives/edgar/data/1329099/000119312523076192/d362351dex4109.htm" TargetMode="External"/><Relationship Id="rId387" Type="http://schemas.openxmlformats.org/officeDocument/2006/relationships/hyperlink" Target="http://www.sec.gov/Archives/edgar/data/1329099/000119312524068527/d584913dex4110.htm" TargetMode="External"/><Relationship Id="rId388" Type="http://schemas.openxmlformats.org/officeDocument/2006/relationships/hyperlink" Target="http://www.sec.gov/Archives/edgar/data/1329099/000119312525066199/d853848dex4111.htm" TargetMode="External"/><Relationship Id="rId389" Type="http://schemas.openxmlformats.org/officeDocument/2006/relationships/hyperlink" Target="http://www.sec.gov/Archives/edgar/data/1329099/000119312525066199/d853848dex4112.htm" TargetMode="External"/><Relationship Id="rId390" Type="http://schemas.openxmlformats.org/officeDocument/2006/relationships/hyperlink" Target="http://www.sec.gov/Archives/edgar/data/1329099/000119312525066199/d853848dex81.htm" TargetMode="External"/><Relationship Id="rId391" Type="http://schemas.openxmlformats.org/officeDocument/2006/relationships/hyperlink" Target="http://www.sec.gov/Archives/edgar/data/1329099/000119312505140785/dex9914.htm" TargetMode="External"/><Relationship Id="rId392" Type="http://schemas.openxmlformats.org/officeDocument/2006/relationships/hyperlink" Target="http://www.sec.gov/Archives/edgar/data/1329099/000119312525066199/d853848dex112.htm" TargetMode="External"/><Relationship Id="rId393" Type="http://schemas.openxmlformats.org/officeDocument/2006/relationships/hyperlink" Target="http://www.sec.gov/Archives/edgar/data/1329099/000119312524068527/d584913dex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2026-03-17T05:40:45Z</dcterms:created>
  <dcterms:modified xsi:type="dcterms:W3CDTF">2026-03-17T05:40:45Z</dcterms:modified>
</cp:coreProperties>
</file>